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423545</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448310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10-Q</w:t>
      </w:r>
    </w:p>
    <w:p>
      <w:pPr>
        <w:spacing w:after="0" w:line="7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99" w:lineRule="exact"/>
        <w:rPr>
          <w:sz w:val="24"/>
          <w:szCs w:val="24"/>
          <w:color w:val="auto"/>
        </w:rPr>
      </w:pPr>
    </w:p>
    <w:p>
      <w:pPr>
        <w:ind w:left="440" w:hanging="276"/>
        <w:spacing w:after="0"/>
        <w:tabs>
          <w:tab w:leader="none" w:pos="440"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June 30, 2023</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99" w:lineRule="exact"/>
        <w:rPr>
          <w:sz w:val="24"/>
          <w:szCs w:val="24"/>
          <w:color w:val="auto"/>
        </w:rPr>
      </w:pPr>
    </w:p>
    <w:p>
      <w:pPr>
        <w:ind w:left="440" w:hanging="281"/>
        <w:spacing w:after="0"/>
        <w:tabs>
          <w:tab w:leader="none" w:pos="44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240"/>
          </w:cols>
          <w:pgMar w:left="320" w:top="233" w:right="339" w:bottom="1440" w:gutter="0" w:footer="0" w:header="0"/>
        </w:sectPr>
      </w:pPr>
    </w:p>
    <w:p>
      <w:pPr>
        <w:spacing w:after="0" w:line="241" w:lineRule="exact"/>
        <w:rPr>
          <w:sz w:val="24"/>
          <w:szCs w:val="24"/>
          <w:color w:val="auto"/>
        </w:rPr>
      </w:pPr>
    </w:p>
    <w:p>
      <w:pPr>
        <w:ind w:left="394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2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131" w:lineRule="exact"/>
        <w:rPr>
          <w:sz w:val="24"/>
          <w:szCs w:val="24"/>
          <w:color w:val="auto"/>
        </w:rPr>
      </w:pPr>
    </w:p>
    <w:p>
      <w:pPr>
        <w:sectPr>
          <w:pgSz w:w="11900" w:h="16838" w:orient="portrait"/>
          <w:cols w:equalWidth="0" w:num="2">
            <w:col w:w="5980" w:space="600"/>
            <w:col w:w="4660"/>
          </w:cols>
          <w:pgMar w:left="320" w:top="233" w:right="3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Commission File Number: 001-12400</w:t>
      </w:r>
    </w:p>
    <w:p>
      <w:pPr>
        <w:sectPr>
          <w:pgSz w:w="11900" w:h="16838" w:orient="portrait"/>
          <w:cols w:equalWidth="0" w:num="1">
            <w:col w:w="11240"/>
          </w:cols>
          <w:pgMar w:left="320" w:top="233" w:right="339" w:bottom="1440" w:gutter="0" w:footer="0" w:header="0"/>
          <w:type w:val="continuous"/>
        </w:sectPr>
      </w:pP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3780" w:type="dxa"/>
            <w:vAlign w:val="bottom"/>
          </w:tcPr>
          <w:p>
            <w:pPr>
              <w:spacing w:after="0"/>
              <w:rPr>
                <w:sz w:val="24"/>
                <w:szCs w:val="24"/>
                <w:color w:val="auto"/>
              </w:rPr>
            </w:pPr>
          </w:p>
        </w:tc>
        <w:tc>
          <w:tcPr>
            <w:tcW w:w="3860" w:type="dxa"/>
            <w:vAlign w:val="bottom"/>
            <w:gridSpan w:val="5"/>
          </w:tcPr>
          <w:p>
            <w:pPr>
              <w:jc w:val="center"/>
              <w:ind w:right="160"/>
              <w:spacing w:after="0"/>
              <w:rPr>
                <w:sz w:val="20"/>
                <w:szCs w:val="20"/>
                <w:color w:val="auto"/>
              </w:rPr>
            </w:pPr>
            <w:r>
              <w:rPr>
                <w:rFonts w:ascii="Arial" w:cs="Arial" w:eastAsia="Arial" w:hAnsi="Arial"/>
                <w:sz w:val="30"/>
                <w:szCs w:val="30"/>
                <w:b w:val="1"/>
                <w:bCs w:val="1"/>
                <w:color w:val="auto"/>
              </w:rPr>
              <w:t>INCYTE CORPORATION</w:t>
            </w:r>
          </w:p>
        </w:tc>
        <w:tc>
          <w:tcPr>
            <w:tcW w:w="3600" w:type="dxa"/>
            <w:vAlign w:val="bottom"/>
          </w:tcPr>
          <w:p>
            <w:pPr>
              <w:spacing w:after="0"/>
              <w:rPr>
                <w:sz w:val="24"/>
                <w:szCs w:val="24"/>
                <w:color w:val="auto"/>
              </w:rPr>
            </w:pPr>
          </w:p>
        </w:tc>
      </w:tr>
      <w:tr>
        <w:trPr>
          <w:trHeight w:val="204"/>
        </w:trPr>
        <w:tc>
          <w:tcPr>
            <w:tcW w:w="3780" w:type="dxa"/>
            <w:vAlign w:val="bottom"/>
          </w:tcPr>
          <w:p>
            <w:pPr>
              <w:spacing w:after="0"/>
              <w:rPr>
                <w:sz w:val="17"/>
                <w:szCs w:val="17"/>
                <w:color w:val="auto"/>
              </w:rPr>
            </w:pPr>
          </w:p>
        </w:tc>
        <w:tc>
          <w:tcPr>
            <w:tcW w:w="3860" w:type="dxa"/>
            <w:vAlign w:val="bottom"/>
            <w:gridSpan w:val="5"/>
          </w:tcPr>
          <w:p>
            <w:pPr>
              <w:jc w:val="center"/>
              <w:ind w:right="180"/>
              <w:spacing w:after="0"/>
              <w:rPr>
                <w:sz w:val="20"/>
                <w:szCs w:val="20"/>
                <w:color w:val="auto"/>
              </w:rPr>
            </w:pPr>
            <w:r>
              <w:rPr>
                <w:rFonts w:ascii="Arial" w:cs="Arial" w:eastAsia="Arial" w:hAnsi="Arial"/>
                <w:sz w:val="16"/>
                <w:szCs w:val="16"/>
                <w:color w:val="auto"/>
                <w:w w:val="89"/>
              </w:rPr>
              <w:t>(Exact name of registrant as specified in its charter)</w:t>
            </w:r>
          </w:p>
        </w:tc>
        <w:tc>
          <w:tcPr>
            <w:tcW w:w="3600" w:type="dxa"/>
            <w:vAlign w:val="bottom"/>
          </w:tcPr>
          <w:p>
            <w:pPr>
              <w:spacing w:after="0"/>
              <w:rPr>
                <w:sz w:val="17"/>
                <w:szCs w:val="17"/>
                <w:color w:val="auto"/>
              </w:rPr>
            </w:pPr>
          </w:p>
        </w:tc>
      </w:tr>
      <w:tr>
        <w:trPr>
          <w:trHeight w:val="411"/>
        </w:trPr>
        <w:tc>
          <w:tcPr>
            <w:tcW w:w="3780" w:type="dxa"/>
            <w:vAlign w:val="bottom"/>
          </w:tcPr>
          <w:p>
            <w:pPr>
              <w:jc w:val="center"/>
              <w:ind w:left="1783"/>
              <w:spacing w:after="0"/>
              <w:rPr>
                <w:sz w:val="20"/>
                <w:szCs w:val="20"/>
                <w:color w:val="auto"/>
              </w:rPr>
            </w:pPr>
            <w:r>
              <w:rPr>
                <w:rFonts w:ascii="Arial" w:cs="Arial" w:eastAsia="Arial" w:hAnsi="Arial"/>
                <w:sz w:val="16"/>
                <w:szCs w:val="16"/>
                <w:b w:val="1"/>
                <w:bCs w:val="1"/>
                <w:color w:val="auto"/>
                <w:w w:val="91"/>
              </w:rPr>
              <w:t>Delaware</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0" w:type="dxa"/>
            <w:vAlign w:val="bottom"/>
          </w:tcPr>
          <w:p>
            <w:pPr>
              <w:jc w:val="right"/>
              <w:ind w:right="2343"/>
              <w:spacing w:after="0"/>
              <w:rPr>
                <w:sz w:val="20"/>
                <w:szCs w:val="20"/>
                <w:color w:val="auto"/>
              </w:rPr>
            </w:pPr>
            <w:r>
              <w:rPr>
                <w:rFonts w:ascii="Arial" w:cs="Arial" w:eastAsia="Arial" w:hAnsi="Arial"/>
                <w:sz w:val="16"/>
                <w:szCs w:val="16"/>
                <w:b w:val="1"/>
                <w:bCs w:val="1"/>
                <w:color w:val="auto"/>
              </w:rPr>
              <w:t>94-3136539</w:t>
            </w:r>
          </w:p>
        </w:tc>
      </w:tr>
      <w:tr>
        <w:trPr>
          <w:trHeight w:val="234"/>
        </w:trPr>
        <w:tc>
          <w:tcPr>
            <w:tcW w:w="3780" w:type="dxa"/>
            <w:vAlign w:val="bottom"/>
          </w:tcPr>
          <w:p>
            <w:pPr>
              <w:jc w:val="center"/>
              <w:ind w:left="1783"/>
              <w:spacing w:after="0"/>
              <w:rPr>
                <w:sz w:val="20"/>
                <w:szCs w:val="20"/>
                <w:color w:val="auto"/>
              </w:rPr>
            </w:pPr>
            <w:r>
              <w:rPr>
                <w:rFonts w:ascii="Arial" w:cs="Arial" w:eastAsia="Arial" w:hAnsi="Arial"/>
                <w:sz w:val="16"/>
                <w:szCs w:val="16"/>
                <w:color w:val="auto"/>
                <w:w w:val="91"/>
              </w:rPr>
              <w:t>(State or other jurisdiction of</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0" w:type="dxa"/>
            <w:vAlign w:val="bottom"/>
          </w:tcPr>
          <w:p>
            <w:pPr>
              <w:jc w:val="center"/>
              <w:ind w:right="1943"/>
              <w:spacing w:after="0"/>
              <w:rPr>
                <w:sz w:val="20"/>
                <w:szCs w:val="20"/>
                <w:color w:val="auto"/>
              </w:rPr>
            </w:pPr>
            <w:r>
              <w:rPr>
                <w:rFonts w:ascii="Arial" w:cs="Arial" w:eastAsia="Arial" w:hAnsi="Arial"/>
                <w:sz w:val="16"/>
                <w:szCs w:val="16"/>
                <w:color w:val="auto"/>
                <w:w w:val="94"/>
              </w:rPr>
              <w:t>(IRS Employer</w:t>
            </w:r>
          </w:p>
        </w:tc>
      </w:tr>
      <w:tr>
        <w:trPr>
          <w:trHeight w:val="204"/>
        </w:trPr>
        <w:tc>
          <w:tcPr>
            <w:tcW w:w="3780" w:type="dxa"/>
            <w:vAlign w:val="bottom"/>
          </w:tcPr>
          <w:p>
            <w:pPr>
              <w:jc w:val="center"/>
              <w:ind w:left="1783"/>
              <w:spacing w:after="0"/>
              <w:rPr>
                <w:sz w:val="20"/>
                <w:szCs w:val="20"/>
                <w:color w:val="auto"/>
              </w:rPr>
            </w:pPr>
            <w:r>
              <w:rPr>
                <w:rFonts w:ascii="Arial" w:cs="Arial" w:eastAsia="Arial" w:hAnsi="Arial"/>
                <w:sz w:val="16"/>
                <w:szCs w:val="16"/>
                <w:color w:val="auto"/>
                <w:w w:val="92"/>
              </w:rPr>
              <w:t>incorporation or organization)</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0" w:type="dxa"/>
            <w:vAlign w:val="bottom"/>
          </w:tcPr>
          <w:p>
            <w:pPr>
              <w:jc w:val="center"/>
              <w:ind w:right="1943"/>
              <w:spacing w:after="0"/>
              <w:rPr>
                <w:sz w:val="20"/>
                <w:szCs w:val="20"/>
                <w:color w:val="auto"/>
              </w:rPr>
            </w:pPr>
            <w:r>
              <w:rPr>
                <w:rFonts w:ascii="Arial" w:cs="Arial" w:eastAsia="Arial" w:hAnsi="Arial"/>
                <w:sz w:val="16"/>
                <w:szCs w:val="16"/>
                <w:color w:val="auto"/>
                <w:w w:val="94"/>
              </w:rPr>
              <w:t>Identification No.)</w:t>
            </w:r>
          </w:p>
        </w:tc>
      </w:tr>
      <w:tr>
        <w:trPr>
          <w:trHeight w:val="309"/>
        </w:trPr>
        <w:tc>
          <w:tcPr>
            <w:tcW w:w="3780" w:type="dxa"/>
            <w:vAlign w:val="bottom"/>
          </w:tcPr>
          <w:p>
            <w:pPr>
              <w:jc w:val="center"/>
              <w:ind w:left="1763"/>
              <w:spacing w:after="0"/>
              <w:rPr>
                <w:sz w:val="20"/>
                <w:szCs w:val="20"/>
                <w:color w:val="auto"/>
              </w:rPr>
            </w:pPr>
            <w:r>
              <w:rPr>
                <w:rFonts w:ascii="Arial" w:cs="Arial" w:eastAsia="Arial" w:hAnsi="Arial"/>
                <w:sz w:val="16"/>
                <w:szCs w:val="16"/>
                <w:b w:val="1"/>
                <w:bCs w:val="1"/>
                <w:color w:val="auto"/>
                <w:w w:val="91"/>
              </w:rPr>
              <w:t>1801 Augustine Cut-Off</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08"/>
        </w:trPr>
        <w:tc>
          <w:tcPr>
            <w:tcW w:w="3780" w:type="dxa"/>
            <w:vAlign w:val="bottom"/>
          </w:tcPr>
          <w:p>
            <w:pPr>
              <w:jc w:val="center"/>
              <w:ind w:left="1763"/>
              <w:spacing w:after="0"/>
              <w:rPr>
                <w:sz w:val="20"/>
                <w:szCs w:val="20"/>
                <w:color w:val="auto"/>
              </w:rPr>
            </w:pPr>
            <w:r>
              <w:rPr>
                <w:rFonts w:ascii="Arial" w:cs="Arial" w:eastAsia="Arial" w:hAnsi="Arial"/>
                <w:sz w:val="16"/>
                <w:szCs w:val="16"/>
                <w:b w:val="1"/>
                <w:bCs w:val="1"/>
                <w:color w:val="auto"/>
                <w:w w:val="92"/>
              </w:rPr>
              <w:t>Wilmington, DE 19803</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0" w:type="dxa"/>
            <w:vAlign w:val="bottom"/>
          </w:tcPr>
          <w:p>
            <w:pPr>
              <w:jc w:val="right"/>
              <w:ind w:right="2523"/>
              <w:spacing w:after="0"/>
              <w:rPr>
                <w:sz w:val="20"/>
                <w:szCs w:val="20"/>
                <w:color w:val="auto"/>
              </w:rPr>
            </w:pPr>
            <w:r>
              <w:rPr>
                <w:rFonts w:ascii="Arial" w:cs="Arial" w:eastAsia="Arial" w:hAnsi="Arial"/>
                <w:sz w:val="16"/>
                <w:szCs w:val="16"/>
                <w:b w:val="1"/>
                <w:bCs w:val="1"/>
                <w:color w:val="auto"/>
              </w:rPr>
              <w:t>19803</w:t>
            </w:r>
          </w:p>
        </w:tc>
      </w:tr>
      <w:tr>
        <w:trPr>
          <w:trHeight w:val="238"/>
        </w:trPr>
        <w:tc>
          <w:tcPr>
            <w:tcW w:w="7640" w:type="dxa"/>
            <w:vAlign w:val="bottom"/>
            <w:gridSpan w:val="6"/>
          </w:tcPr>
          <w:p>
            <w:pPr>
              <w:jc w:val="center"/>
              <w:ind w:right="2000"/>
              <w:spacing w:after="0"/>
              <w:rPr>
                <w:sz w:val="20"/>
                <w:szCs w:val="20"/>
                <w:color w:val="auto"/>
              </w:rPr>
            </w:pPr>
            <w:r>
              <w:rPr>
                <w:rFonts w:ascii="Arial" w:cs="Arial" w:eastAsia="Arial" w:hAnsi="Arial"/>
                <w:sz w:val="16"/>
                <w:szCs w:val="16"/>
                <w:color w:val="auto"/>
                <w:w w:val="91"/>
              </w:rPr>
              <w:t>(Address of principal executive offices)</w:t>
            </w:r>
          </w:p>
        </w:tc>
        <w:tc>
          <w:tcPr>
            <w:tcW w:w="3600" w:type="dxa"/>
            <w:vAlign w:val="bottom"/>
          </w:tcPr>
          <w:p>
            <w:pPr>
              <w:jc w:val="center"/>
              <w:ind w:right="1943"/>
              <w:spacing w:after="0"/>
              <w:rPr>
                <w:sz w:val="20"/>
                <w:szCs w:val="20"/>
                <w:color w:val="auto"/>
              </w:rPr>
            </w:pPr>
            <w:r>
              <w:rPr>
                <w:rFonts w:ascii="Arial" w:cs="Arial" w:eastAsia="Arial" w:hAnsi="Arial"/>
                <w:sz w:val="16"/>
                <w:szCs w:val="16"/>
                <w:color w:val="auto"/>
                <w:w w:val="92"/>
              </w:rPr>
              <w:t>(Zip Code)</w:t>
            </w:r>
          </w:p>
        </w:tc>
      </w:tr>
      <w:tr>
        <w:trPr>
          <w:trHeight w:val="472"/>
        </w:trPr>
        <w:tc>
          <w:tcPr>
            <w:tcW w:w="3780" w:type="dxa"/>
            <w:vAlign w:val="bottom"/>
          </w:tcPr>
          <w:p>
            <w:pPr>
              <w:spacing w:after="0"/>
              <w:rPr>
                <w:sz w:val="24"/>
                <w:szCs w:val="24"/>
                <w:color w:val="auto"/>
              </w:rPr>
            </w:pPr>
          </w:p>
        </w:tc>
        <w:tc>
          <w:tcPr>
            <w:tcW w:w="3160" w:type="dxa"/>
            <w:vAlign w:val="bottom"/>
            <w:gridSpan w:val="3"/>
          </w:tcPr>
          <w:p>
            <w:pPr>
              <w:jc w:val="center"/>
              <w:ind w:left="426"/>
              <w:spacing w:after="0"/>
              <w:rPr>
                <w:sz w:val="20"/>
                <w:szCs w:val="20"/>
                <w:color w:val="auto"/>
              </w:rPr>
            </w:pPr>
            <w:r>
              <w:rPr>
                <w:rFonts w:ascii="Arial" w:cs="Arial" w:eastAsia="Arial" w:hAnsi="Arial"/>
                <w:sz w:val="16"/>
                <w:szCs w:val="16"/>
                <w:b w:val="1"/>
                <w:bCs w:val="1"/>
                <w:color w:val="auto"/>
                <w:w w:val="91"/>
              </w:rPr>
              <w:t>(302) 498-6700</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04"/>
        </w:trPr>
        <w:tc>
          <w:tcPr>
            <w:tcW w:w="3780" w:type="dxa"/>
            <w:vAlign w:val="bottom"/>
          </w:tcPr>
          <w:p>
            <w:pPr>
              <w:spacing w:after="0"/>
              <w:rPr>
                <w:sz w:val="17"/>
                <w:szCs w:val="17"/>
                <w:color w:val="auto"/>
              </w:rPr>
            </w:pPr>
          </w:p>
        </w:tc>
        <w:tc>
          <w:tcPr>
            <w:tcW w:w="3860" w:type="dxa"/>
            <w:vAlign w:val="bottom"/>
            <w:gridSpan w:val="5"/>
          </w:tcPr>
          <w:p>
            <w:pPr>
              <w:jc w:val="center"/>
              <w:ind w:right="180"/>
              <w:spacing w:after="0"/>
              <w:rPr>
                <w:sz w:val="20"/>
                <w:szCs w:val="20"/>
                <w:color w:val="auto"/>
              </w:rPr>
            </w:pPr>
            <w:r>
              <w:rPr>
                <w:rFonts w:ascii="Arial" w:cs="Arial" w:eastAsia="Arial" w:hAnsi="Arial"/>
                <w:sz w:val="16"/>
                <w:szCs w:val="16"/>
                <w:color w:val="auto"/>
                <w:w w:val="89"/>
              </w:rPr>
              <w:t>(Registrant’s telephone number, including area code)</w:t>
            </w:r>
          </w:p>
        </w:tc>
        <w:tc>
          <w:tcPr>
            <w:tcW w:w="3600" w:type="dxa"/>
            <w:vAlign w:val="bottom"/>
          </w:tcPr>
          <w:p>
            <w:pPr>
              <w:spacing w:after="0"/>
              <w:rPr>
                <w:sz w:val="17"/>
                <w:szCs w:val="17"/>
                <w:color w:val="auto"/>
              </w:rPr>
            </w:pPr>
          </w:p>
        </w:tc>
      </w:tr>
      <w:tr>
        <w:trPr>
          <w:trHeight w:val="291"/>
        </w:trPr>
        <w:tc>
          <w:tcPr>
            <w:tcW w:w="3780" w:type="dxa"/>
            <w:vAlign w:val="bottom"/>
          </w:tcPr>
          <w:p>
            <w:pPr>
              <w:spacing w:after="0"/>
              <w:rPr>
                <w:sz w:val="24"/>
                <w:szCs w:val="24"/>
                <w:color w:val="auto"/>
              </w:rPr>
            </w:pPr>
          </w:p>
        </w:tc>
        <w:tc>
          <w:tcPr>
            <w:tcW w:w="3860" w:type="dxa"/>
            <w:vAlign w:val="bottom"/>
            <w:gridSpan w:val="5"/>
          </w:tcPr>
          <w:p>
            <w:pPr>
              <w:jc w:val="center"/>
              <w:ind w:right="160"/>
              <w:spacing w:after="0"/>
              <w:rPr>
                <w:sz w:val="20"/>
                <w:szCs w:val="20"/>
                <w:color w:val="auto"/>
              </w:rPr>
            </w:pPr>
            <w:r>
              <w:rPr>
                <w:rFonts w:ascii="Arial" w:cs="Arial" w:eastAsia="Arial" w:hAnsi="Arial"/>
                <w:sz w:val="16"/>
                <w:szCs w:val="16"/>
                <w:color w:val="auto"/>
                <w:w w:val="90"/>
              </w:rPr>
              <w:t>Securities registered pursuant to Section 12(b) of the Act:</w:t>
            </w:r>
          </w:p>
        </w:tc>
        <w:tc>
          <w:tcPr>
            <w:tcW w:w="3600" w:type="dxa"/>
            <w:vAlign w:val="bottom"/>
          </w:tcPr>
          <w:p>
            <w:pPr>
              <w:spacing w:after="0"/>
              <w:rPr>
                <w:sz w:val="24"/>
                <w:szCs w:val="24"/>
                <w:color w:val="auto"/>
              </w:rPr>
            </w:pPr>
          </w:p>
        </w:tc>
      </w:tr>
      <w:tr>
        <w:trPr>
          <w:trHeight w:val="325"/>
        </w:trPr>
        <w:tc>
          <w:tcPr>
            <w:tcW w:w="3780" w:type="dxa"/>
            <w:vAlign w:val="bottom"/>
          </w:tcPr>
          <w:p>
            <w:pPr>
              <w:ind w:left="1520"/>
              <w:spacing w:after="0"/>
              <w:rPr>
                <w:sz w:val="20"/>
                <w:szCs w:val="20"/>
                <w:color w:val="auto"/>
              </w:rPr>
            </w:pPr>
            <w:r>
              <w:rPr>
                <w:rFonts w:ascii="Arial" w:cs="Arial" w:eastAsia="Arial" w:hAnsi="Arial"/>
                <w:sz w:val="14"/>
                <w:szCs w:val="14"/>
                <w:b w:val="1"/>
                <w:bCs w:val="1"/>
                <w:color w:val="auto"/>
              </w:rPr>
              <w:t>Title of each class</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92"/>
              </w:rPr>
              <w:t>Trading Symbol(s)</w:t>
            </w:r>
          </w:p>
        </w:tc>
        <w:tc>
          <w:tcPr>
            <w:tcW w:w="3600" w:type="dxa"/>
            <w:vAlign w:val="bottom"/>
          </w:tcPr>
          <w:p>
            <w:pPr>
              <w:jc w:val="center"/>
              <w:ind w:right="523"/>
              <w:spacing w:after="0"/>
              <w:rPr>
                <w:sz w:val="20"/>
                <w:szCs w:val="20"/>
                <w:color w:val="auto"/>
              </w:rPr>
            </w:pPr>
            <w:r>
              <w:rPr>
                <w:rFonts w:ascii="Arial" w:cs="Arial" w:eastAsia="Arial" w:hAnsi="Arial"/>
                <w:sz w:val="14"/>
                <w:szCs w:val="14"/>
                <w:b w:val="1"/>
                <w:bCs w:val="1"/>
                <w:color w:val="auto"/>
                <w:w w:val="89"/>
              </w:rPr>
              <w:t>Name of exchange on which registered</w:t>
            </w:r>
          </w:p>
        </w:tc>
      </w:tr>
      <w:tr>
        <w:trPr>
          <w:trHeight w:val="24"/>
        </w:trPr>
        <w:tc>
          <w:tcPr>
            <w:tcW w:w="3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181"/>
        </w:trPr>
        <w:tc>
          <w:tcPr>
            <w:tcW w:w="3780" w:type="dxa"/>
            <w:vAlign w:val="bottom"/>
          </w:tcPr>
          <w:p>
            <w:pPr>
              <w:ind w:left="840"/>
              <w:spacing w:after="0"/>
              <w:rPr>
                <w:sz w:val="20"/>
                <w:szCs w:val="20"/>
                <w:color w:val="auto"/>
              </w:rPr>
            </w:pPr>
            <w:r>
              <w:rPr>
                <w:rFonts w:ascii="Arial" w:cs="Arial" w:eastAsia="Arial" w:hAnsi="Arial"/>
                <w:sz w:val="14"/>
                <w:szCs w:val="14"/>
                <w:color w:val="auto"/>
              </w:rPr>
              <w:t>Common Stock, $.001 par value per share</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00" w:type="dxa"/>
            <w:vAlign w:val="bottom"/>
            <w:gridSpan w:val="3"/>
          </w:tcPr>
          <w:p>
            <w:pPr>
              <w:jc w:val="center"/>
              <w:ind w:right="720"/>
              <w:spacing w:after="0"/>
              <w:rPr>
                <w:sz w:val="20"/>
                <w:szCs w:val="20"/>
                <w:color w:val="auto"/>
              </w:rPr>
            </w:pPr>
            <w:r>
              <w:rPr>
                <w:rFonts w:ascii="Arial" w:cs="Arial" w:eastAsia="Arial" w:hAnsi="Arial"/>
                <w:sz w:val="14"/>
                <w:szCs w:val="14"/>
                <w:color w:val="auto"/>
              </w:rPr>
              <w:t>INCY</w:t>
            </w:r>
          </w:p>
        </w:tc>
        <w:tc>
          <w:tcPr>
            <w:tcW w:w="3600" w:type="dxa"/>
            <w:vAlign w:val="bottom"/>
          </w:tcPr>
          <w:p>
            <w:pPr>
              <w:jc w:val="center"/>
              <w:ind w:right="543"/>
              <w:spacing w:after="0"/>
              <w:rPr>
                <w:sz w:val="20"/>
                <w:szCs w:val="20"/>
                <w:color w:val="auto"/>
              </w:rPr>
            </w:pPr>
            <w:r>
              <w:rPr>
                <w:rFonts w:ascii="Arial" w:cs="Arial" w:eastAsia="Arial" w:hAnsi="Arial"/>
                <w:sz w:val="14"/>
                <w:szCs w:val="14"/>
                <w:color w:val="auto"/>
                <w:w w:val="92"/>
              </w:rPr>
              <w:t>The Nasdaq Stock Market LLC</w:t>
            </w:r>
          </w:p>
        </w:tc>
      </w:tr>
    </w:tbl>
    <w:p>
      <w:pPr>
        <w:spacing w:after="0" w:line="213" w:lineRule="exact"/>
        <w:rPr>
          <w:sz w:val="24"/>
          <w:szCs w:val="24"/>
          <w:color w:val="auto"/>
        </w:rPr>
      </w:pPr>
    </w:p>
    <w:p>
      <w:pPr>
        <w:jc w:val="both"/>
        <w:ind w:firstLine="318"/>
        <w:spacing w:after="0" w:line="254"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92" w:lineRule="exact"/>
        <w:rPr>
          <w:sz w:val="24"/>
          <w:szCs w:val="24"/>
          <w:color w:val="auto"/>
        </w:rPr>
      </w:pPr>
    </w:p>
    <w:p>
      <w:pPr>
        <w:ind w:firstLine="318"/>
        <w:spacing w:after="0" w:line="301"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x Yes o No</w:t>
      </w:r>
    </w:p>
    <w:p>
      <w:pPr>
        <w:spacing w:after="0" w:line="124" w:lineRule="exact"/>
        <w:rPr>
          <w:sz w:val="24"/>
          <w:szCs w:val="24"/>
          <w:color w:val="auto"/>
        </w:rPr>
      </w:pPr>
    </w:p>
    <w:p>
      <w:pPr>
        <w:jc w:val="both"/>
        <w:ind w:firstLine="318"/>
        <w:spacing w:after="0" w:line="33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33" w:right="339" w:bottom="1440" w:gutter="0" w:footer="0" w:header="0"/>
          <w:type w:val="continuous"/>
        </w:sectPr>
      </w:pPr>
    </w:p>
    <w:p>
      <w:pPr>
        <w:spacing w:after="0" w:line="1" w:lineRule="exact"/>
        <w:rPr>
          <w:sz w:val="24"/>
          <w:szCs w:val="24"/>
          <w:color w:val="auto"/>
        </w:rPr>
      </w:pPr>
    </w:p>
    <w:p>
      <w:pPr>
        <w:ind w:left="254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 o</w:t>
      </w:r>
    </w:p>
    <w:p>
      <w:pPr>
        <w:spacing w:after="0" w:line="131" w:lineRule="exact"/>
        <w:rPr>
          <w:sz w:val="24"/>
          <w:szCs w:val="24"/>
          <w:color w:val="auto"/>
        </w:rPr>
      </w:pPr>
    </w:p>
    <w:p>
      <w:pPr>
        <w:sectPr>
          <w:pgSz w:w="11900" w:h="16838" w:orient="portrait"/>
          <w:cols w:equalWidth="0" w:num="2">
            <w:col w:w="6580" w:space="720"/>
            <w:col w:w="3940"/>
          </w:cols>
          <w:pgMar w:left="320" w:top="233" w:right="339" w:bottom="1440" w:gutter="0" w:footer="0" w:header="0"/>
          <w:type w:val="continuous"/>
        </w:sectPr>
      </w:pPr>
    </w:p>
    <w:p>
      <w:pPr>
        <w:jc w:val="center"/>
        <w:ind w:left="460"/>
        <w:spacing w:after="0"/>
        <w:rPr>
          <w:sz w:val="20"/>
          <w:szCs w:val="20"/>
          <w:color w:val="auto"/>
        </w:rPr>
      </w:pPr>
      <w:r>
        <w:rPr>
          <w:rFonts w:ascii="Arial" w:cs="Arial" w:eastAsia="Arial" w:hAnsi="Arial"/>
          <w:sz w:val="14"/>
          <w:szCs w:val="14"/>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 o</w:t>
      </w:r>
    </w:p>
    <w:p>
      <w:pPr>
        <w:spacing w:after="0" w:line="131" w:lineRule="exact"/>
        <w:rPr>
          <w:sz w:val="24"/>
          <w:szCs w:val="24"/>
          <w:color w:val="auto"/>
        </w:rPr>
      </w:pPr>
    </w:p>
    <w:p>
      <w:pPr>
        <w:sectPr>
          <w:pgSz w:w="11900" w:h="16838" w:orient="portrait"/>
          <w:cols w:equalWidth="0" w:num="2">
            <w:col w:w="6240" w:space="720"/>
            <w:col w:w="4280"/>
          </w:cols>
          <w:pgMar w:left="320" w:top="233" w:right="339" w:bottom="1440" w:gutter="0" w:footer="0" w:header="0"/>
          <w:type w:val="continuous"/>
        </w:sectPr>
      </w:pPr>
    </w:p>
    <w:p>
      <w:pPr>
        <w:ind w:left="6960"/>
        <w:spacing w:after="0"/>
        <w:rPr>
          <w:sz w:val="20"/>
          <w:szCs w:val="20"/>
          <w:color w:val="auto"/>
        </w:rPr>
      </w:pPr>
      <w:r>
        <w:rPr>
          <w:rFonts w:ascii="Arial" w:cs="Arial" w:eastAsia="Arial" w:hAnsi="Arial"/>
          <w:sz w:val="14"/>
          <w:szCs w:val="14"/>
          <w:color w:val="auto"/>
        </w:rPr>
        <w:t>Emerging growth company o</w:t>
      </w:r>
    </w:p>
    <w:p>
      <w:pPr>
        <w:sectPr>
          <w:pgSz w:w="11900" w:h="16838" w:orient="portrait"/>
          <w:cols w:equalWidth="0" w:num="1">
            <w:col w:w="11240"/>
          </w:cols>
          <w:pgMar w:left="320" w:top="233" w:right="339" w:bottom="1440" w:gutter="0" w:footer="0" w:header="0"/>
          <w:type w:val="continuous"/>
        </w:sectPr>
      </w:pPr>
    </w:p>
    <w:p>
      <w:pPr>
        <w:spacing w:after="0" w:line="197" w:lineRule="exact"/>
        <w:rPr>
          <w:sz w:val="24"/>
          <w:szCs w:val="24"/>
          <w:color w:val="auto"/>
        </w:rPr>
      </w:pPr>
    </w:p>
    <w:p>
      <w:pPr>
        <w:ind w:right="460" w:firstLine="318"/>
        <w:spacing w:after="0" w:line="267"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81" w:lineRule="exact"/>
        <w:rPr>
          <w:sz w:val="24"/>
          <w:szCs w:val="24"/>
          <w:color w:val="auto"/>
        </w:rPr>
      </w:pPr>
    </w:p>
    <w:p>
      <w:pPr>
        <w:ind w:left="320" w:right="2960"/>
        <w:spacing w:after="0" w:line="498" w:lineRule="auto"/>
        <w:rPr>
          <w:sz w:val="20"/>
          <w:szCs w:val="20"/>
          <w:color w:val="auto"/>
        </w:rPr>
      </w:pPr>
      <w:r>
        <w:rPr>
          <w:rFonts w:ascii="Arial" w:cs="Arial" w:eastAsia="Arial" w:hAnsi="Arial"/>
          <w:sz w:val="14"/>
          <w:szCs w:val="14"/>
          <w:color w:val="auto"/>
        </w:rPr>
        <w:t>Indicate by check mark whether the registrant is a shell company (as defined in Rule 12b-2 of the Exchange Act). o Yes x No The number of outstanding shares of the registrant’s Common Stock, $.001 par value, was 224,087,695 as of July 25,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570865</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-72390</wp:posOffset>
            </wp:positionV>
            <wp:extent cx="70002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0240" cy="825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-46990</wp:posOffset>
            </wp:positionV>
            <wp:extent cx="70002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024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40" w:type="dxa"/>
            <w:vAlign w:val="bottom"/>
            <w:gridSpan w:val="7"/>
          </w:tcPr>
          <w:p>
            <w:pPr>
              <w:jc w:val="center"/>
              <w:ind w:right="300"/>
              <w:spacing w:after="0"/>
              <w:rPr>
                <w:sz w:val="20"/>
                <w:szCs w:val="20"/>
                <w:color w:val="auto"/>
              </w:rPr>
            </w:pPr>
            <w:r>
              <w:rPr>
                <w:rFonts w:ascii="Arial" w:cs="Arial" w:eastAsia="Arial" w:hAnsi="Arial"/>
                <w:sz w:val="18"/>
                <w:szCs w:val="18"/>
                <w:b w:val="1"/>
                <w:bCs w:val="1"/>
                <w:color w:val="auto"/>
                <w:w w:val="99"/>
              </w:rPr>
              <w:t>INCYTE CORPORATION</w:t>
            </w:r>
          </w:p>
        </w:tc>
        <w:tc>
          <w:tcPr>
            <w:tcW w:w="3740" w:type="dxa"/>
            <w:vAlign w:val="bottom"/>
          </w:tcPr>
          <w:p>
            <w:pPr>
              <w:spacing w:after="0"/>
              <w:rPr>
                <w:sz w:val="19"/>
                <w:szCs w:val="19"/>
                <w:color w:val="auto"/>
              </w:rPr>
            </w:pPr>
          </w:p>
        </w:tc>
      </w:tr>
      <w:tr>
        <w:trPr>
          <w:trHeight w:val="4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gridSpan w:val="4"/>
          </w:tcPr>
          <w:p>
            <w:pPr>
              <w:jc w:val="center"/>
              <w:ind w:right="1360"/>
              <w:spacing w:after="0"/>
              <w:rPr>
                <w:sz w:val="20"/>
                <w:szCs w:val="20"/>
                <w:color w:val="auto"/>
              </w:rPr>
            </w:pPr>
            <w:r>
              <w:rPr>
                <w:rFonts w:ascii="Arial" w:cs="Arial" w:eastAsia="Arial" w:hAnsi="Arial"/>
                <w:sz w:val="18"/>
                <w:szCs w:val="18"/>
                <w:b w:val="1"/>
                <w:bCs w:val="1"/>
                <w:color w:val="auto"/>
              </w:rPr>
              <w:t>INDEX</w:t>
            </w:r>
          </w:p>
        </w:tc>
        <w:tc>
          <w:tcPr>
            <w:tcW w:w="3740" w:type="dxa"/>
            <w:vAlign w:val="bottom"/>
          </w:tcPr>
          <w:p>
            <w:pPr>
              <w:spacing w:after="0"/>
              <w:rPr>
                <w:sz w:val="24"/>
                <w:szCs w:val="24"/>
                <w:color w:val="auto"/>
              </w:rPr>
            </w:pPr>
          </w:p>
        </w:tc>
      </w:tr>
      <w:tr>
        <w:trPr>
          <w:trHeight w:val="425"/>
        </w:trPr>
        <w:tc>
          <w:tcPr>
            <w:tcW w:w="20" w:type="dxa"/>
            <w:vAlign w:val="bottom"/>
          </w:tcPr>
          <w:p>
            <w:pPr>
              <w:spacing w:after="0"/>
              <w:rPr>
                <w:sz w:val="24"/>
                <w:szCs w:val="24"/>
                <w:color w:val="auto"/>
              </w:rPr>
            </w:pPr>
          </w:p>
        </w:tc>
        <w:tc>
          <w:tcPr>
            <w:tcW w:w="302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b w:val="1"/>
                <w:bCs w:val="1"/>
                <w:color w:val="0000FF"/>
              </w:rPr>
              <w:t>PART I: FINANCIAL INFORMATION</w:t>
            </w:r>
          </w:p>
        </w:tc>
        <w:tc>
          <w:tcPr>
            <w:tcW w:w="4460" w:type="dxa"/>
            <w:vAlign w:val="bottom"/>
            <w:gridSpan w:val="9"/>
          </w:tcPr>
          <w:p>
            <w:pPr>
              <w:spacing w:after="0"/>
              <w:rPr>
                <w:sz w:val="24"/>
                <w:szCs w:val="24"/>
                <w:color w:val="auto"/>
              </w:rPr>
            </w:pPr>
          </w:p>
        </w:tc>
        <w:tc>
          <w:tcPr>
            <w:tcW w:w="3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70"/>
        </w:trPr>
        <w:tc>
          <w:tcPr>
            <w:tcW w:w="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b w:val="1"/>
                <w:bCs w:val="1"/>
                <w:color w:val="0000FF"/>
                <w:w w:val="91"/>
              </w:rPr>
              <w:t>Item 1.</w:t>
            </w:r>
          </w:p>
        </w:tc>
        <w:tc>
          <w:tcPr>
            <w:tcW w:w="620" w:type="dxa"/>
            <w:vAlign w:val="bottom"/>
            <w:gridSpan w:val="2"/>
          </w:tcPr>
          <w:p>
            <w:pPr>
              <w:spacing w:after="0"/>
              <w:rPr>
                <w:sz w:val="24"/>
                <w:szCs w:val="24"/>
                <w:color w:val="auto"/>
              </w:rPr>
            </w:pPr>
          </w:p>
        </w:tc>
        <w:tc>
          <w:tcPr>
            <w:tcW w:w="6320" w:type="dxa"/>
            <w:vAlign w:val="bottom"/>
            <w:gridSpan w:val="19"/>
          </w:tcPr>
          <w:p>
            <w:pPr>
              <w:spacing w:after="0"/>
              <w:rPr>
                <w:sz w:val="20"/>
                <w:szCs w:val="20"/>
                <w:color w:val="auto"/>
              </w:rPr>
            </w:pPr>
            <w:r>
              <w:rPr>
                <w:rFonts w:ascii="Arial" w:cs="Arial" w:eastAsia="Arial" w:hAnsi="Arial"/>
                <w:sz w:val="18"/>
                <w:szCs w:val="18"/>
                <w:color w:val="0000FF"/>
              </w:rPr>
              <w:t>Financial Statements</w:t>
            </w:r>
          </w:p>
        </w:tc>
        <w:tc>
          <w:tcPr>
            <w:tcW w:w="3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483"/>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8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5"/>
              </w:rPr>
              <w:t>Condensed Consolidated Balance Sheets</w:t>
            </w:r>
          </w:p>
        </w:tc>
        <w:tc>
          <w:tcPr>
            <w:tcW w:w="3440" w:type="dxa"/>
            <w:vAlign w:val="bottom"/>
            <w:gridSpan w:val="7"/>
          </w:tcPr>
          <w:p>
            <w:pPr>
              <w:spacing w:after="0"/>
              <w:rPr>
                <w:sz w:val="24"/>
                <w:szCs w:val="24"/>
                <w:color w:val="auto"/>
              </w:rPr>
            </w:pPr>
          </w:p>
        </w:tc>
        <w:tc>
          <w:tcPr>
            <w:tcW w:w="3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7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32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Operations</w:t>
            </w:r>
          </w:p>
        </w:tc>
        <w:tc>
          <w:tcPr>
            <w:tcW w:w="37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87"/>
              </w:rPr>
              <w:t>Condensed Consolidated Statements of Comprehensive Income (Loss)</w:t>
            </w:r>
          </w:p>
        </w:tc>
        <w:tc>
          <w:tcPr>
            <w:tcW w:w="1320" w:type="dxa"/>
            <w:vAlign w:val="bottom"/>
          </w:tcPr>
          <w:p>
            <w:pPr>
              <w:spacing w:after="0"/>
              <w:rPr>
                <w:sz w:val="24"/>
                <w:szCs w:val="24"/>
                <w:color w:val="auto"/>
              </w:rPr>
            </w:pPr>
          </w:p>
        </w:tc>
        <w:tc>
          <w:tcPr>
            <w:tcW w:w="37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8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30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88"/>
              </w:rPr>
              <w:t>Condensed Consolidated Statements of Stockholders’ Equity</w:t>
            </w:r>
          </w:p>
        </w:tc>
        <w:tc>
          <w:tcPr>
            <w:tcW w:w="2020" w:type="dxa"/>
            <w:vAlign w:val="bottom"/>
            <w:gridSpan w:val="2"/>
          </w:tcPr>
          <w:p>
            <w:pPr>
              <w:spacing w:after="0"/>
              <w:rPr>
                <w:sz w:val="24"/>
                <w:szCs w:val="24"/>
                <w:color w:val="auto"/>
              </w:rPr>
            </w:pPr>
          </w:p>
        </w:tc>
        <w:tc>
          <w:tcPr>
            <w:tcW w:w="37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7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32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Cash Flows</w:t>
            </w:r>
          </w:p>
        </w:tc>
        <w:tc>
          <w:tcPr>
            <w:tcW w:w="37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92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7"/>
              </w:rPr>
              <w:t>Notes to Condensed Consolidated Financial Statements</w:t>
            </w:r>
          </w:p>
        </w:tc>
        <w:tc>
          <w:tcPr>
            <w:tcW w:w="2400" w:type="dxa"/>
            <w:vAlign w:val="bottom"/>
            <w:gridSpan w:val="4"/>
          </w:tcPr>
          <w:p>
            <w:pPr>
              <w:spacing w:after="0"/>
              <w:rPr>
                <w:sz w:val="24"/>
                <w:szCs w:val="24"/>
                <w:color w:val="auto"/>
              </w:rPr>
            </w:pPr>
          </w:p>
        </w:tc>
        <w:tc>
          <w:tcPr>
            <w:tcW w:w="37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83"/>
        </w:trPr>
        <w:tc>
          <w:tcPr>
            <w:tcW w:w="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b w:val="1"/>
                <w:bCs w:val="1"/>
                <w:color w:val="0000FF"/>
                <w:w w:val="91"/>
              </w:rPr>
              <w:t>Item 2.</w:t>
            </w:r>
          </w:p>
        </w:tc>
        <w:tc>
          <w:tcPr>
            <w:tcW w:w="620" w:type="dxa"/>
            <w:vAlign w:val="bottom"/>
            <w:gridSpan w:val="2"/>
          </w:tcPr>
          <w:p>
            <w:pPr>
              <w:spacing w:after="0"/>
              <w:rPr>
                <w:sz w:val="24"/>
                <w:szCs w:val="24"/>
                <w:color w:val="auto"/>
              </w:rPr>
            </w:pPr>
          </w:p>
        </w:tc>
        <w:tc>
          <w:tcPr>
            <w:tcW w:w="6320" w:type="dxa"/>
            <w:vAlign w:val="bottom"/>
            <w:gridSpan w:val="19"/>
          </w:tcPr>
          <w:p>
            <w:pPr>
              <w:spacing w:after="0"/>
              <w:rPr>
                <w:sz w:val="20"/>
                <w:szCs w:val="20"/>
                <w:color w:val="auto"/>
              </w:rPr>
            </w:pPr>
            <w:r>
              <w:rPr>
                <w:rFonts w:ascii="Arial" w:cs="Arial" w:eastAsia="Arial" w:hAnsi="Arial"/>
                <w:sz w:val="18"/>
                <w:szCs w:val="18"/>
                <w:color w:val="0000FF"/>
                <w:w w:val="88"/>
              </w:rPr>
              <w:t>Management’s Discussion and Analysis of Financial Condition and Results of Operations</w:t>
            </w:r>
          </w:p>
        </w:tc>
        <w:tc>
          <w:tcPr>
            <w:tcW w:w="37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140" w:type="dxa"/>
            <w:vAlign w:val="bottom"/>
            <w:gridSpan w:val="5"/>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8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89"/>
              </w:rPr>
              <w:t>Forward-Looking Statements</w:t>
            </w:r>
          </w:p>
        </w:tc>
        <w:tc>
          <w:tcPr>
            <w:tcW w:w="4240" w:type="dxa"/>
            <w:vAlign w:val="bottom"/>
            <w:gridSpan w:val="8"/>
          </w:tcPr>
          <w:p>
            <w:pPr>
              <w:spacing w:after="0"/>
              <w:rPr>
                <w:sz w:val="24"/>
                <w:szCs w:val="24"/>
                <w:color w:val="auto"/>
              </w:rPr>
            </w:pPr>
          </w:p>
        </w:tc>
        <w:tc>
          <w:tcPr>
            <w:tcW w:w="37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7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2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87"/>
              </w:rPr>
              <w:t>Summary Risk Factors</w:t>
            </w:r>
          </w:p>
        </w:tc>
        <w:tc>
          <w:tcPr>
            <w:tcW w:w="4700" w:type="dxa"/>
            <w:vAlign w:val="bottom"/>
            <w:gridSpan w:val="11"/>
          </w:tcPr>
          <w:p>
            <w:pPr>
              <w:spacing w:after="0"/>
              <w:rPr>
                <w:sz w:val="24"/>
                <w:szCs w:val="24"/>
                <w:color w:val="auto"/>
              </w:rPr>
            </w:pPr>
          </w:p>
        </w:tc>
        <w:tc>
          <w:tcPr>
            <w:tcW w:w="37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83"/>
        </w:trPr>
        <w:tc>
          <w:tcPr>
            <w:tcW w:w="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b w:val="1"/>
                <w:bCs w:val="1"/>
                <w:color w:val="0000FF"/>
                <w:w w:val="91"/>
              </w:rPr>
              <w:t>Item 3.</w:t>
            </w:r>
          </w:p>
        </w:tc>
        <w:tc>
          <w:tcPr>
            <w:tcW w:w="620" w:type="dxa"/>
            <w:vAlign w:val="bottom"/>
            <w:gridSpan w:val="2"/>
          </w:tcPr>
          <w:p>
            <w:pPr>
              <w:spacing w:after="0"/>
              <w:rPr>
                <w:sz w:val="24"/>
                <w:szCs w:val="24"/>
                <w:color w:val="auto"/>
              </w:rPr>
            </w:pPr>
          </w:p>
        </w:tc>
        <w:tc>
          <w:tcPr>
            <w:tcW w:w="6320" w:type="dxa"/>
            <w:vAlign w:val="bottom"/>
            <w:gridSpan w:val="19"/>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37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b w:val="1"/>
                <w:bCs w:val="1"/>
                <w:color w:val="0000FF"/>
                <w:w w:val="91"/>
              </w:rPr>
              <w:t>Item 4.</w:t>
            </w:r>
          </w:p>
        </w:tc>
        <w:tc>
          <w:tcPr>
            <w:tcW w:w="620" w:type="dxa"/>
            <w:vAlign w:val="bottom"/>
            <w:gridSpan w:val="2"/>
          </w:tcPr>
          <w:p>
            <w:pPr>
              <w:spacing w:after="0"/>
              <w:rPr>
                <w:sz w:val="24"/>
                <w:szCs w:val="24"/>
                <w:color w:val="auto"/>
              </w:rPr>
            </w:pPr>
          </w:p>
        </w:tc>
        <w:tc>
          <w:tcPr>
            <w:tcW w:w="6320" w:type="dxa"/>
            <w:vAlign w:val="bottom"/>
            <w:gridSpan w:val="19"/>
          </w:tcPr>
          <w:p>
            <w:pPr>
              <w:spacing w:after="0"/>
              <w:rPr>
                <w:sz w:val="20"/>
                <w:szCs w:val="20"/>
                <w:color w:val="auto"/>
              </w:rPr>
            </w:pPr>
            <w:r>
              <w:rPr>
                <w:rFonts w:ascii="Arial" w:cs="Arial" w:eastAsia="Arial" w:hAnsi="Arial"/>
                <w:sz w:val="18"/>
                <w:szCs w:val="18"/>
                <w:color w:val="0000FF"/>
              </w:rPr>
              <w:t>Controls and Procedures</w:t>
            </w:r>
          </w:p>
        </w:tc>
        <w:tc>
          <w:tcPr>
            <w:tcW w:w="37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580" w:type="dxa"/>
            <w:vAlign w:val="bottom"/>
            <w:gridSpan w:val="1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7480" w:type="dxa"/>
            <w:vAlign w:val="bottom"/>
            <w:gridSpan w:val="22"/>
          </w:tcPr>
          <w:p>
            <w:pPr>
              <w:spacing w:after="0"/>
              <w:rPr>
                <w:sz w:val="20"/>
                <w:szCs w:val="20"/>
                <w:color w:val="auto"/>
              </w:rPr>
            </w:pPr>
            <w:r>
              <w:rPr>
                <w:rFonts w:ascii="Arial" w:cs="Arial" w:eastAsia="Arial" w:hAnsi="Arial"/>
                <w:sz w:val="18"/>
                <w:szCs w:val="18"/>
                <w:b w:val="1"/>
                <w:bCs w:val="1"/>
                <w:color w:val="0000FF"/>
              </w:rPr>
              <w:t>PART II: OTHER INFORMATION</w:t>
            </w:r>
          </w:p>
        </w:tc>
        <w:tc>
          <w:tcPr>
            <w:tcW w:w="3740" w:type="dxa"/>
            <w:vAlign w:val="bottom"/>
          </w:tcPr>
          <w:p>
            <w:pPr>
              <w:spacing w:after="0"/>
              <w:rPr>
                <w:sz w:val="24"/>
                <w:szCs w:val="24"/>
                <w:color w:val="auto"/>
              </w:rPr>
            </w:pPr>
          </w:p>
        </w:tc>
      </w:tr>
      <w:tr>
        <w:trPr>
          <w:trHeight w:val="484"/>
        </w:trPr>
        <w:tc>
          <w:tcPr>
            <w:tcW w:w="20" w:type="dxa"/>
            <w:vAlign w:val="bottom"/>
          </w:tcPr>
          <w:p>
            <w:pPr>
              <w:spacing w:after="0"/>
              <w:rPr>
                <w:sz w:val="24"/>
                <w:szCs w:val="24"/>
                <w:color w:val="auto"/>
              </w:rPr>
            </w:pPr>
          </w:p>
        </w:tc>
        <w:tc>
          <w:tcPr>
            <w:tcW w:w="1160" w:type="dxa"/>
            <w:vAlign w:val="bottom"/>
            <w:tcBorders>
              <w:top w:val="single" w:sz="8" w:color="0000FF"/>
            </w:tcBorders>
            <w:gridSpan w:val="3"/>
          </w:tcPr>
          <w:p>
            <w:pPr>
              <w:spacing w:after="0"/>
              <w:rPr>
                <w:sz w:val="20"/>
                <w:szCs w:val="20"/>
                <w:color w:val="auto"/>
              </w:rPr>
            </w:pPr>
            <w:r>
              <w:rPr>
                <w:rFonts w:ascii="Arial" w:cs="Arial" w:eastAsia="Arial" w:hAnsi="Arial"/>
                <w:sz w:val="18"/>
                <w:szCs w:val="18"/>
                <w:b w:val="1"/>
                <w:bCs w:val="1"/>
                <w:color w:val="0000FF"/>
              </w:rPr>
              <w:t>Item 1A.</w:t>
            </w:r>
          </w:p>
        </w:tc>
        <w:tc>
          <w:tcPr>
            <w:tcW w:w="156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rPr>
              <w:t>Risk Factors</w:t>
            </w:r>
          </w:p>
        </w:tc>
        <w:tc>
          <w:tcPr>
            <w:tcW w:w="4760" w:type="dxa"/>
            <w:vAlign w:val="bottom"/>
            <w:gridSpan w:val="12"/>
          </w:tcPr>
          <w:p>
            <w:pPr>
              <w:spacing w:after="0"/>
              <w:rPr>
                <w:sz w:val="24"/>
                <w:szCs w:val="24"/>
                <w:color w:val="auto"/>
              </w:rPr>
            </w:pPr>
          </w:p>
        </w:tc>
        <w:tc>
          <w:tcPr>
            <w:tcW w:w="37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40" w:type="dxa"/>
            <w:vAlign w:val="bottom"/>
            <w:gridSpan w:val="14"/>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b w:val="1"/>
                <w:bCs w:val="1"/>
                <w:color w:val="0000FF"/>
                <w:w w:val="91"/>
              </w:rPr>
              <w:t>Item 5.</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320" w:type="dxa"/>
            <w:vAlign w:val="bottom"/>
            <w:gridSpan w:val="19"/>
          </w:tcPr>
          <w:p>
            <w:pPr>
              <w:spacing w:after="0"/>
              <w:rPr>
                <w:sz w:val="20"/>
                <w:szCs w:val="20"/>
                <w:color w:val="auto"/>
              </w:rPr>
            </w:pPr>
            <w:r>
              <w:rPr>
                <w:rFonts w:ascii="Arial" w:cs="Arial" w:eastAsia="Arial" w:hAnsi="Arial"/>
                <w:sz w:val="18"/>
                <w:szCs w:val="18"/>
                <w:color w:val="0000FF"/>
              </w:rPr>
              <w:t>Other Information</w:t>
            </w:r>
          </w:p>
        </w:tc>
        <w:tc>
          <w:tcPr>
            <w:tcW w:w="37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040" w:type="dxa"/>
            <w:vAlign w:val="bottom"/>
            <w:gridSpan w:val="14"/>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b w:val="1"/>
                <w:bCs w:val="1"/>
                <w:color w:val="0000FF"/>
                <w:w w:val="91"/>
              </w:rPr>
              <w:t>Item 6.</w:t>
            </w:r>
          </w:p>
        </w:tc>
        <w:tc>
          <w:tcPr>
            <w:tcW w:w="620" w:type="dxa"/>
            <w:vAlign w:val="bottom"/>
            <w:gridSpan w:val="2"/>
          </w:tcPr>
          <w:p>
            <w:pPr>
              <w:spacing w:after="0"/>
              <w:rPr>
                <w:sz w:val="24"/>
                <w:szCs w:val="24"/>
                <w:color w:val="auto"/>
              </w:rPr>
            </w:pPr>
          </w:p>
        </w:tc>
        <w:tc>
          <w:tcPr>
            <w:tcW w:w="6320" w:type="dxa"/>
            <w:vAlign w:val="bottom"/>
            <w:gridSpan w:val="19"/>
          </w:tcPr>
          <w:p>
            <w:pPr>
              <w:spacing w:after="0"/>
              <w:rPr>
                <w:sz w:val="20"/>
                <w:szCs w:val="20"/>
                <w:color w:val="auto"/>
              </w:rPr>
            </w:pPr>
            <w:r>
              <w:rPr>
                <w:rFonts w:ascii="Arial" w:cs="Arial" w:eastAsia="Arial" w:hAnsi="Arial"/>
                <w:sz w:val="18"/>
                <w:szCs w:val="18"/>
                <w:color w:val="0000FF"/>
              </w:rPr>
              <w:t>Exhibits</w:t>
            </w:r>
          </w:p>
        </w:tc>
        <w:tc>
          <w:tcPr>
            <w:tcW w:w="37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80" w:type="dxa"/>
            <w:vAlign w:val="bottom"/>
            <w:gridSpan w:val="16"/>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48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320" w:type="dxa"/>
            <w:vAlign w:val="bottom"/>
            <w:gridSpan w:val="19"/>
          </w:tcPr>
          <w:p>
            <w:pPr>
              <w:spacing w:after="0"/>
              <w:rPr>
                <w:sz w:val="20"/>
                <w:szCs w:val="20"/>
                <w:color w:val="auto"/>
              </w:rPr>
            </w:pPr>
            <w:r>
              <w:rPr>
                <w:rFonts w:ascii="Arial" w:cs="Arial" w:eastAsia="Arial" w:hAnsi="Arial"/>
                <w:sz w:val="18"/>
                <w:szCs w:val="18"/>
                <w:color w:val="0000FF"/>
              </w:rPr>
              <w:t>Signatures</w:t>
            </w:r>
          </w:p>
        </w:tc>
        <w:tc>
          <w:tcPr>
            <w:tcW w:w="37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906"/>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Borders>
              <w:top w:val="single" w:sz="8" w:color="0000FF"/>
            </w:tcBorders>
            <w:gridSpan w:val="2"/>
          </w:tcPr>
          <w:p>
            <w:pPr>
              <w:spacing w:after="0"/>
              <w:rPr>
                <w:sz w:val="24"/>
                <w:szCs w:val="24"/>
                <w:color w:val="auto"/>
              </w:rPr>
            </w:pPr>
          </w:p>
        </w:tc>
        <w:tc>
          <w:tcPr>
            <w:tcW w:w="4260" w:type="dxa"/>
            <w:vAlign w:val="bottom"/>
            <w:gridSpan w:val="15"/>
          </w:tcPr>
          <w:p>
            <w:pPr>
              <w:jc w:val="center"/>
              <w:ind w:left="3052"/>
              <w:spacing w:after="0"/>
              <w:rPr>
                <w:sz w:val="20"/>
                <w:szCs w:val="20"/>
                <w:color w:val="auto"/>
              </w:rPr>
            </w:pPr>
            <w:r>
              <w:rPr>
                <w:rFonts w:ascii="Arial" w:cs="Arial" w:eastAsia="Arial" w:hAnsi="Arial"/>
                <w:sz w:val="18"/>
                <w:szCs w:val="18"/>
                <w:color w:val="auto"/>
                <w:w w:val="79"/>
              </w:rPr>
              <w:t>2</w:t>
            </w:r>
          </w:p>
        </w:tc>
        <w:tc>
          <w:tcPr>
            <w:tcW w:w="132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113"/>
        </w:trPr>
        <w:tc>
          <w:tcPr>
            <w:tcW w:w="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37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INCYTE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 and par value)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center"/>
              <w:ind w:right="161"/>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26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8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6"/>
              </w:rPr>
              <w:t>2023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0"/>
        </w:trPr>
        <w:tc>
          <w:tcPr>
            <w:tcW w:w="8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center"/>
              <w:ind w:right="161"/>
              <w:spacing w:after="0"/>
              <w:rPr>
                <w:sz w:val="20"/>
                <w:szCs w:val="20"/>
                <w:color w:val="auto"/>
              </w:rPr>
            </w:pPr>
            <w:r>
              <w:rPr>
                <w:rFonts w:ascii="Arial" w:cs="Arial" w:eastAsia="Arial" w:hAnsi="Arial"/>
                <w:sz w:val="14"/>
                <w:szCs w:val="14"/>
                <w:b w:val="1"/>
                <w:bCs w:val="1"/>
                <w:color w:val="auto"/>
                <w:w w:val="91"/>
              </w:rPr>
              <w:t>(unaudited)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1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3,131,123</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2,951,422</w:t>
            </w:r>
          </w:p>
        </w:tc>
        <w:tc>
          <w:tcPr>
            <w:tcW w:w="0" w:type="dxa"/>
            <w:vAlign w:val="bottom"/>
          </w:tcPr>
          <w:p>
            <w:pPr>
              <w:spacing w:after="0"/>
              <w:rPr>
                <w:sz w:val="1"/>
                <w:szCs w:val="1"/>
                <w:color w:val="auto"/>
              </w:rPr>
            </w:pPr>
          </w:p>
        </w:tc>
      </w:tr>
      <w:tr>
        <w:trPr>
          <w:trHeight w:val="202"/>
        </w:trPr>
        <w:tc>
          <w:tcPr>
            <w:tcW w:w="8160" w:type="dxa"/>
            <w:vAlign w:val="bottom"/>
          </w:tcPr>
          <w:p>
            <w:pPr>
              <w:ind w:left="260"/>
              <w:spacing w:after="0"/>
              <w:rPr>
                <w:sz w:val="20"/>
                <w:szCs w:val="20"/>
                <w:color w:val="auto"/>
              </w:rPr>
            </w:pPr>
            <w:r>
              <w:rPr>
                <w:rFonts w:ascii="Arial" w:cs="Arial" w:eastAsia="Arial" w:hAnsi="Arial"/>
                <w:sz w:val="16"/>
                <w:szCs w:val="16"/>
                <w:color w:val="auto"/>
                <w:w w:val="91"/>
              </w:rPr>
              <w:t>Marketable securities—available-for-sale (amortized cost $294,371 and $292,580 as of June 30, 2023 and December 31,</w:t>
            </w: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8160" w:type="dxa"/>
            <w:vAlign w:val="bottom"/>
          </w:tcPr>
          <w:p>
            <w:pPr>
              <w:ind w:left="260"/>
              <w:spacing w:after="0"/>
              <w:rPr>
                <w:sz w:val="20"/>
                <w:szCs w:val="20"/>
                <w:color w:val="auto"/>
              </w:rPr>
            </w:pPr>
            <w:r>
              <w:rPr>
                <w:rFonts w:ascii="Arial" w:cs="Arial" w:eastAsia="Arial" w:hAnsi="Arial"/>
                <w:sz w:val="16"/>
                <w:szCs w:val="16"/>
                <w:color w:val="auto"/>
              </w:rPr>
              <w:t>2022, respectively; allowance for credit losses $0 as of June 30, 2023 and December 31, 2022)</w:t>
            </w:r>
          </w:p>
        </w:tc>
        <w:tc>
          <w:tcPr>
            <w:tcW w:w="240" w:type="dxa"/>
            <w:vAlign w:val="bottom"/>
          </w:tcPr>
          <w:p>
            <w:pPr>
              <w:spacing w:after="0"/>
              <w:rPr>
                <w:sz w:val="20"/>
                <w:szCs w:val="20"/>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292,243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287,543</w:t>
            </w:r>
          </w:p>
        </w:tc>
        <w:tc>
          <w:tcPr>
            <w:tcW w:w="0" w:type="dxa"/>
            <w:vAlign w:val="bottom"/>
          </w:tcPr>
          <w:p>
            <w:pPr>
              <w:spacing w:after="0"/>
              <w:rPr>
                <w:sz w:val="1"/>
                <w:szCs w:val="1"/>
                <w:color w:val="auto"/>
              </w:rPr>
            </w:pPr>
          </w:p>
        </w:tc>
      </w:tr>
      <w:tr>
        <w:trPr>
          <w:trHeight w:val="214"/>
        </w:trPr>
        <w:tc>
          <w:tcPr>
            <w:tcW w:w="81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Accounts receivable</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637,994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644,879</w:t>
            </w:r>
          </w:p>
        </w:tc>
        <w:tc>
          <w:tcPr>
            <w:tcW w:w="0" w:type="dxa"/>
            <w:vAlign w:val="bottom"/>
          </w:tcPr>
          <w:p>
            <w:pPr>
              <w:spacing w:after="0"/>
              <w:rPr>
                <w:sz w:val="1"/>
                <w:szCs w:val="1"/>
                <w:color w:val="auto"/>
              </w:rPr>
            </w:pPr>
          </w:p>
        </w:tc>
      </w:tr>
      <w:tr>
        <w:trPr>
          <w:trHeight w:val="210"/>
        </w:trPr>
        <w:tc>
          <w:tcPr>
            <w:tcW w:w="8160" w:type="dxa"/>
            <w:vAlign w:val="bottom"/>
          </w:tcPr>
          <w:p>
            <w:pPr>
              <w:ind w:left="260"/>
              <w:spacing w:after="0"/>
              <w:rPr>
                <w:sz w:val="20"/>
                <w:szCs w:val="20"/>
                <w:color w:val="auto"/>
              </w:rPr>
            </w:pPr>
            <w:r>
              <w:rPr>
                <w:rFonts w:ascii="Arial" w:cs="Arial" w:eastAsia="Arial" w:hAnsi="Arial"/>
                <w:sz w:val="16"/>
                <w:szCs w:val="16"/>
                <w:color w:val="auto"/>
              </w:rPr>
              <w:t>Inventory</w:t>
            </w:r>
          </w:p>
        </w:tc>
        <w:tc>
          <w:tcPr>
            <w:tcW w:w="24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35,937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41,995</w:t>
            </w:r>
          </w:p>
        </w:tc>
        <w:tc>
          <w:tcPr>
            <w:tcW w:w="0" w:type="dxa"/>
            <w:vAlign w:val="bottom"/>
          </w:tcPr>
          <w:p>
            <w:pPr>
              <w:spacing w:after="0"/>
              <w:rPr>
                <w:sz w:val="1"/>
                <w:szCs w:val="1"/>
                <w:color w:val="auto"/>
              </w:rPr>
            </w:pPr>
          </w:p>
        </w:tc>
      </w:tr>
      <w:tr>
        <w:trPr>
          <w:trHeight w:val="214"/>
        </w:trPr>
        <w:tc>
          <w:tcPr>
            <w:tcW w:w="81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167,136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167,011</w:t>
            </w:r>
          </w:p>
        </w:tc>
        <w:tc>
          <w:tcPr>
            <w:tcW w:w="0" w:type="dxa"/>
            <w:vAlign w:val="bottom"/>
          </w:tcPr>
          <w:p>
            <w:pPr>
              <w:spacing w:after="0"/>
              <w:rPr>
                <w:sz w:val="1"/>
                <w:szCs w:val="1"/>
                <w:color w:val="auto"/>
              </w:rPr>
            </w:pPr>
          </w:p>
        </w:tc>
      </w:tr>
      <w:tr>
        <w:trPr>
          <w:trHeight w:val="203"/>
        </w:trPr>
        <w:tc>
          <w:tcPr>
            <w:tcW w:w="8160" w:type="dxa"/>
            <w:vAlign w:val="bottom"/>
          </w:tcPr>
          <w:p>
            <w:pPr>
              <w:ind w:left="34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17"/>
                <w:szCs w:val="17"/>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4,264,433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4,092,850</w:t>
            </w:r>
          </w:p>
        </w:tc>
        <w:tc>
          <w:tcPr>
            <w:tcW w:w="0" w:type="dxa"/>
            <w:vAlign w:val="bottom"/>
          </w:tcPr>
          <w:p>
            <w:pPr>
              <w:spacing w:after="0"/>
              <w:rPr>
                <w:sz w:val="1"/>
                <w:szCs w:val="1"/>
                <w:color w:val="auto"/>
              </w:rPr>
            </w:pPr>
          </w:p>
        </w:tc>
      </w:tr>
      <w:tr>
        <w:trPr>
          <w:trHeight w:val="162"/>
        </w:trPr>
        <w:tc>
          <w:tcPr>
            <w:tcW w:w="8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16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1,719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1,698</w:t>
            </w:r>
          </w:p>
        </w:tc>
        <w:tc>
          <w:tcPr>
            <w:tcW w:w="0" w:type="dxa"/>
            <w:vAlign w:val="bottom"/>
          </w:tcPr>
          <w:p>
            <w:pPr>
              <w:spacing w:after="0"/>
              <w:rPr>
                <w:sz w:val="1"/>
                <w:szCs w:val="1"/>
                <w:color w:val="auto"/>
              </w:rPr>
            </w:pPr>
          </w:p>
        </w:tc>
      </w:tr>
      <w:tr>
        <w:trPr>
          <w:trHeight w:val="214"/>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 term investments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170,316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133,676</w:t>
            </w:r>
          </w:p>
        </w:tc>
        <w:tc>
          <w:tcPr>
            <w:tcW w:w="0" w:type="dxa"/>
            <w:vAlign w:val="bottom"/>
          </w:tcPr>
          <w:p>
            <w:pPr>
              <w:spacing w:after="0"/>
              <w:rPr>
                <w:sz w:val="1"/>
                <w:szCs w:val="1"/>
                <w:color w:val="auto"/>
              </w:rPr>
            </w:pPr>
          </w:p>
        </w:tc>
      </w:tr>
      <w:tr>
        <w:trPr>
          <w:trHeight w:val="210"/>
        </w:trPr>
        <w:tc>
          <w:tcPr>
            <w:tcW w:w="8160" w:type="dxa"/>
            <w:vAlign w:val="bottom"/>
          </w:tcPr>
          <w:p>
            <w:pPr>
              <w:ind w:left="20"/>
              <w:spacing w:after="0"/>
              <w:rPr>
                <w:sz w:val="20"/>
                <w:szCs w:val="20"/>
                <w:color w:val="auto"/>
              </w:rPr>
            </w:pPr>
            <w:r>
              <w:rPr>
                <w:rFonts w:ascii="Arial" w:cs="Arial" w:eastAsia="Arial" w:hAnsi="Arial"/>
                <w:sz w:val="16"/>
                <w:szCs w:val="16"/>
                <w:color w:val="auto"/>
              </w:rPr>
              <w:t>Inventory</w:t>
            </w:r>
          </w:p>
        </w:tc>
        <w:tc>
          <w:tcPr>
            <w:tcW w:w="24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142,048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78,964</w:t>
            </w:r>
          </w:p>
        </w:tc>
        <w:tc>
          <w:tcPr>
            <w:tcW w:w="0" w:type="dxa"/>
            <w:vAlign w:val="bottom"/>
          </w:tcPr>
          <w:p>
            <w:pPr>
              <w:spacing w:after="0"/>
              <w:rPr>
                <w:sz w:val="1"/>
                <w:szCs w:val="1"/>
                <w:color w:val="auto"/>
              </w:rPr>
            </w:pPr>
          </w:p>
        </w:tc>
      </w:tr>
      <w:tr>
        <w:trPr>
          <w:trHeight w:val="214"/>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749,352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739,310</w:t>
            </w:r>
          </w:p>
        </w:tc>
        <w:tc>
          <w:tcPr>
            <w:tcW w:w="0" w:type="dxa"/>
            <w:vAlign w:val="bottom"/>
          </w:tcPr>
          <w:p>
            <w:pPr>
              <w:spacing w:after="0"/>
              <w:rPr>
                <w:sz w:val="1"/>
                <w:szCs w:val="1"/>
                <w:color w:val="auto"/>
              </w:rPr>
            </w:pPr>
          </w:p>
        </w:tc>
      </w:tr>
      <w:tr>
        <w:trPr>
          <w:trHeight w:val="210"/>
        </w:trPr>
        <w:tc>
          <w:tcPr>
            <w:tcW w:w="8160" w:type="dxa"/>
            <w:vAlign w:val="bottom"/>
          </w:tcPr>
          <w:p>
            <w:pPr>
              <w:ind w:left="20"/>
              <w:spacing w:after="0"/>
              <w:rPr>
                <w:sz w:val="20"/>
                <w:szCs w:val="20"/>
                <w:color w:val="auto"/>
              </w:rPr>
            </w:pPr>
            <w:r>
              <w:rPr>
                <w:rFonts w:ascii="Arial" w:cs="Arial" w:eastAsia="Arial" w:hAnsi="Arial"/>
                <w:sz w:val="16"/>
                <w:szCs w:val="16"/>
                <w:color w:val="auto"/>
              </w:rPr>
              <w:t>Finance lease right-of-use assets, net</w:t>
            </w:r>
          </w:p>
        </w:tc>
        <w:tc>
          <w:tcPr>
            <w:tcW w:w="24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25,631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26,298</w:t>
            </w:r>
          </w:p>
        </w:tc>
        <w:tc>
          <w:tcPr>
            <w:tcW w:w="0" w:type="dxa"/>
            <w:vAlign w:val="bottom"/>
          </w:tcPr>
          <w:p>
            <w:pPr>
              <w:spacing w:after="0"/>
              <w:rPr>
                <w:sz w:val="1"/>
                <w:szCs w:val="1"/>
                <w:color w:val="auto"/>
              </w:rPr>
            </w:pPr>
          </w:p>
        </w:tc>
      </w:tr>
      <w:tr>
        <w:trPr>
          <w:trHeight w:val="214"/>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 net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134,954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129,219</w:t>
            </w:r>
          </w:p>
        </w:tc>
        <w:tc>
          <w:tcPr>
            <w:tcW w:w="0" w:type="dxa"/>
            <w:vAlign w:val="bottom"/>
          </w:tcPr>
          <w:p>
            <w:pPr>
              <w:spacing w:after="0"/>
              <w:rPr>
                <w:sz w:val="1"/>
                <w:szCs w:val="1"/>
                <w:color w:val="auto"/>
              </w:rPr>
            </w:pPr>
          </w:p>
        </w:tc>
      </w:tr>
      <w:tr>
        <w:trPr>
          <w:trHeight w:val="210"/>
        </w:trPr>
        <w:tc>
          <w:tcPr>
            <w:tcW w:w="8160" w:type="dxa"/>
            <w:vAlign w:val="bottom"/>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155,593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155,593</w:t>
            </w:r>
          </w:p>
        </w:tc>
        <w:tc>
          <w:tcPr>
            <w:tcW w:w="0" w:type="dxa"/>
            <w:vAlign w:val="bottom"/>
          </w:tcPr>
          <w:p>
            <w:pPr>
              <w:spacing w:after="0"/>
              <w:rPr>
                <w:sz w:val="1"/>
                <w:szCs w:val="1"/>
                <w:color w:val="auto"/>
              </w:rPr>
            </w:pPr>
          </w:p>
        </w:tc>
      </w:tr>
      <w:tr>
        <w:trPr>
          <w:trHeight w:val="214"/>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 asset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532,507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457,941</w:t>
            </w:r>
          </w:p>
        </w:tc>
        <w:tc>
          <w:tcPr>
            <w:tcW w:w="0" w:type="dxa"/>
            <w:vAlign w:val="bottom"/>
          </w:tcPr>
          <w:p>
            <w:pPr>
              <w:spacing w:after="0"/>
              <w:rPr>
                <w:sz w:val="1"/>
                <w:szCs w:val="1"/>
                <w:color w:val="auto"/>
              </w:rPr>
            </w:pPr>
          </w:p>
        </w:tc>
      </w:tr>
      <w:tr>
        <w:trPr>
          <w:trHeight w:val="209"/>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 net</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31,706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25,435</w:t>
            </w:r>
          </w:p>
        </w:tc>
        <w:tc>
          <w:tcPr>
            <w:tcW w:w="0" w:type="dxa"/>
            <w:vAlign w:val="bottom"/>
          </w:tcPr>
          <w:p>
            <w:pPr>
              <w:spacing w:after="0"/>
              <w:rPr>
                <w:sz w:val="1"/>
                <w:szCs w:val="1"/>
                <w:color w:val="auto"/>
              </w:rPr>
            </w:pPr>
          </w:p>
        </w:tc>
      </w:tr>
      <w:tr>
        <w:trPr>
          <w:trHeight w:val="228"/>
        </w:trPr>
        <w:tc>
          <w:tcPr>
            <w:tcW w:w="8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assets</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6,208,259</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5,840,984</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8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155,538</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277,546</w:t>
            </w:r>
          </w:p>
        </w:tc>
        <w:tc>
          <w:tcPr>
            <w:tcW w:w="0" w:type="dxa"/>
            <w:vAlign w:val="bottom"/>
          </w:tcPr>
          <w:p>
            <w:pPr>
              <w:spacing w:after="0"/>
              <w:rPr>
                <w:sz w:val="1"/>
                <w:szCs w:val="1"/>
                <w:color w:val="auto"/>
              </w:rPr>
            </w:pPr>
          </w:p>
        </w:tc>
      </w:tr>
      <w:tr>
        <w:trPr>
          <w:trHeight w:val="210"/>
        </w:trPr>
        <w:tc>
          <w:tcPr>
            <w:tcW w:w="8160" w:type="dxa"/>
            <w:vAlign w:val="bottom"/>
          </w:tcPr>
          <w:p>
            <w:pPr>
              <w:ind w:left="260"/>
              <w:spacing w:after="0"/>
              <w:rPr>
                <w:sz w:val="20"/>
                <w:szCs w:val="20"/>
                <w:color w:val="auto"/>
              </w:rPr>
            </w:pPr>
            <w:r>
              <w:rPr>
                <w:rFonts w:ascii="Arial" w:cs="Arial" w:eastAsia="Arial" w:hAnsi="Arial"/>
                <w:sz w:val="16"/>
                <w:szCs w:val="16"/>
                <w:color w:val="auto"/>
              </w:rPr>
              <w:t>Accrued compensation</w:t>
            </w:r>
          </w:p>
        </w:tc>
        <w:tc>
          <w:tcPr>
            <w:tcW w:w="24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111,708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138,761</w:t>
            </w:r>
          </w:p>
        </w:tc>
        <w:tc>
          <w:tcPr>
            <w:tcW w:w="0" w:type="dxa"/>
            <w:vAlign w:val="bottom"/>
          </w:tcPr>
          <w:p>
            <w:pPr>
              <w:spacing w:after="0"/>
              <w:rPr>
                <w:sz w:val="1"/>
                <w:szCs w:val="1"/>
                <w:color w:val="auto"/>
              </w:rPr>
            </w:pPr>
          </w:p>
        </w:tc>
      </w:tr>
      <w:tr>
        <w:trPr>
          <w:trHeight w:val="215"/>
        </w:trPr>
        <w:tc>
          <w:tcPr>
            <w:tcW w:w="81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Accrued and other current liabilities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810,852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701,053</w:t>
            </w:r>
          </w:p>
        </w:tc>
        <w:tc>
          <w:tcPr>
            <w:tcW w:w="0" w:type="dxa"/>
            <w:vAlign w:val="bottom"/>
          </w:tcPr>
          <w:p>
            <w:pPr>
              <w:spacing w:after="0"/>
              <w:rPr>
                <w:sz w:val="1"/>
                <w:szCs w:val="1"/>
                <w:color w:val="auto"/>
              </w:rPr>
            </w:pPr>
          </w:p>
        </w:tc>
      </w:tr>
      <w:tr>
        <w:trPr>
          <w:trHeight w:val="210"/>
        </w:trPr>
        <w:tc>
          <w:tcPr>
            <w:tcW w:w="8160" w:type="dxa"/>
            <w:vAlign w:val="bottom"/>
          </w:tcPr>
          <w:p>
            <w:pPr>
              <w:ind w:left="260"/>
              <w:spacing w:after="0"/>
              <w:rPr>
                <w:sz w:val="20"/>
                <w:szCs w:val="20"/>
                <w:color w:val="auto"/>
              </w:rPr>
            </w:pPr>
            <w:r>
              <w:rPr>
                <w:rFonts w:ascii="Arial" w:cs="Arial" w:eastAsia="Arial" w:hAnsi="Arial"/>
                <w:sz w:val="16"/>
                <w:szCs w:val="16"/>
                <w:color w:val="auto"/>
              </w:rPr>
              <w:t>Finance lease liabilities</w:t>
            </w:r>
          </w:p>
        </w:tc>
        <w:tc>
          <w:tcPr>
            <w:tcW w:w="24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3,166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3,179</w:t>
            </w:r>
          </w:p>
        </w:tc>
        <w:tc>
          <w:tcPr>
            <w:tcW w:w="0" w:type="dxa"/>
            <w:vAlign w:val="bottom"/>
          </w:tcPr>
          <w:p>
            <w:pPr>
              <w:spacing w:after="0"/>
              <w:rPr>
                <w:sz w:val="1"/>
                <w:szCs w:val="1"/>
                <w:color w:val="auto"/>
              </w:rPr>
            </w:pPr>
          </w:p>
        </w:tc>
      </w:tr>
      <w:tr>
        <w:trPr>
          <w:trHeight w:val="215"/>
        </w:trPr>
        <w:tc>
          <w:tcPr>
            <w:tcW w:w="81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Acquisition-related contingent consideration</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37,509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36,538</w:t>
            </w:r>
          </w:p>
        </w:tc>
        <w:tc>
          <w:tcPr>
            <w:tcW w:w="0" w:type="dxa"/>
            <w:vAlign w:val="bottom"/>
          </w:tcPr>
          <w:p>
            <w:pPr>
              <w:spacing w:after="0"/>
              <w:rPr>
                <w:sz w:val="1"/>
                <w:szCs w:val="1"/>
                <w:color w:val="auto"/>
              </w:rPr>
            </w:pPr>
          </w:p>
        </w:tc>
      </w:tr>
      <w:tr>
        <w:trPr>
          <w:trHeight w:val="203"/>
        </w:trPr>
        <w:tc>
          <w:tcPr>
            <w:tcW w:w="8160" w:type="dxa"/>
            <w:vAlign w:val="bottom"/>
          </w:tcPr>
          <w:p>
            <w:pPr>
              <w:ind w:left="340"/>
              <w:spacing w:after="0"/>
              <w:rPr>
                <w:sz w:val="20"/>
                <w:szCs w:val="20"/>
                <w:color w:val="auto"/>
              </w:rPr>
            </w:pPr>
            <w:r>
              <w:rPr>
                <w:rFonts w:ascii="Arial" w:cs="Arial" w:eastAsia="Arial" w:hAnsi="Arial"/>
                <w:sz w:val="16"/>
                <w:szCs w:val="16"/>
                <w:color w:val="auto"/>
              </w:rPr>
              <w:t>Total current liabilities</w:t>
            </w:r>
          </w:p>
        </w:tc>
        <w:tc>
          <w:tcPr>
            <w:tcW w:w="240" w:type="dxa"/>
            <w:vAlign w:val="bottom"/>
          </w:tcPr>
          <w:p>
            <w:pPr>
              <w:spacing w:after="0"/>
              <w:rPr>
                <w:sz w:val="17"/>
                <w:szCs w:val="17"/>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1,118,773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1,157,077</w:t>
            </w:r>
          </w:p>
        </w:tc>
        <w:tc>
          <w:tcPr>
            <w:tcW w:w="0" w:type="dxa"/>
            <w:vAlign w:val="bottom"/>
          </w:tcPr>
          <w:p>
            <w:pPr>
              <w:spacing w:after="0"/>
              <w:rPr>
                <w:sz w:val="1"/>
                <w:szCs w:val="1"/>
                <w:color w:val="auto"/>
              </w:rPr>
            </w:pPr>
          </w:p>
        </w:tc>
      </w:tr>
      <w:tr>
        <w:trPr>
          <w:trHeight w:val="162"/>
        </w:trPr>
        <w:tc>
          <w:tcPr>
            <w:tcW w:w="8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160" w:type="dxa"/>
            <w:vAlign w:val="bottom"/>
          </w:tcPr>
          <w:p>
            <w:pPr>
              <w:ind w:left="20"/>
              <w:spacing w:after="0"/>
              <w:rPr>
                <w:sz w:val="20"/>
                <w:szCs w:val="20"/>
                <w:color w:val="auto"/>
              </w:rPr>
            </w:pPr>
            <w:r>
              <w:rPr>
                <w:rFonts w:ascii="Arial" w:cs="Arial" w:eastAsia="Arial" w:hAnsi="Arial"/>
                <w:sz w:val="16"/>
                <w:szCs w:val="16"/>
                <w:color w:val="auto"/>
              </w:rPr>
              <w:t>Acquisition-related contingent consideration</w:t>
            </w:r>
          </w:p>
        </w:tc>
        <w:tc>
          <w:tcPr>
            <w:tcW w:w="24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179,491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184,462</w:t>
            </w:r>
          </w:p>
        </w:tc>
        <w:tc>
          <w:tcPr>
            <w:tcW w:w="0" w:type="dxa"/>
            <w:vAlign w:val="bottom"/>
          </w:tcPr>
          <w:p>
            <w:pPr>
              <w:spacing w:after="0"/>
              <w:rPr>
                <w:sz w:val="1"/>
                <w:szCs w:val="1"/>
                <w:color w:val="auto"/>
              </w:rPr>
            </w:pPr>
          </w:p>
        </w:tc>
      </w:tr>
      <w:tr>
        <w:trPr>
          <w:trHeight w:val="215"/>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liabilities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29,491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30,083</w:t>
            </w:r>
          </w:p>
        </w:tc>
        <w:tc>
          <w:tcPr>
            <w:tcW w:w="0" w:type="dxa"/>
            <w:vAlign w:val="bottom"/>
          </w:tcPr>
          <w:p>
            <w:pPr>
              <w:spacing w:after="0"/>
              <w:rPr>
                <w:sz w:val="1"/>
                <w:szCs w:val="1"/>
                <w:color w:val="auto"/>
              </w:rPr>
            </w:pPr>
          </w:p>
        </w:tc>
      </w:tr>
      <w:tr>
        <w:trPr>
          <w:trHeight w:val="210"/>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139,812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99,243</w:t>
            </w:r>
          </w:p>
        </w:tc>
        <w:tc>
          <w:tcPr>
            <w:tcW w:w="0" w:type="dxa"/>
            <w:vAlign w:val="bottom"/>
          </w:tcPr>
          <w:p>
            <w:pPr>
              <w:spacing w:after="0"/>
              <w:rPr>
                <w:sz w:val="1"/>
                <w:szCs w:val="1"/>
                <w:color w:val="auto"/>
              </w:rPr>
            </w:pPr>
          </w:p>
        </w:tc>
      </w:tr>
      <w:tr>
        <w:trPr>
          <w:trHeight w:val="205"/>
        </w:trPr>
        <w:tc>
          <w:tcPr>
            <w:tcW w:w="8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1,467,567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1,470,865</w:t>
            </w:r>
          </w:p>
        </w:tc>
        <w:tc>
          <w:tcPr>
            <w:tcW w:w="0" w:type="dxa"/>
            <w:vAlign w:val="bottom"/>
          </w:tcPr>
          <w:p>
            <w:pPr>
              <w:spacing w:after="0"/>
              <w:rPr>
                <w:sz w:val="1"/>
                <w:szCs w:val="1"/>
                <w:color w:val="auto"/>
              </w:rPr>
            </w:pPr>
          </w:p>
        </w:tc>
      </w:tr>
      <w:tr>
        <w:trPr>
          <w:trHeight w:val="141"/>
        </w:trPr>
        <w:tc>
          <w:tcPr>
            <w:tcW w:w="8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14)</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60" w:type="dxa"/>
            <w:vAlign w:val="bottom"/>
          </w:tcPr>
          <w:p>
            <w:pPr>
              <w:ind w:left="260"/>
              <w:spacing w:after="0"/>
              <w:rPr>
                <w:sz w:val="20"/>
                <w:szCs w:val="20"/>
                <w:color w:val="auto"/>
              </w:rPr>
            </w:pPr>
            <w:r>
              <w:rPr>
                <w:rFonts w:ascii="Arial" w:cs="Arial" w:eastAsia="Arial" w:hAnsi="Arial"/>
                <w:sz w:val="16"/>
                <w:szCs w:val="16"/>
                <w:color w:val="auto"/>
              </w:rPr>
              <w:t>Preferred stock, $0.001 par value; 5,000,000 shares authorized; none issued or outstanding</w:t>
            </w:r>
          </w:p>
        </w:tc>
        <w:tc>
          <w:tcPr>
            <w:tcW w:w="24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5"/>
        </w:trPr>
        <w:tc>
          <w:tcPr>
            <w:tcW w:w="8160" w:type="dxa"/>
            <w:vAlign w:val="bottom"/>
            <w:shd w:val="clear" w:color="auto" w:fill="CCEEFF"/>
          </w:tcPr>
          <w:p>
            <w:pPr>
              <w:ind w:left="260"/>
              <w:spacing w:after="0" w:line="165" w:lineRule="exact"/>
              <w:rPr>
                <w:sz w:val="20"/>
                <w:szCs w:val="20"/>
                <w:color w:val="auto"/>
              </w:rPr>
            </w:pPr>
            <w:r>
              <w:rPr>
                <w:rFonts w:ascii="Arial" w:cs="Arial" w:eastAsia="Arial" w:hAnsi="Arial"/>
                <w:sz w:val="16"/>
                <w:szCs w:val="16"/>
                <w:color w:val="auto"/>
                <w:w w:val="95"/>
              </w:rPr>
              <w:t>Common stock, $0.001 par value; 400,000,000 shares authorized; 223,338,330 and 222,746,719 shares issued and</w:t>
            </w:r>
          </w:p>
        </w:tc>
        <w:tc>
          <w:tcPr>
            <w:tcW w:w="24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223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09"/>
        </w:trPr>
        <w:tc>
          <w:tcPr>
            <w:tcW w:w="81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outstanding as of June 30, 2023 and December 31, 2022, respectively</w:t>
            </w:r>
          </w:p>
        </w:tc>
        <w:tc>
          <w:tcPr>
            <w:tcW w:w="24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60" w:type="dxa"/>
            <w:vAlign w:val="bottom"/>
          </w:tcPr>
          <w:p>
            <w:pPr>
              <w:ind w:left="26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4,925,626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4,792,041</w:t>
            </w:r>
          </w:p>
        </w:tc>
        <w:tc>
          <w:tcPr>
            <w:tcW w:w="0" w:type="dxa"/>
            <w:vAlign w:val="bottom"/>
          </w:tcPr>
          <w:p>
            <w:pPr>
              <w:spacing w:after="0"/>
              <w:rPr>
                <w:sz w:val="1"/>
                <w:szCs w:val="1"/>
                <w:color w:val="auto"/>
              </w:rPr>
            </w:pPr>
          </w:p>
        </w:tc>
      </w:tr>
      <w:tr>
        <w:trPr>
          <w:trHeight w:val="215"/>
        </w:trPr>
        <w:tc>
          <w:tcPr>
            <w:tcW w:w="81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Accumulated other comprehensive income</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26,806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15,069</w:t>
            </w:r>
          </w:p>
        </w:tc>
        <w:tc>
          <w:tcPr>
            <w:tcW w:w="0" w:type="dxa"/>
            <w:vAlign w:val="bottom"/>
          </w:tcPr>
          <w:p>
            <w:pPr>
              <w:spacing w:after="0"/>
              <w:rPr>
                <w:sz w:val="1"/>
                <w:szCs w:val="1"/>
                <w:color w:val="auto"/>
              </w:rPr>
            </w:pPr>
          </w:p>
        </w:tc>
      </w:tr>
      <w:tr>
        <w:trPr>
          <w:trHeight w:val="212"/>
        </w:trPr>
        <w:tc>
          <w:tcPr>
            <w:tcW w:w="8160" w:type="dxa"/>
            <w:vAlign w:val="bottom"/>
          </w:tcPr>
          <w:p>
            <w:pPr>
              <w:ind w:left="260"/>
              <w:spacing w:after="0"/>
              <w:rPr>
                <w:sz w:val="20"/>
                <w:szCs w:val="20"/>
                <w:color w:val="auto"/>
              </w:rPr>
            </w:pPr>
            <w:r>
              <w:rPr>
                <w:rFonts w:ascii="Arial" w:cs="Arial" w:eastAsia="Arial" w:hAnsi="Arial"/>
                <w:sz w:val="16"/>
                <w:szCs w:val="16"/>
                <w:color w:val="auto"/>
              </w:rPr>
              <w:t>Accumulated deficit</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(211,963)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(437,214)</w:t>
            </w:r>
          </w:p>
        </w:tc>
        <w:tc>
          <w:tcPr>
            <w:tcW w:w="0" w:type="dxa"/>
            <w:vAlign w:val="bottom"/>
          </w:tcPr>
          <w:p>
            <w:pPr>
              <w:spacing w:after="0"/>
              <w:rPr>
                <w:sz w:val="1"/>
                <w:szCs w:val="1"/>
                <w:color w:val="auto"/>
              </w:rPr>
            </w:pPr>
          </w:p>
        </w:tc>
      </w:tr>
      <w:tr>
        <w:trPr>
          <w:trHeight w:val="203"/>
        </w:trPr>
        <w:tc>
          <w:tcPr>
            <w:tcW w:w="8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4,740,692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4,370,119</w:t>
            </w:r>
          </w:p>
        </w:tc>
        <w:tc>
          <w:tcPr>
            <w:tcW w:w="0" w:type="dxa"/>
            <w:vAlign w:val="bottom"/>
          </w:tcPr>
          <w:p>
            <w:pPr>
              <w:spacing w:after="0"/>
              <w:rPr>
                <w:sz w:val="1"/>
                <w:szCs w:val="1"/>
                <w:color w:val="auto"/>
              </w:rPr>
            </w:pPr>
          </w:p>
        </w:tc>
      </w:tr>
      <w:tr>
        <w:trPr>
          <w:trHeight w:val="208"/>
        </w:trPr>
        <w:tc>
          <w:tcPr>
            <w:tcW w:w="8160" w:type="dxa"/>
            <w:vAlign w:val="bottom"/>
          </w:tcPr>
          <w:p>
            <w:pPr>
              <w:ind w:left="34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6,208,259</w:t>
            </w: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5,840,984</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jc w:val="center"/>
        <w:ind w:left="4720" w:right="620" w:hanging="4714"/>
        <w:spacing w:after="0" w:line="326" w:lineRule="auto"/>
        <w:tabs>
          <w:tab w:leader="none" w:pos="3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condensed consolidated balance sheet at December 31, 2022 has been derived from the audited consolidated financial statements at that date. See accompanying notes.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86360</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INCYTE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June 30,</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June 30,</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0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50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3"/>
              </w:rPr>
              <w:t>2022</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20" w:type="dxa"/>
            <w:vAlign w:val="bottom"/>
          </w:tcPr>
          <w:p>
            <w:pPr>
              <w:ind w:left="260"/>
              <w:spacing w:after="0"/>
              <w:rPr>
                <w:sz w:val="20"/>
                <w:szCs w:val="20"/>
                <w:color w:val="auto"/>
              </w:rPr>
            </w:pPr>
            <w:r>
              <w:rPr>
                <w:rFonts w:ascii="Arial" w:cs="Arial" w:eastAsia="Arial" w:hAnsi="Arial"/>
                <w:sz w:val="18"/>
                <w:szCs w:val="18"/>
                <w:color w:val="auto"/>
              </w:rPr>
              <w:t>Product revenues, net</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827,005</w:t>
            </w:r>
          </w:p>
        </w:tc>
        <w:tc>
          <w:tcPr>
            <w:tcW w:w="6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663,851</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1,520,242</w:t>
            </w:r>
          </w:p>
        </w:tc>
        <w:tc>
          <w:tcPr>
            <w:tcW w:w="6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1,269,672</w:t>
            </w:r>
          </w:p>
        </w:tc>
        <w:tc>
          <w:tcPr>
            <w:tcW w:w="0" w:type="dxa"/>
            <w:vAlign w:val="bottom"/>
          </w:tcPr>
          <w:p>
            <w:pPr>
              <w:spacing w:after="0"/>
              <w:rPr>
                <w:sz w:val="1"/>
                <w:szCs w:val="1"/>
                <w:color w:val="auto"/>
              </w:rPr>
            </w:pPr>
          </w:p>
        </w:tc>
      </w:tr>
      <w:tr>
        <w:trPr>
          <w:trHeight w:val="239"/>
        </w:trPr>
        <w:tc>
          <w:tcPr>
            <w:tcW w:w="5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Product royalty revenues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127,605</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117,546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243,041</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239,960</w:t>
            </w:r>
          </w:p>
        </w:tc>
        <w:tc>
          <w:tcPr>
            <w:tcW w:w="0" w:type="dxa"/>
            <w:vAlign w:val="bottom"/>
          </w:tcPr>
          <w:p>
            <w:pPr>
              <w:spacing w:after="0"/>
              <w:rPr>
                <w:sz w:val="1"/>
                <w:szCs w:val="1"/>
                <w:color w:val="auto"/>
              </w:rPr>
            </w:pPr>
          </w:p>
        </w:tc>
      </w:tr>
      <w:tr>
        <w:trPr>
          <w:trHeight w:val="225"/>
        </w:trPr>
        <w:tc>
          <w:tcPr>
            <w:tcW w:w="5020" w:type="dxa"/>
            <w:vAlign w:val="bottom"/>
          </w:tcPr>
          <w:p>
            <w:pPr>
              <w:ind w:left="260"/>
              <w:spacing w:after="0"/>
              <w:rPr>
                <w:sz w:val="20"/>
                <w:szCs w:val="20"/>
                <w:color w:val="auto"/>
              </w:rPr>
            </w:pPr>
            <w:r>
              <w:rPr>
                <w:rFonts w:ascii="Arial" w:cs="Arial" w:eastAsia="Arial" w:hAnsi="Arial"/>
                <w:sz w:val="18"/>
                <w:szCs w:val="18"/>
                <w:color w:val="auto"/>
              </w:rPr>
              <w:t>Milestone and contract revenues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130,000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135,000</w:t>
            </w:r>
          </w:p>
        </w:tc>
        <w:tc>
          <w:tcPr>
            <w:tcW w:w="0" w:type="dxa"/>
            <w:vAlign w:val="bottom"/>
          </w:tcPr>
          <w:p>
            <w:pPr>
              <w:spacing w:after="0"/>
              <w:rPr>
                <w:sz w:val="1"/>
                <w:szCs w:val="1"/>
                <w:color w:val="auto"/>
              </w:rPr>
            </w:pPr>
          </w:p>
        </w:tc>
      </w:tr>
      <w:tr>
        <w:trPr>
          <w:trHeight w:val="219"/>
        </w:trPr>
        <w:tc>
          <w:tcPr>
            <w:tcW w:w="5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954,610</w:t>
            </w: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911,397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1,763,283</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1,644,632</w:t>
            </w:r>
          </w:p>
        </w:tc>
        <w:tc>
          <w:tcPr>
            <w:tcW w:w="0" w:type="dxa"/>
            <w:vAlign w:val="bottom"/>
          </w:tcPr>
          <w:p>
            <w:pPr>
              <w:spacing w:after="0"/>
              <w:rPr>
                <w:sz w:val="1"/>
                <w:szCs w:val="1"/>
                <w:color w:val="auto"/>
              </w:rPr>
            </w:pPr>
          </w:p>
        </w:tc>
      </w:tr>
      <w:tr>
        <w:trPr>
          <w:trHeight w:val="258"/>
        </w:trPr>
        <w:tc>
          <w:tcPr>
            <w:tcW w:w="50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5020" w:type="dxa"/>
            <w:vAlign w:val="bottom"/>
          </w:tcPr>
          <w:p>
            <w:pPr>
              <w:ind w:left="260"/>
              <w:spacing w:after="0" w:line="187" w:lineRule="exact"/>
              <w:rPr>
                <w:sz w:val="20"/>
                <w:szCs w:val="20"/>
                <w:color w:val="auto"/>
              </w:rPr>
            </w:pPr>
            <w:r>
              <w:rPr>
                <w:rFonts w:ascii="Arial" w:cs="Arial" w:eastAsia="Arial" w:hAnsi="Arial"/>
                <w:sz w:val="18"/>
                <w:szCs w:val="18"/>
                <w:color w:val="auto"/>
              </w:rPr>
              <w:t>Cost of product revenues (including definite-lived intangible</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020" w:type="dxa"/>
            <w:vAlign w:val="bottom"/>
          </w:tcPr>
          <w:p>
            <w:pPr>
              <w:ind w:left="26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68,326</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50,636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125,148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93,250</w:t>
            </w:r>
          </w:p>
        </w:tc>
        <w:tc>
          <w:tcPr>
            <w:tcW w:w="0" w:type="dxa"/>
            <w:vAlign w:val="bottom"/>
          </w:tcPr>
          <w:p>
            <w:pPr>
              <w:spacing w:after="0"/>
              <w:rPr>
                <w:sz w:val="1"/>
                <w:szCs w:val="1"/>
                <w:color w:val="auto"/>
              </w:rPr>
            </w:pPr>
          </w:p>
        </w:tc>
      </w:tr>
      <w:tr>
        <w:trPr>
          <w:trHeight w:val="226"/>
        </w:trPr>
        <w:tc>
          <w:tcPr>
            <w:tcW w:w="5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400,750</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807,391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700,569</w:t>
            </w:r>
          </w:p>
        </w:tc>
        <w:tc>
          <w:tcPr>
            <w:tcW w:w="0" w:type="dxa"/>
            <w:vAlign w:val="bottom"/>
          </w:tcPr>
          <w:p>
            <w:pPr>
              <w:spacing w:after="0"/>
              <w:rPr>
                <w:sz w:val="1"/>
                <w:szCs w:val="1"/>
                <w:color w:val="auto"/>
              </w:rPr>
            </w:pPr>
          </w:p>
        </w:tc>
      </w:tr>
      <w:tr>
        <w:trPr>
          <w:trHeight w:val="231"/>
        </w:trPr>
        <w:tc>
          <w:tcPr>
            <w:tcW w:w="502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283,929</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253,277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599,535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462,861</w:t>
            </w:r>
          </w:p>
        </w:tc>
        <w:tc>
          <w:tcPr>
            <w:tcW w:w="0" w:type="dxa"/>
            <w:vAlign w:val="bottom"/>
          </w:tcPr>
          <w:p>
            <w:pPr>
              <w:spacing w:after="0"/>
              <w:rPr>
                <w:sz w:val="1"/>
                <w:szCs w:val="1"/>
                <w:color w:val="auto"/>
              </w:rPr>
            </w:pPr>
          </w:p>
        </w:tc>
      </w:tr>
      <w:tr>
        <w:trPr>
          <w:trHeight w:val="180"/>
        </w:trPr>
        <w:tc>
          <w:tcPr>
            <w:tcW w:w="5020" w:type="dxa"/>
            <w:vAlign w:val="bottom"/>
            <w:shd w:val="clear" w:color="auto" w:fill="CCEEFF"/>
          </w:tcPr>
          <w:p>
            <w:pPr>
              <w:ind w:left="260"/>
              <w:spacing w:after="0" w:line="181" w:lineRule="exact"/>
              <w:rPr>
                <w:sz w:val="20"/>
                <w:szCs w:val="20"/>
                <w:color w:val="auto"/>
              </w:rPr>
            </w:pPr>
            <w:r>
              <w:rPr>
                <w:rFonts w:ascii="Arial" w:cs="Arial" w:eastAsia="Arial" w:hAnsi="Arial"/>
                <w:sz w:val="18"/>
                <w:szCs w:val="18"/>
                <w:color w:val="auto"/>
                <w:w w:val="98"/>
              </w:rPr>
              <w:t>Loss on change in fair value of acquisition-related contingent</w:t>
            </w: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8,374</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3,313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14,570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9,695</w:t>
            </w:r>
          </w:p>
        </w:tc>
        <w:tc>
          <w:tcPr>
            <w:tcW w:w="0" w:type="dxa"/>
            <w:vAlign w:val="bottom"/>
          </w:tcPr>
          <w:p>
            <w:pPr>
              <w:spacing w:after="0"/>
              <w:rPr>
                <w:sz w:val="1"/>
                <w:szCs w:val="1"/>
                <w:color w:val="auto"/>
              </w:rPr>
            </w:pPr>
          </w:p>
        </w:tc>
      </w:tr>
      <w:tr>
        <w:trPr>
          <w:trHeight w:val="224"/>
        </w:trPr>
        <w:tc>
          <w:tcPr>
            <w:tcW w:w="5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consideration</w:t>
            </w:r>
          </w:p>
        </w:tc>
        <w:tc>
          <w:tcPr>
            <w:tcW w:w="3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0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(Profit) and loss sharing under collaboration agreements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8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2,544</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w:t>
            </w: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7,286</w:t>
            </w:r>
          </w:p>
        </w:tc>
        <w:tc>
          <w:tcPr>
            <w:tcW w:w="0" w:type="dxa"/>
            <w:vAlign w:val="bottom"/>
          </w:tcPr>
          <w:p>
            <w:pPr>
              <w:spacing w:after="0"/>
              <w:rPr>
                <w:sz w:val="1"/>
                <w:szCs w:val="1"/>
                <w:color w:val="auto"/>
              </w:rPr>
            </w:pPr>
          </w:p>
        </w:tc>
      </w:tr>
      <w:tr>
        <w:trPr>
          <w:trHeight w:val="218"/>
        </w:trPr>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costs and expenses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760,830</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656,966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1,544,733</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1,273,661</w:t>
            </w:r>
          </w:p>
        </w:tc>
        <w:tc>
          <w:tcPr>
            <w:tcW w:w="0" w:type="dxa"/>
            <w:vAlign w:val="bottom"/>
          </w:tcPr>
          <w:p>
            <w:pPr>
              <w:spacing w:after="0"/>
              <w:rPr>
                <w:sz w:val="1"/>
                <w:szCs w:val="1"/>
                <w:color w:val="auto"/>
              </w:rPr>
            </w:pPr>
          </w:p>
        </w:tc>
      </w:tr>
      <w:tr>
        <w:trPr>
          <w:trHeight w:val="245"/>
        </w:trPr>
        <w:tc>
          <w:tcPr>
            <w:tcW w:w="5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193,780</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254,431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218,550</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370,971</w:t>
            </w:r>
          </w:p>
        </w:tc>
        <w:tc>
          <w:tcPr>
            <w:tcW w:w="0" w:type="dxa"/>
            <w:vAlign w:val="bottom"/>
          </w:tcPr>
          <w:p>
            <w:pPr>
              <w:spacing w:after="0"/>
              <w:rPr>
                <w:sz w:val="1"/>
                <w:szCs w:val="1"/>
                <w:color w:val="auto"/>
              </w:rPr>
            </w:pPr>
          </w:p>
        </w:tc>
      </w:tr>
      <w:tr>
        <w:trPr>
          <w:trHeight w:val="225"/>
        </w:trPr>
        <w:tc>
          <w:tcPr>
            <w:tcW w:w="5020" w:type="dxa"/>
            <w:vAlign w:val="bottom"/>
          </w:tcPr>
          <w:p>
            <w:pPr>
              <w:ind w:left="20"/>
              <w:spacing w:after="0"/>
              <w:rPr>
                <w:sz w:val="20"/>
                <w:szCs w:val="20"/>
                <w:color w:val="auto"/>
              </w:rPr>
            </w:pPr>
            <w:r>
              <w:rPr>
                <w:rFonts w:ascii="Arial" w:cs="Arial" w:eastAsia="Arial" w:hAnsi="Arial"/>
                <w:sz w:val="18"/>
                <w:szCs w:val="18"/>
                <w:color w:val="auto"/>
              </w:rPr>
              <w:t>Interest income and other, net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42,668</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75,541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1,782</w:t>
            </w:r>
          </w:p>
        </w:tc>
        <w:tc>
          <w:tcPr>
            <w:tcW w:w="0" w:type="dxa"/>
            <w:vAlign w:val="bottom"/>
          </w:tcPr>
          <w:p>
            <w:pPr>
              <w:spacing w:after="0"/>
              <w:rPr>
                <w:sz w:val="1"/>
                <w:szCs w:val="1"/>
                <w:color w:val="auto"/>
              </w:rPr>
            </w:pPr>
          </w:p>
        </w:tc>
      </w:tr>
      <w:tr>
        <w:trPr>
          <w:trHeight w:val="22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0" w:type="dxa"/>
            <w:vAlign w:val="bottom"/>
          </w:tcPr>
          <w:p>
            <w:pPr>
              <w:spacing w:after="0"/>
              <w:rPr>
                <w:sz w:val="1"/>
                <w:szCs w:val="1"/>
                <w:color w:val="auto"/>
              </w:rPr>
            </w:pPr>
          </w:p>
        </w:tc>
      </w:tr>
      <w:tr>
        <w:trPr>
          <w:trHeight w:val="238"/>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Unrealized gain (loss) on long term investments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41,811</w:t>
            </w:r>
          </w:p>
        </w:tc>
        <w:tc>
          <w:tcPr>
            <w:tcW w:w="8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(24,897)</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36,493</w:t>
            </w: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(71,482)</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before provision for income taxes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277,604</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329,460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299,913</w:t>
            </w:r>
          </w:p>
        </w:tc>
        <w:tc>
          <w:tcPr>
            <w:tcW w:w="0" w:type="dxa"/>
            <w:vAlign w:val="bottom"/>
          </w:tcPr>
          <w:p>
            <w:pPr>
              <w:spacing w:after="0"/>
              <w:rPr>
                <w:sz w:val="1"/>
                <w:szCs w:val="1"/>
                <w:color w:val="auto"/>
              </w:rPr>
            </w:pPr>
          </w:p>
        </w:tc>
      </w:tr>
      <w:tr>
        <w:trPr>
          <w:trHeight w:val="225"/>
        </w:trPr>
        <w:tc>
          <w:tcPr>
            <w:tcW w:w="50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74,056</w:t>
            </w:r>
          </w:p>
        </w:tc>
        <w:tc>
          <w:tcPr>
            <w:tcW w:w="8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67,946</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104,209</w:t>
            </w: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100,489</w:t>
            </w:r>
          </w:p>
        </w:tc>
        <w:tc>
          <w:tcPr>
            <w:tcW w:w="0" w:type="dxa"/>
            <w:vAlign w:val="bottom"/>
          </w:tcPr>
          <w:p>
            <w:pPr>
              <w:spacing w:after="0"/>
              <w:rPr>
                <w:sz w:val="1"/>
                <w:szCs w:val="1"/>
                <w:color w:val="auto"/>
              </w:rPr>
            </w:pPr>
          </w:p>
        </w:tc>
      </w:tr>
      <w:tr>
        <w:trPr>
          <w:trHeight w:val="252"/>
        </w:trPr>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203,548</w:t>
            </w:r>
          </w:p>
        </w:tc>
        <w:tc>
          <w:tcPr>
            <w:tcW w:w="6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161,432</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225,251</w:t>
            </w:r>
          </w:p>
        </w:tc>
        <w:tc>
          <w:tcPr>
            <w:tcW w:w="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199,424</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20" w:type="dxa"/>
            <w:vAlign w:val="bottom"/>
          </w:tcPr>
          <w:p>
            <w:pPr>
              <w:ind w:left="2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0.91</w:t>
            </w:r>
          </w:p>
        </w:tc>
        <w:tc>
          <w:tcPr>
            <w:tcW w:w="6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0.73</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1.01</w:t>
            </w:r>
          </w:p>
        </w:tc>
        <w:tc>
          <w:tcPr>
            <w:tcW w:w="6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3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6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65"/>
        </w:trPr>
        <w:tc>
          <w:tcPr>
            <w:tcW w:w="5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used in computing net income per share: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20" w:type="dxa"/>
            <w:vAlign w:val="bottom"/>
          </w:tcPr>
          <w:p>
            <w:pPr>
              <w:ind w:left="2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223,248</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221,660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223,104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221,493</w:t>
            </w:r>
          </w:p>
        </w:tc>
        <w:tc>
          <w:tcPr>
            <w:tcW w:w="0" w:type="dxa"/>
            <w:vAlign w:val="bottom"/>
          </w:tcPr>
          <w:p>
            <w:pPr>
              <w:spacing w:after="0"/>
              <w:rPr>
                <w:sz w:val="1"/>
                <w:szCs w:val="1"/>
                <w:color w:val="auto"/>
              </w:rPr>
            </w:pPr>
          </w:p>
        </w:tc>
      </w:tr>
      <w:tr>
        <w:trPr>
          <w:trHeight w:val="23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225,649</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223,661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225,541</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223,277</w:t>
            </w:r>
          </w:p>
        </w:tc>
        <w:tc>
          <w:tcPr>
            <w:tcW w:w="0" w:type="dxa"/>
            <w:vAlign w:val="bottom"/>
          </w:tcPr>
          <w:p>
            <w:pPr>
              <w:spacing w:after="0"/>
              <w:rPr>
                <w:sz w:val="1"/>
                <w:szCs w:val="1"/>
                <w:color w:val="auto"/>
              </w:rPr>
            </w:pPr>
          </w:p>
        </w:tc>
      </w:tr>
    </w:tbl>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INCYTE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89"/>
        </w:trPr>
        <w:tc>
          <w:tcPr>
            <w:tcW w:w="4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72"/>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91"/>
        </w:trPr>
        <w:tc>
          <w:tcPr>
            <w:tcW w:w="454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96"/>
              </w:rPr>
              <w:t>2022</w:t>
            </w:r>
          </w:p>
        </w:tc>
      </w:tr>
      <w:tr>
        <w:trPr>
          <w:trHeight w:val="225"/>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203,548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161,432</w:t>
            </w:r>
          </w:p>
        </w:tc>
        <w:tc>
          <w:tcPr>
            <w:tcW w:w="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225,251</w:t>
            </w:r>
          </w:p>
        </w:tc>
        <w:tc>
          <w:tcPr>
            <w:tcW w:w="6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199,424</w:t>
            </w:r>
          </w:p>
        </w:tc>
      </w:tr>
      <w:tr>
        <w:trPr>
          <w:trHeight w:val="265"/>
        </w:trPr>
        <w:tc>
          <w:tcPr>
            <w:tcW w:w="45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3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5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5"/>
        </w:trPr>
        <w:tc>
          <w:tcPr>
            <w:tcW w:w="4540" w:type="dxa"/>
            <w:vAlign w:val="bottom"/>
          </w:tcPr>
          <w:p>
            <w:pPr>
              <w:ind w:left="260"/>
              <w:spacing w:after="0"/>
              <w:rPr>
                <w:sz w:val="20"/>
                <w:szCs w:val="20"/>
                <w:color w:val="auto"/>
              </w:rPr>
            </w:pPr>
            <w:r>
              <w:rPr>
                <w:rFonts w:ascii="Arial" w:cs="Arial" w:eastAsia="Arial" w:hAnsi="Arial"/>
                <w:sz w:val="18"/>
                <w:szCs w:val="18"/>
                <w:color w:val="auto"/>
              </w:rPr>
              <w:t>Foreign currency translation gain (loss)</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5,189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8,449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(2,619)</w:t>
            </w:r>
          </w:p>
        </w:tc>
      </w:tr>
      <w:tr>
        <w:trPr>
          <w:trHeight w:val="226"/>
        </w:trPr>
        <w:tc>
          <w:tcPr>
            <w:tcW w:w="45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2"/>
              </w:rPr>
              <w:t>Unrealized gain (loss) on marketable securities, net of tax</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(4,187)</w:t>
            </w:r>
          </w:p>
        </w:tc>
      </w:tr>
      <w:tr>
        <w:trPr>
          <w:trHeight w:val="238"/>
        </w:trPr>
        <w:tc>
          <w:tcPr>
            <w:tcW w:w="45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Defined benefit pension gain, net of tax</w:t>
            </w:r>
          </w:p>
        </w:tc>
        <w:tc>
          <w:tcPr>
            <w:tcW w:w="5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r>
      <w:tr>
        <w:trPr>
          <w:trHeight w:val="219"/>
        </w:trPr>
        <w:tc>
          <w:tcPr>
            <w:tcW w:w="4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comprehensive income (loss)</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(6,242)</w:t>
            </w:r>
          </w:p>
        </w:tc>
      </w:tr>
      <w:tr>
        <w:trPr>
          <w:trHeight w:val="252"/>
        </w:trPr>
        <w:tc>
          <w:tcPr>
            <w:tcW w:w="4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r>
      <w:tr>
        <w:trPr>
          <w:trHeight w:val="252"/>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5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209,412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236,988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193,182</w:t>
            </w:r>
          </w:p>
        </w:tc>
      </w:tr>
      <w:tr>
        <w:trPr>
          <w:trHeight w:val="20"/>
        </w:trPr>
        <w:tc>
          <w:tcPr>
            <w:tcW w:w="4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69"/>
        </w:trPr>
        <w:tc>
          <w:tcPr>
            <w:tcW w:w="4540" w:type="dxa"/>
            <w:vAlign w:val="bottom"/>
          </w:tcPr>
          <w:p>
            <w:pPr>
              <w:spacing w:after="0"/>
              <w:rPr>
                <w:sz w:val="24"/>
                <w:szCs w:val="24"/>
                <w:color w:val="auto"/>
              </w:rPr>
            </w:pPr>
          </w:p>
        </w:tc>
        <w:tc>
          <w:tcPr>
            <w:tcW w:w="2080" w:type="dxa"/>
            <w:vAlign w:val="bottom"/>
            <w:gridSpan w:val="4"/>
          </w:tcPr>
          <w:p>
            <w:pPr>
              <w:ind w:left="180"/>
              <w:spacing w:after="0"/>
              <w:rPr>
                <w:sz w:val="20"/>
                <w:szCs w:val="20"/>
                <w:color w:val="auto"/>
              </w:rPr>
            </w:pPr>
            <w:r>
              <w:rPr>
                <w:rFonts w:ascii="Arial" w:cs="Arial" w:eastAsia="Arial" w:hAnsi="Arial"/>
                <w:sz w:val="18"/>
                <w:szCs w:val="18"/>
                <w:color w:val="auto"/>
                <w:w w:val="90"/>
              </w:rPr>
              <w:t>See accompanying notes.</w:t>
            </w: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808"/>
        </w:trPr>
        <w:tc>
          <w:tcPr>
            <w:tcW w:w="4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777"/>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00"/>
        </w:trPr>
        <w:tc>
          <w:tcPr>
            <w:tcW w:w="45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INCYTE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number of shares)</w:t>
      </w:r>
    </w:p>
    <w:p>
      <w:pPr>
        <w:spacing w:after="0" w:line="248" w:lineRule="exact"/>
        <w:rPr>
          <w:sz w:val="20"/>
          <w:szCs w:val="20"/>
          <w:color w:val="auto"/>
        </w:rPr>
      </w:pPr>
    </w:p>
    <w:tbl>
      <w:tblPr>
        <w:tblLayout w:type="fixed"/>
        <w:tblInd w:w="4440" w:type="dxa"/>
        <w:tblCellMar>
          <w:top w:w="0" w:type="dxa"/>
          <w:left w:w="0" w:type="dxa"/>
          <w:bottom w:w="0" w:type="dxa"/>
          <w:right w:w="0" w:type="dxa"/>
        </w:tblCellMar>
      </w:tblPr>
      <w:tr>
        <w:trPr>
          <w:trHeight w:val="172"/>
        </w:trPr>
        <w:tc>
          <w:tcPr>
            <w:tcW w:w="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2"/>
              </w:rPr>
              <w:t>Accumulated Other</w:t>
            </w:r>
          </w:p>
        </w:tc>
        <w:tc>
          <w:tcPr>
            <w:tcW w:w="1340" w:type="dxa"/>
            <w:vAlign w:val="bottom"/>
          </w:tcPr>
          <w:p>
            <w:pPr>
              <w:spacing w:after="0"/>
              <w:rPr>
                <w:sz w:val="14"/>
                <w:szCs w:val="14"/>
                <w:color w:val="auto"/>
              </w:rPr>
            </w:pPr>
          </w:p>
        </w:tc>
        <w:tc>
          <w:tcPr>
            <w:tcW w:w="1160" w:type="dxa"/>
            <w:vAlign w:val="bottom"/>
          </w:tcPr>
          <w:p>
            <w:pPr>
              <w:jc w:val="center"/>
              <w:ind w:left="249"/>
              <w:spacing w:after="0"/>
              <w:rPr>
                <w:sz w:val="20"/>
                <w:szCs w:val="20"/>
                <w:color w:val="auto"/>
              </w:rPr>
            </w:pPr>
            <w:r>
              <w:rPr>
                <w:rFonts w:ascii="Arial" w:cs="Arial" w:eastAsia="Arial" w:hAnsi="Arial"/>
                <w:sz w:val="14"/>
                <w:szCs w:val="14"/>
                <w:b w:val="1"/>
                <w:bCs w:val="1"/>
                <w:color w:val="auto"/>
                <w:w w:val="95"/>
              </w:rPr>
              <w:t>Total</w:t>
            </w:r>
          </w:p>
        </w:tc>
      </w:tr>
      <w:tr>
        <w:trPr>
          <w:trHeight w:val="172"/>
        </w:trPr>
        <w:tc>
          <w:tcPr>
            <w:tcW w:w="920" w:type="dxa"/>
            <w:vAlign w:val="bottom"/>
          </w:tcPr>
          <w:p>
            <w:pPr>
              <w:jc w:val="center"/>
              <w:ind w:right="289"/>
              <w:spacing w:after="0"/>
              <w:rPr>
                <w:sz w:val="20"/>
                <w:szCs w:val="20"/>
                <w:color w:val="auto"/>
              </w:rPr>
            </w:pPr>
            <w:r>
              <w:rPr>
                <w:rFonts w:ascii="Arial" w:cs="Arial" w:eastAsia="Arial" w:hAnsi="Arial"/>
                <w:sz w:val="14"/>
                <w:szCs w:val="14"/>
                <w:b w:val="1"/>
                <w:bCs w:val="1"/>
                <w:color w:val="auto"/>
                <w:w w:val="92"/>
              </w:rPr>
              <w:t>Common</w:t>
            </w:r>
          </w:p>
        </w:tc>
        <w:tc>
          <w:tcPr>
            <w:tcW w:w="1480" w:type="dxa"/>
            <w:vAlign w:val="bottom"/>
          </w:tcPr>
          <w:p>
            <w:pPr>
              <w:jc w:val="center"/>
              <w:ind w:left="89"/>
              <w:spacing w:after="0"/>
              <w:rPr>
                <w:sz w:val="20"/>
                <w:szCs w:val="20"/>
                <w:color w:val="auto"/>
              </w:rPr>
            </w:pPr>
            <w:r>
              <w:rPr>
                <w:rFonts w:ascii="Arial" w:cs="Arial" w:eastAsia="Arial" w:hAnsi="Arial"/>
                <w:sz w:val="14"/>
                <w:szCs w:val="14"/>
                <w:b w:val="1"/>
                <w:bCs w:val="1"/>
                <w:color w:val="auto"/>
                <w:w w:val="93"/>
              </w:rPr>
              <w:t>Additional</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9"/>
              </w:rPr>
              <w:t>Comprehensive</w:t>
            </w:r>
          </w:p>
        </w:tc>
        <w:tc>
          <w:tcPr>
            <w:tcW w:w="1340" w:type="dxa"/>
            <w:vAlign w:val="bottom"/>
          </w:tcPr>
          <w:p>
            <w:pPr>
              <w:jc w:val="center"/>
              <w:ind w:right="29"/>
              <w:spacing w:after="0"/>
              <w:rPr>
                <w:sz w:val="20"/>
                <w:szCs w:val="20"/>
                <w:color w:val="auto"/>
              </w:rPr>
            </w:pPr>
            <w:r>
              <w:rPr>
                <w:rFonts w:ascii="Arial" w:cs="Arial" w:eastAsia="Arial" w:hAnsi="Arial"/>
                <w:sz w:val="14"/>
                <w:szCs w:val="14"/>
                <w:b w:val="1"/>
                <w:bCs w:val="1"/>
                <w:color w:val="auto"/>
                <w:w w:val="90"/>
              </w:rPr>
              <w:t>Accumulated</w:t>
            </w:r>
          </w:p>
        </w:tc>
        <w:tc>
          <w:tcPr>
            <w:tcW w:w="1160" w:type="dxa"/>
            <w:vAlign w:val="bottom"/>
          </w:tcPr>
          <w:p>
            <w:pPr>
              <w:jc w:val="center"/>
              <w:ind w:left="249"/>
              <w:spacing w:after="0"/>
              <w:rPr>
                <w:sz w:val="20"/>
                <w:szCs w:val="20"/>
                <w:color w:val="auto"/>
              </w:rPr>
            </w:pPr>
            <w:r>
              <w:rPr>
                <w:rFonts w:ascii="Arial" w:cs="Arial" w:eastAsia="Arial" w:hAnsi="Arial"/>
                <w:sz w:val="14"/>
                <w:szCs w:val="14"/>
                <w:b w:val="1"/>
                <w:bCs w:val="1"/>
                <w:color w:val="auto"/>
                <w:w w:val="90"/>
              </w:rPr>
              <w:t>Stockholders’</w:t>
            </w:r>
          </w:p>
        </w:tc>
      </w:tr>
      <w:tr>
        <w:trPr>
          <w:trHeight w:val="184"/>
        </w:trPr>
        <w:tc>
          <w:tcPr>
            <w:tcW w:w="920" w:type="dxa"/>
            <w:vAlign w:val="bottom"/>
          </w:tcPr>
          <w:p>
            <w:pPr>
              <w:jc w:val="center"/>
              <w:ind w:right="269"/>
              <w:spacing w:after="0"/>
              <w:rPr>
                <w:sz w:val="20"/>
                <w:szCs w:val="20"/>
                <w:color w:val="auto"/>
              </w:rPr>
            </w:pPr>
            <w:r>
              <w:rPr>
                <w:rFonts w:ascii="Arial" w:cs="Arial" w:eastAsia="Arial" w:hAnsi="Arial"/>
                <w:sz w:val="14"/>
                <w:szCs w:val="14"/>
                <w:b w:val="1"/>
                <w:bCs w:val="1"/>
                <w:color w:val="auto"/>
                <w:w w:val="89"/>
              </w:rPr>
              <w:t>Stock</w:t>
            </w:r>
          </w:p>
        </w:tc>
        <w:tc>
          <w:tcPr>
            <w:tcW w:w="1480" w:type="dxa"/>
            <w:vAlign w:val="bottom"/>
          </w:tcPr>
          <w:p>
            <w:pPr>
              <w:jc w:val="center"/>
              <w:ind w:left="89"/>
              <w:spacing w:after="0"/>
              <w:rPr>
                <w:sz w:val="20"/>
                <w:szCs w:val="20"/>
                <w:color w:val="auto"/>
              </w:rPr>
            </w:pPr>
            <w:r>
              <w:rPr>
                <w:rFonts w:ascii="Arial" w:cs="Arial" w:eastAsia="Arial" w:hAnsi="Arial"/>
                <w:sz w:val="14"/>
                <w:szCs w:val="14"/>
                <w:b w:val="1"/>
                <w:bCs w:val="1"/>
                <w:color w:val="auto"/>
                <w:w w:val="94"/>
              </w:rPr>
              <w:t>Paid-in Capital</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9"/>
              </w:rPr>
              <w:t>Income</w:t>
            </w:r>
          </w:p>
        </w:tc>
        <w:tc>
          <w:tcPr>
            <w:tcW w:w="1340" w:type="dxa"/>
            <w:vAlign w:val="bottom"/>
          </w:tcPr>
          <w:p>
            <w:pPr>
              <w:jc w:val="center"/>
              <w:ind w:right="29"/>
              <w:spacing w:after="0"/>
              <w:rPr>
                <w:sz w:val="20"/>
                <w:szCs w:val="20"/>
                <w:color w:val="auto"/>
              </w:rPr>
            </w:pPr>
            <w:r>
              <w:rPr>
                <w:rFonts w:ascii="Arial" w:cs="Arial" w:eastAsia="Arial" w:hAnsi="Arial"/>
                <w:sz w:val="14"/>
                <w:szCs w:val="14"/>
                <w:b w:val="1"/>
                <w:bCs w:val="1"/>
                <w:color w:val="auto"/>
                <w:w w:val="93"/>
              </w:rPr>
              <w:t>Deficit</w:t>
            </w:r>
          </w:p>
        </w:tc>
        <w:tc>
          <w:tcPr>
            <w:tcW w:w="1160" w:type="dxa"/>
            <w:vAlign w:val="bottom"/>
          </w:tcPr>
          <w:p>
            <w:pPr>
              <w:jc w:val="center"/>
              <w:ind w:left="249"/>
              <w:spacing w:after="0"/>
              <w:rPr>
                <w:sz w:val="20"/>
                <w:szCs w:val="20"/>
                <w:color w:val="auto"/>
              </w:rPr>
            </w:pPr>
            <w:r>
              <w:rPr>
                <w:rFonts w:ascii="Arial" w:cs="Arial" w:eastAsia="Arial" w:hAnsi="Arial"/>
                <w:sz w:val="14"/>
                <w:szCs w:val="14"/>
                <w:b w:val="1"/>
                <w:bCs w:val="1"/>
                <w:color w:val="auto"/>
                <w:w w:val="93"/>
              </w:rPr>
              <w:t>Equity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15240</wp:posOffset>
            </wp:positionV>
            <wp:extent cx="8585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58520" cy="825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4020" w:type="dxa"/>
            <w:vAlign w:val="bottom"/>
          </w:tcPr>
          <w:p>
            <w:pPr>
              <w:spacing w:after="0"/>
              <w:rPr>
                <w:sz w:val="20"/>
                <w:szCs w:val="20"/>
                <w:color w:val="auto"/>
              </w:rPr>
            </w:pPr>
            <w:r>
              <w:rPr>
                <w:rFonts w:ascii="Arial" w:cs="Arial" w:eastAsia="Arial" w:hAnsi="Arial"/>
                <w:sz w:val="16"/>
                <w:szCs w:val="16"/>
                <w:color w:val="auto"/>
              </w:rPr>
              <w:t>Balances at January 1, 2023</w:t>
            </w:r>
          </w:p>
        </w:tc>
        <w:tc>
          <w:tcPr>
            <w:tcW w:w="580" w:type="dxa"/>
            <w:vAlign w:val="bottom"/>
            <w:tcBorders>
              <w:top w:val="single" w:sz="8" w:color="auto"/>
            </w:tcBorders>
          </w:tcPr>
          <w:p>
            <w:pPr>
              <w:jc w:val="right"/>
              <w:ind w:right="381"/>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4020" w:type="dxa"/>
            <w:vAlign w:val="bottom"/>
          </w:tcPr>
          <w:p>
            <w:pPr>
              <w:spacing w:after="0"/>
              <w:rPr>
                <w:sz w:val="20"/>
                <w:szCs w:val="20"/>
                <w:color w:val="auto"/>
              </w:rPr>
            </w:pPr>
            <w:r>
              <w:rPr>
                <w:rFonts w:ascii="Arial" w:cs="Arial" w:eastAsia="Arial" w:hAnsi="Arial"/>
                <w:sz w:val="16"/>
                <w:szCs w:val="16"/>
                <w:color w:val="auto"/>
                <w:w w:val="88"/>
              </w:rPr>
              <w:t>Issuance of 313,995 shares of Common Stock upon exercise of</w:t>
            </w: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4020" w:type="dxa"/>
            <w:vAlign w:val="bottom"/>
          </w:tcPr>
          <w:p>
            <w:pPr>
              <w:spacing w:after="0"/>
              <w:rPr>
                <w:sz w:val="20"/>
                <w:szCs w:val="20"/>
                <w:color w:val="auto"/>
              </w:rPr>
            </w:pPr>
            <w:r>
              <w:rPr>
                <w:rFonts w:ascii="Arial" w:cs="Arial" w:eastAsia="Arial" w:hAnsi="Arial"/>
                <w:sz w:val="16"/>
                <w:szCs w:val="16"/>
                <w:color w:val="auto"/>
                <w:w w:val="98"/>
              </w:rPr>
              <w:t>stock options and settlement of employee restricted stock</w:t>
            </w: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6"/>
                <w:szCs w:val="16"/>
                <w:color w:val="auto"/>
              </w:rPr>
              <w:t>units, net of shares withheld for taxes</w:t>
            </w:r>
          </w:p>
        </w:tc>
        <w:tc>
          <w:tcPr>
            <w:tcW w:w="5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020" w:type="dxa"/>
            <w:vAlign w:val="bottom"/>
          </w:tcPr>
          <w:p>
            <w:pPr>
              <w:spacing w:after="0"/>
              <w:rPr>
                <w:sz w:val="20"/>
                <w:szCs w:val="20"/>
                <w:color w:val="auto"/>
              </w:rPr>
            </w:pPr>
            <w:r>
              <w:rPr>
                <w:rFonts w:ascii="Arial" w:cs="Arial" w:eastAsia="Arial" w:hAnsi="Arial"/>
                <w:sz w:val="16"/>
                <w:szCs w:val="16"/>
                <w:color w:val="auto"/>
              </w:rPr>
              <w:t>Issuance of 1,073 shares of Common Stock for services</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20" w:type="dxa"/>
            <w:vAlign w:val="bottom"/>
          </w:tcPr>
          <w:p>
            <w:pPr>
              <w:spacing w:after="0"/>
              <w:rPr>
                <w:sz w:val="20"/>
                <w:szCs w:val="20"/>
                <w:color w:val="auto"/>
              </w:rPr>
            </w:pPr>
            <w:r>
              <w:rPr>
                <w:rFonts w:ascii="Arial" w:cs="Arial" w:eastAsia="Arial" w:hAnsi="Arial"/>
                <w:sz w:val="16"/>
                <w:szCs w:val="16"/>
                <w:color w:val="auto"/>
              </w:rPr>
              <w:t>rendered</w:t>
            </w:r>
          </w:p>
        </w:tc>
        <w:tc>
          <w:tcPr>
            <w:tcW w:w="5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20" w:type="dxa"/>
            <w:vAlign w:val="bottom"/>
          </w:tcPr>
          <w:p>
            <w:pPr>
              <w:spacing w:after="0"/>
              <w:rPr>
                <w:sz w:val="20"/>
                <w:szCs w:val="20"/>
                <w:color w:val="auto"/>
              </w:rPr>
            </w:pPr>
            <w:r>
              <w:rPr>
                <w:rFonts w:ascii="Arial" w:cs="Arial" w:eastAsia="Arial" w:hAnsi="Arial"/>
                <w:sz w:val="16"/>
                <w:szCs w:val="16"/>
                <w:color w:val="auto"/>
              </w:rPr>
              <w:t>Stock compensation</w:t>
            </w:r>
          </w:p>
        </w:tc>
        <w:tc>
          <w:tcPr>
            <w:tcW w:w="5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2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5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20" w:type="dxa"/>
            <w:vAlign w:val="bottom"/>
          </w:tcPr>
          <w:p>
            <w:pPr>
              <w:spacing w:after="0"/>
              <w:rPr>
                <w:sz w:val="20"/>
                <w:szCs w:val="20"/>
                <w:color w:val="auto"/>
              </w:rPr>
            </w:pPr>
            <w:r>
              <w:rPr>
                <w:rFonts w:ascii="Arial" w:cs="Arial" w:eastAsia="Arial" w:hAnsi="Arial"/>
                <w:sz w:val="16"/>
                <w:szCs w:val="16"/>
                <w:color w:val="auto"/>
              </w:rPr>
              <w:t>Net income</w:t>
            </w:r>
          </w:p>
        </w:tc>
        <w:tc>
          <w:tcPr>
            <w:tcW w:w="5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020" w:type="dxa"/>
            <w:vAlign w:val="bottom"/>
          </w:tcPr>
          <w:p>
            <w:pPr>
              <w:spacing w:after="0"/>
              <w:rPr>
                <w:sz w:val="20"/>
                <w:szCs w:val="20"/>
                <w:color w:val="auto"/>
              </w:rPr>
            </w:pPr>
            <w:r>
              <w:rPr>
                <w:rFonts w:ascii="Arial" w:cs="Arial" w:eastAsia="Arial" w:hAnsi="Arial"/>
                <w:sz w:val="16"/>
                <w:szCs w:val="16"/>
                <w:color w:val="auto"/>
              </w:rPr>
              <w:t>Balance at March 31, 2023</w:t>
            </w:r>
          </w:p>
        </w:tc>
        <w:tc>
          <w:tcPr>
            <w:tcW w:w="58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6"/>
                <w:szCs w:val="16"/>
                <w:color w:val="auto"/>
                <w:w w:val="90"/>
              </w:rPr>
              <w:t>Issuance of 59,093 shares of Common Stock upon exercise of</w:t>
            </w: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2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20" w:type="dxa"/>
            <w:vAlign w:val="bottom"/>
          </w:tcPr>
          <w:p>
            <w:pPr>
              <w:spacing w:after="0"/>
              <w:rPr>
                <w:sz w:val="20"/>
                <w:szCs w:val="20"/>
                <w:color w:val="auto"/>
              </w:rPr>
            </w:pPr>
            <w:r>
              <w:rPr>
                <w:rFonts w:ascii="Arial" w:cs="Arial" w:eastAsia="Arial" w:hAnsi="Arial"/>
                <w:sz w:val="16"/>
                <w:szCs w:val="16"/>
                <w:color w:val="auto"/>
                <w:w w:val="89"/>
              </w:rPr>
              <w:t>stock options and settlement of employee restricted stock units</w:t>
            </w: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020" w:type="dxa"/>
            <w:vAlign w:val="bottom"/>
          </w:tcPr>
          <w:p>
            <w:pPr>
              <w:spacing w:after="0"/>
              <w:rPr>
                <w:sz w:val="20"/>
                <w:szCs w:val="20"/>
                <w:color w:val="auto"/>
              </w:rPr>
            </w:pPr>
            <w:r>
              <w:rPr>
                <w:rFonts w:ascii="Arial" w:cs="Arial" w:eastAsia="Arial" w:hAnsi="Arial"/>
                <w:sz w:val="16"/>
                <w:szCs w:val="16"/>
                <w:color w:val="auto"/>
                <w:w w:val="91"/>
              </w:rPr>
              <w:t>and performance shares, net of shares withheld for taxes and</w:t>
            </w: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020" w:type="dxa"/>
            <w:vAlign w:val="bottom"/>
          </w:tcPr>
          <w:p>
            <w:pPr>
              <w:spacing w:after="0"/>
              <w:rPr>
                <w:sz w:val="20"/>
                <w:szCs w:val="20"/>
                <w:color w:val="auto"/>
              </w:rPr>
            </w:pPr>
            <w:r>
              <w:rPr>
                <w:rFonts w:ascii="Arial" w:cs="Arial" w:eastAsia="Arial" w:hAnsi="Arial"/>
                <w:sz w:val="16"/>
                <w:szCs w:val="16"/>
                <w:color w:val="auto"/>
              </w:rPr>
              <w:t>216,168 shares of Common Stock under the ESPP</w:t>
            </w:r>
          </w:p>
        </w:tc>
        <w:tc>
          <w:tcPr>
            <w:tcW w:w="5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20" w:type="dxa"/>
            <w:vAlign w:val="bottom"/>
          </w:tcPr>
          <w:p>
            <w:pPr>
              <w:spacing w:after="0"/>
              <w:rPr>
                <w:sz w:val="20"/>
                <w:szCs w:val="20"/>
                <w:color w:val="auto"/>
              </w:rPr>
            </w:pPr>
            <w:r>
              <w:rPr>
                <w:rFonts w:ascii="Arial" w:cs="Arial" w:eastAsia="Arial" w:hAnsi="Arial"/>
                <w:sz w:val="16"/>
                <w:szCs w:val="16"/>
                <w:color w:val="auto"/>
              </w:rPr>
              <w:t>Issuance of 1,282 shares of Common Stock for services</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6"/>
                <w:szCs w:val="16"/>
                <w:color w:val="auto"/>
              </w:rPr>
              <w:t>rendered</w:t>
            </w:r>
          </w:p>
        </w:tc>
        <w:tc>
          <w:tcPr>
            <w:tcW w:w="5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020" w:type="dxa"/>
            <w:vAlign w:val="bottom"/>
          </w:tcPr>
          <w:p>
            <w:pPr>
              <w:spacing w:after="0"/>
              <w:rPr>
                <w:sz w:val="20"/>
                <w:szCs w:val="20"/>
                <w:color w:val="auto"/>
              </w:rPr>
            </w:pPr>
            <w:r>
              <w:rPr>
                <w:rFonts w:ascii="Arial" w:cs="Arial" w:eastAsia="Arial" w:hAnsi="Arial"/>
                <w:sz w:val="16"/>
                <w:szCs w:val="16"/>
                <w:color w:val="auto"/>
              </w:rPr>
              <w:t>Stock compensation</w:t>
            </w:r>
          </w:p>
        </w:tc>
        <w:tc>
          <w:tcPr>
            <w:tcW w:w="5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2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5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20" w:type="dxa"/>
            <w:vAlign w:val="bottom"/>
          </w:tcPr>
          <w:p>
            <w:pPr>
              <w:spacing w:after="0"/>
              <w:rPr>
                <w:sz w:val="20"/>
                <w:szCs w:val="20"/>
                <w:color w:val="auto"/>
              </w:rPr>
            </w:pPr>
            <w:r>
              <w:rPr>
                <w:rFonts w:ascii="Arial" w:cs="Arial" w:eastAsia="Arial" w:hAnsi="Arial"/>
                <w:sz w:val="16"/>
                <w:szCs w:val="16"/>
                <w:color w:val="auto"/>
              </w:rPr>
              <w:t>Net income</w:t>
            </w:r>
          </w:p>
        </w:tc>
        <w:tc>
          <w:tcPr>
            <w:tcW w:w="5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20" w:type="dxa"/>
            <w:vAlign w:val="bottom"/>
          </w:tcPr>
          <w:p>
            <w:pPr>
              <w:spacing w:after="0"/>
              <w:rPr>
                <w:sz w:val="20"/>
                <w:szCs w:val="20"/>
                <w:color w:val="auto"/>
              </w:rPr>
            </w:pPr>
            <w:r>
              <w:rPr>
                <w:rFonts w:ascii="Arial" w:cs="Arial" w:eastAsia="Arial" w:hAnsi="Arial"/>
                <w:sz w:val="16"/>
                <w:szCs w:val="16"/>
                <w:color w:val="auto"/>
              </w:rPr>
              <w:t>Balances at June 30, 2023</w:t>
            </w:r>
          </w:p>
        </w:tc>
        <w:tc>
          <w:tcPr>
            <w:tcW w:w="58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-2750820</wp:posOffset>
            </wp:positionV>
            <wp:extent cx="7134860" cy="134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-2212340</wp:posOffset>
            </wp:positionV>
            <wp:extent cx="7134860" cy="269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2692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-1808480</wp:posOffset>
            </wp:positionV>
            <wp:extent cx="7134860" cy="134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-857885</wp:posOffset>
            </wp:positionV>
            <wp:extent cx="7134860" cy="277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27749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-445135</wp:posOffset>
            </wp:positionV>
            <wp:extent cx="7134860" cy="134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-1530985</wp:posOffset>
            </wp:positionV>
            <wp:extent cx="7134860" cy="151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1511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-175895</wp:posOffset>
            </wp:positionV>
            <wp:extent cx="7134860" cy="160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780" w:type="dxa"/>
            <w:vAlign w:val="bottom"/>
          </w:tcPr>
          <w:p>
            <w:pPr>
              <w:jc w:val="right"/>
              <w:ind w:right="81"/>
              <w:spacing w:after="0"/>
              <w:rPr>
                <w:sz w:val="20"/>
                <w:szCs w:val="20"/>
                <w:color w:val="auto"/>
              </w:rPr>
            </w:pPr>
            <w:r>
              <w:rPr>
                <w:rFonts w:ascii="Arial" w:cs="Arial" w:eastAsia="Arial" w:hAnsi="Arial"/>
                <w:sz w:val="16"/>
                <w:szCs w:val="16"/>
                <w:color w:val="auto"/>
                <w:w w:val="84"/>
              </w:rPr>
              <w:t>4,792,041</w:t>
            </w:r>
          </w:p>
        </w:tc>
        <w:tc>
          <w:tcPr>
            <w:tcW w:w="500" w:type="dxa"/>
            <w:vAlign w:val="bottom"/>
            <w:tcBorders>
              <w:top w:val="single" w:sz="8" w:color="auto"/>
            </w:tcBorders>
          </w:tcPr>
          <w:p>
            <w:pPr>
              <w:jc w:val="right"/>
              <w:ind w:right="321"/>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15,069</w:t>
            </w:r>
          </w:p>
        </w:tc>
        <w:tc>
          <w:tcPr>
            <w:tcW w:w="120" w:type="dxa"/>
            <w:vAlign w:val="bottom"/>
          </w:tcPr>
          <w:p>
            <w:pPr>
              <w:spacing w:after="0"/>
              <w:rPr>
                <w:sz w:val="19"/>
                <w:szCs w:val="19"/>
                <w:color w:val="auto"/>
              </w:rPr>
            </w:pPr>
          </w:p>
        </w:tc>
        <w:tc>
          <w:tcPr>
            <w:tcW w:w="400" w:type="dxa"/>
            <w:vAlign w:val="bottom"/>
            <w:tcBorders>
              <w:top w:val="single" w:sz="8" w:color="auto"/>
            </w:tcBorders>
          </w:tcPr>
          <w:p>
            <w:pPr>
              <w:jc w:val="right"/>
              <w:ind w:right="246"/>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(437,214)</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4,370,119</w:t>
            </w:r>
          </w:p>
        </w:tc>
      </w:tr>
      <w:tr>
        <w:trPr>
          <w:trHeight w:val="636"/>
        </w:trPr>
        <w:tc>
          <w:tcPr>
            <w:tcW w:w="780" w:type="dxa"/>
            <w:vAlign w:val="bottom"/>
          </w:tcPr>
          <w:p>
            <w:pPr>
              <w:jc w:val="right"/>
              <w:ind w:right="81"/>
              <w:spacing w:after="0"/>
              <w:rPr>
                <w:sz w:val="20"/>
                <w:szCs w:val="20"/>
                <w:color w:val="auto"/>
              </w:rPr>
            </w:pPr>
            <w:r>
              <w:rPr>
                <w:rFonts w:ascii="Arial" w:cs="Arial" w:eastAsia="Arial" w:hAnsi="Arial"/>
                <w:sz w:val="16"/>
                <w:szCs w:val="16"/>
                <w:color w:val="auto"/>
              </w:rPr>
              <w:t>11,235</w:t>
            </w:r>
          </w:p>
        </w:tc>
        <w:tc>
          <w:tcPr>
            <w:tcW w:w="5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11,235</w:t>
            </w:r>
          </w:p>
        </w:tc>
      </w:tr>
      <w:tr>
        <w:trPr>
          <w:trHeight w:val="424"/>
        </w:trPr>
        <w:tc>
          <w:tcPr>
            <w:tcW w:w="780" w:type="dxa"/>
            <w:vAlign w:val="bottom"/>
          </w:tcPr>
          <w:p>
            <w:pPr>
              <w:jc w:val="right"/>
              <w:ind w:right="81"/>
              <w:spacing w:after="0"/>
              <w:rPr>
                <w:sz w:val="20"/>
                <w:szCs w:val="20"/>
                <w:color w:val="auto"/>
              </w:rPr>
            </w:pPr>
            <w:r>
              <w:rPr>
                <w:rFonts w:ascii="Arial" w:cs="Arial" w:eastAsia="Arial" w:hAnsi="Arial"/>
                <w:sz w:val="16"/>
                <w:szCs w:val="16"/>
                <w:color w:val="auto"/>
              </w:rPr>
              <w:t>80</w:t>
            </w:r>
          </w:p>
        </w:tc>
        <w:tc>
          <w:tcPr>
            <w:tcW w:w="5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12"/>
        </w:trPr>
        <w:tc>
          <w:tcPr>
            <w:tcW w:w="780" w:type="dxa"/>
            <w:vAlign w:val="bottom"/>
          </w:tcPr>
          <w:p>
            <w:pPr>
              <w:jc w:val="right"/>
              <w:ind w:right="81"/>
              <w:spacing w:after="0"/>
              <w:rPr>
                <w:sz w:val="20"/>
                <w:szCs w:val="20"/>
                <w:color w:val="auto"/>
              </w:rPr>
            </w:pPr>
            <w:r>
              <w:rPr>
                <w:rFonts w:ascii="Arial" w:cs="Arial" w:eastAsia="Arial" w:hAnsi="Arial"/>
                <w:sz w:val="16"/>
                <w:szCs w:val="16"/>
                <w:color w:val="auto"/>
              </w:rPr>
              <w:t>53,558</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53,558</w:t>
            </w:r>
          </w:p>
        </w:tc>
      </w:tr>
      <w:tr>
        <w:trPr>
          <w:trHeight w:val="212"/>
        </w:trPr>
        <w:tc>
          <w:tcPr>
            <w:tcW w:w="7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5,873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5,873</w:t>
            </w:r>
          </w:p>
        </w:tc>
      </w:tr>
      <w:tr>
        <w:trPr>
          <w:trHeight w:val="212"/>
        </w:trPr>
        <w:tc>
          <w:tcPr>
            <w:tcW w:w="7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21,703</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21,703</w:t>
            </w:r>
          </w:p>
        </w:tc>
      </w:tr>
      <w:tr>
        <w:trPr>
          <w:trHeight w:val="208"/>
        </w:trPr>
        <w:tc>
          <w:tcPr>
            <w:tcW w:w="780" w:type="dxa"/>
            <w:vAlign w:val="bottom"/>
          </w:tcPr>
          <w:p>
            <w:pPr>
              <w:jc w:val="right"/>
              <w:ind w:right="81"/>
              <w:spacing w:after="0"/>
              <w:rPr>
                <w:sz w:val="20"/>
                <w:szCs w:val="20"/>
                <w:color w:val="auto"/>
              </w:rPr>
            </w:pPr>
            <w:r>
              <w:rPr>
                <w:rFonts w:ascii="Arial" w:cs="Arial" w:eastAsia="Arial" w:hAnsi="Arial"/>
                <w:sz w:val="16"/>
                <w:szCs w:val="16"/>
                <w:color w:val="auto"/>
                <w:w w:val="84"/>
              </w:rPr>
              <w:t>4,856,914</w:t>
            </w:r>
          </w:p>
        </w:tc>
        <w:tc>
          <w:tcPr>
            <w:tcW w:w="500" w:type="dxa"/>
            <w:vAlign w:val="bottom"/>
          </w:tcPr>
          <w:p>
            <w:pPr>
              <w:jc w:val="right"/>
              <w:ind w:right="32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20,942</w:t>
            </w:r>
          </w:p>
        </w:tc>
        <w:tc>
          <w:tcPr>
            <w:tcW w:w="520" w:type="dxa"/>
            <w:vAlign w:val="bottom"/>
            <w:gridSpan w:val="2"/>
          </w:tcPr>
          <w:p>
            <w:pPr>
              <w:jc w:val="right"/>
              <w:ind w:right="246"/>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(415,511)</w:t>
            </w:r>
          </w:p>
        </w:tc>
        <w:tc>
          <w:tcPr>
            <w:tcW w:w="480" w:type="dxa"/>
            <w:vAlign w:val="bottom"/>
            <w:gridSpan w:val="2"/>
          </w:tcPr>
          <w:p>
            <w:pPr>
              <w:jc w:val="right"/>
              <w:ind w:right="20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4,462,568</w:t>
            </w:r>
          </w:p>
        </w:tc>
      </w:tr>
      <w:tr>
        <w:trPr>
          <w:trHeight w:val="22"/>
        </w:trPr>
        <w:tc>
          <w:tcPr>
            <w:tcW w:w="7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783"/>
        </w:trPr>
        <w:tc>
          <w:tcPr>
            <w:tcW w:w="780" w:type="dxa"/>
            <w:vAlign w:val="bottom"/>
          </w:tcPr>
          <w:p>
            <w:pPr>
              <w:jc w:val="right"/>
              <w:ind w:right="81"/>
              <w:spacing w:after="0"/>
              <w:rPr>
                <w:sz w:val="20"/>
                <w:szCs w:val="20"/>
                <w:color w:val="auto"/>
              </w:rPr>
            </w:pPr>
            <w:r>
              <w:rPr>
                <w:rFonts w:ascii="Arial" w:cs="Arial" w:eastAsia="Arial" w:hAnsi="Arial"/>
                <w:sz w:val="16"/>
                <w:szCs w:val="16"/>
                <w:color w:val="auto"/>
              </w:rPr>
              <w:t>13,704</w:t>
            </w:r>
          </w:p>
        </w:tc>
        <w:tc>
          <w:tcPr>
            <w:tcW w:w="5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13,704</w:t>
            </w:r>
          </w:p>
        </w:tc>
      </w:tr>
      <w:tr>
        <w:trPr>
          <w:trHeight w:val="437"/>
        </w:trPr>
        <w:tc>
          <w:tcPr>
            <w:tcW w:w="780" w:type="dxa"/>
            <w:vAlign w:val="bottom"/>
          </w:tcPr>
          <w:p>
            <w:pPr>
              <w:jc w:val="right"/>
              <w:ind w:right="81"/>
              <w:spacing w:after="0"/>
              <w:rPr>
                <w:sz w:val="20"/>
                <w:szCs w:val="20"/>
                <w:color w:val="auto"/>
              </w:rPr>
            </w:pPr>
            <w:r>
              <w:rPr>
                <w:rFonts w:ascii="Arial" w:cs="Arial" w:eastAsia="Arial" w:hAnsi="Arial"/>
                <w:sz w:val="16"/>
                <w:szCs w:val="16"/>
                <w:color w:val="auto"/>
              </w:rPr>
              <w:t>80</w:t>
            </w:r>
          </w:p>
        </w:tc>
        <w:tc>
          <w:tcPr>
            <w:tcW w:w="5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12"/>
        </w:trPr>
        <w:tc>
          <w:tcPr>
            <w:tcW w:w="780" w:type="dxa"/>
            <w:vAlign w:val="bottom"/>
          </w:tcPr>
          <w:p>
            <w:pPr>
              <w:jc w:val="right"/>
              <w:ind w:right="81"/>
              <w:spacing w:after="0"/>
              <w:rPr>
                <w:sz w:val="20"/>
                <w:szCs w:val="20"/>
                <w:color w:val="auto"/>
              </w:rPr>
            </w:pPr>
            <w:r>
              <w:rPr>
                <w:rFonts w:ascii="Arial" w:cs="Arial" w:eastAsia="Arial" w:hAnsi="Arial"/>
                <w:sz w:val="16"/>
                <w:szCs w:val="16"/>
                <w:color w:val="auto"/>
              </w:rPr>
              <w:t>54,928</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54,928</w:t>
            </w:r>
          </w:p>
        </w:tc>
      </w:tr>
      <w:tr>
        <w:trPr>
          <w:trHeight w:val="212"/>
        </w:trPr>
        <w:tc>
          <w:tcPr>
            <w:tcW w:w="7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5,864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5,864</w:t>
            </w:r>
          </w:p>
        </w:tc>
      </w:tr>
      <w:tr>
        <w:trPr>
          <w:trHeight w:val="212"/>
        </w:trPr>
        <w:tc>
          <w:tcPr>
            <w:tcW w:w="7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203,548</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203,548</w:t>
            </w:r>
          </w:p>
        </w:tc>
      </w:tr>
      <w:tr>
        <w:trPr>
          <w:trHeight w:val="208"/>
        </w:trPr>
        <w:tc>
          <w:tcPr>
            <w:tcW w:w="780" w:type="dxa"/>
            <w:vAlign w:val="bottom"/>
          </w:tcPr>
          <w:p>
            <w:pPr>
              <w:jc w:val="right"/>
              <w:ind w:right="81"/>
              <w:spacing w:after="0"/>
              <w:rPr>
                <w:sz w:val="20"/>
                <w:szCs w:val="20"/>
                <w:color w:val="auto"/>
              </w:rPr>
            </w:pPr>
            <w:r>
              <w:rPr>
                <w:rFonts w:ascii="Arial" w:cs="Arial" w:eastAsia="Arial" w:hAnsi="Arial"/>
                <w:sz w:val="16"/>
                <w:szCs w:val="16"/>
                <w:color w:val="auto"/>
                <w:w w:val="84"/>
              </w:rPr>
              <w:t>4,925,626</w:t>
            </w:r>
          </w:p>
        </w:tc>
        <w:tc>
          <w:tcPr>
            <w:tcW w:w="500" w:type="dxa"/>
            <w:vAlign w:val="bottom"/>
          </w:tcPr>
          <w:p>
            <w:pPr>
              <w:jc w:val="right"/>
              <w:ind w:right="32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26,806</w:t>
            </w:r>
          </w:p>
        </w:tc>
        <w:tc>
          <w:tcPr>
            <w:tcW w:w="520" w:type="dxa"/>
            <w:vAlign w:val="bottom"/>
            <w:gridSpan w:val="2"/>
          </w:tcPr>
          <w:p>
            <w:pPr>
              <w:jc w:val="right"/>
              <w:ind w:right="246"/>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(211,963)</w:t>
            </w:r>
          </w:p>
        </w:tc>
        <w:tc>
          <w:tcPr>
            <w:tcW w:w="480" w:type="dxa"/>
            <w:vAlign w:val="bottom"/>
            <w:gridSpan w:val="2"/>
          </w:tcPr>
          <w:p>
            <w:pPr>
              <w:jc w:val="right"/>
              <w:ind w:right="20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4,740,692</w:t>
            </w:r>
          </w:p>
        </w:tc>
      </w:tr>
      <w:tr>
        <w:trPr>
          <w:trHeight w:val="22"/>
        </w:trPr>
        <w:tc>
          <w:tcPr>
            <w:tcW w:w="7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-1539240</wp:posOffset>
            </wp:positionV>
            <wp:extent cx="8585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8520" cy="8255"/>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-1370965</wp:posOffset>
            </wp:positionV>
            <wp:extent cx="8585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8520" cy="8255"/>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-7620</wp:posOffset>
            </wp:positionV>
            <wp:extent cx="8585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85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00" w:space="560"/>
            <w:col w:w="5080"/>
          </w:cols>
          <w:pgMar w:left="320" w:top="12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86360</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INCYTE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number of shares)</w:t>
      </w:r>
    </w:p>
    <w:p>
      <w:pPr>
        <w:spacing w:after="0" w:line="220" w:lineRule="exact"/>
        <w:rPr>
          <w:sz w:val="20"/>
          <w:szCs w:val="20"/>
          <w:color w:val="auto"/>
        </w:rPr>
      </w:pPr>
    </w:p>
    <w:tbl>
      <w:tblPr>
        <w:tblLayout w:type="fixed"/>
        <w:tblInd w:w="4460" w:type="dxa"/>
        <w:tblCellMar>
          <w:top w:w="0" w:type="dxa"/>
          <w:left w:w="0" w:type="dxa"/>
          <w:bottom w:w="0" w:type="dxa"/>
          <w:right w:w="0" w:type="dxa"/>
        </w:tblCellMar>
      </w:tblPr>
      <w:tr>
        <w:trPr>
          <w:trHeight w:val="161"/>
        </w:trPr>
        <w:tc>
          <w:tcPr>
            <w:tcW w:w="900" w:type="dxa"/>
            <w:vAlign w:val="bottom"/>
            <w:vMerge w:val="restart"/>
          </w:tcPr>
          <w:p>
            <w:pPr>
              <w:jc w:val="center"/>
              <w:ind w:right="289"/>
              <w:spacing w:after="0"/>
              <w:rPr>
                <w:sz w:val="20"/>
                <w:szCs w:val="20"/>
                <w:color w:val="auto"/>
              </w:rPr>
            </w:pPr>
            <w:r>
              <w:rPr>
                <w:rFonts w:ascii="Arial" w:cs="Arial" w:eastAsia="Arial" w:hAnsi="Arial"/>
                <w:sz w:val="14"/>
                <w:szCs w:val="14"/>
                <w:b w:val="1"/>
                <w:bCs w:val="1"/>
                <w:color w:val="auto"/>
                <w:w w:val="88"/>
              </w:rPr>
              <w:t>Common</w:t>
            </w:r>
          </w:p>
        </w:tc>
        <w:tc>
          <w:tcPr>
            <w:tcW w:w="1480" w:type="dxa"/>
            <w:vAlign w:val="bottom"/>
            <w:vMerge w:val="restart"/>
          </w:tcPr>
          <w:p>
            <w:pPr>
              <w:jc w:val="center"/>
              <w:ind w:left="89"/>
              <w:spacing w:after="0"/>
              <w:rPr>
                <w:sz w:val="20"/>
                <w:szCs w:val="20"/>
                <w:color w:val="auto"/>
              </w:rPr>
            </w:pPr>
            <w:r>
              <w:rPr>
                <w:rFonts w:ascii="Arial" w:cs="Arial" w:eastAsia="Arial" w:hAnsi="Arial"/>
                <w:sz w:val="14"/>
                <w:szCs w:val="14"/>
                <w:b w:val="1"/>
                <w:bCs w:val="1"/>
                <w:color w:val="auto"/>
                <w:w w:val="93"/>
              </w:rPr>
              <w:t>Additional</w:t>
            </w: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Accumulated Other</w:t>
            </w:r>
          </w:p>
        </w:tc>
        <w:tc>
          <w:tcPr>
            <w:tcW w:w="1340" w:type="dxa"/>
            <w:vAlign w:val="bottom"/>
            <w:vMerge w:val="restart"/>
          </w:tcPr>
          <w:p>
            <w:pPr>
              <w:jc w:val="center"/>
              <w:ind w:right="29"/>
              <w:spacing w:after="0"/>
              <w:rPr>
                <w:sz w:val="20"/>
                <w:szCs w:val="20"/>
                <w:color w:val="auto"/>
              </w:rPr>
            </w:pPr>
            <w:r>
              <w:rPr>
                <w:rFonts w:ascii="Arial" w:cs="Arial" w:eastAsia="Arial" w:hAnsi="Arial"/>
                <w:sz w:val="14"/>
                <w:szCs w:val="14"/>
                <w:b w:val="1"/>
                <w:bCs w:val="1"/>
                <w:color w:val="auto"/>
                <w:w w:val="90"/>
              </w:rPr>
              <w:t>Accumulated</w:t>
            </w:r>
          </w:p>
        </w:tc>
        <w:tc>
          <w:tcPr>
            <w:tcW w:w="1160" w:type="dxa"/>
            <w:vAlign w:val="bottom"/>
          </w:tcPr>
          <w:p>
            <w:pPr>
              <w:jc w:val="center"/>
              <w:ind w:left="24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2"/>
        </w:trPr>
        <w:tc>
          <w:tcPr>
            <w:tcW w:w="90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160" w:type="dxa"/>
            <w:vAlign w:val="bottom"/>
          </w:tcPr>
          <w:p>
            <w:pPr>
              <w:jc w:val="center"/>
              <w:ind w:left="249"/>
              <w:spacing w:after="0" w:line="142"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4"/>
        </w:trPr>
        <w:tc>
          <w:tcPr>
            <w:tcW w:w="900" w:type="dxa"/>
            <w:vAlign w:val="bottom"/>
          </w:tcPr>
          <w:p>
            <w:pPr>
              <w:jc w:val="center"/>
              <w:ind w:right="289"/>
              <w:spacing w:after="0"/>
              <w:rPr>
                <w:sz w:val="20"/>
                <w:szCs w:val="20"/>
                <w:color w:val="auto"/>
              </w:rPr>
            </w:pPr>
            <w:r>
              <w:rPr>
                <w:rFonts w:ascii="Arial" w:cs="Arial" w:eastAsia="Arial" w:hAnsi="Arial"/>
                <w:sz w:val="14"/>
                <w:szCs w:val="14"/>
                <w:b w:val="1"/>
                <w:bCs w:val="1"/>
                <w:color w:val="auto"/>
                <w:w w:val="89"/>
              </w:rPr>
              <w:t>Stock</w:t>
            </w:r>
          </w:p>
        </w:tc>
        <w:tc>
          <w:tcPr>
            <w:tcW w:w="1480" w:type="dxa"/>
            <w:vAlign w:val="bottom"/>
          </w:tcPr>
          <w:p>
            <w:pPr>
              <w:jc w:val="center"/>
              <w:ind w:left="89"/>
              <w:spacing w:after="0"/>
              <w:rPr>
                <w:sz w:val="20"/>
                <w:szCs w:val="20"/>
                <w:color w:val="auto"/>
              </w:rPr>
            </w:pPr>
            <w:r>
              <w:rPr>
                <w:rFonts w:ascii="Arial" w:cs="Arial" w:eastAsia="Arial" w:hAnsi="Arial"/>
                <w:sz w:val="14"/>
                <w:szCs w:val="14"/>
                <w:b w:val="1"/>
                <w:bCs w:val="1"/>
                <w:color w:val="auto"/>
                <w:w w:val="94"/>
              </w:rPr>
              <w:t>Paid-in Capital</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7"/>
              </w:rPr>
              <w:t>Comprehensive Loss</w:t>
            </w:r>
          </w:p>
        </w:tc>
        <w:tc>
          <w:tcPr>
            <w:tcW w:w="1340" w:type="dxa"/>
            <w:vAlign w:val="bottom"/>
          </w:tcPr>
          <w:p>
            <w:pPr>
              <w:jc w:val="center"/>
              <w:ind w:right="29"/>
              <w:spacing w:after="0"/>
              <w:rPr>
                <w:sz w:val="20"/>
                <w:szCs w:val="20"/>
                <w:color w:val="auto"/>
              </w:rPr>
            </w:pPr>
            <w:r>
              <w:rPr>
                <w:rFonts w:ascii="Arial" w:cs="Arial" w:eastAsia="Arial" w:hAnsi="Arial"/>
                <w:sz w:val="14"/>
                <w:szCs w:val="14"/>
                <w:b w:val="1"/>
                <w:bCs w:val="1"/>
                <w:color w:val="auto"/>
                <w:w w:val="93"/>
              </w:rPr>
              <w:t>Deficit</w:t>
            </w:r>
          </w:p>
        </w:tc>
        <w:tc>
          <w:tcPr>
            <w:tcW w:w="1160" w:type="dxa"/>
            <w:vAlign w:val="bottom"/>
          </w:tcPr>
          <w:p>
            <w:pPr>
              <w:jc w:val="center"/>
              <w:ind w:left="249"/>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860" cy="142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tbl>
      <w:tblPr>
        <w:tblLayout w:type="fixed"/>
        <w:tblInd w:w="20" w:type="dxa"/>
        <w:tblCellMar>
          <w:top w:w="0" w:type="dxa"/>
          <w:left w:w="0" w:type="dxa"/>
          <w:bottom w:w="0" w:type="dxa"/>
          <w:right w:w="0" w:type="dxa"/>
        </w:tblCellMar>
      </w:tblPr>
      <w:tr>
        <w:trPr>
          <w:trHeight w:val="215"/>
        </w:trPr>
        <w:tc>
          <w:tcPr>
            <w:tcW w:w="4040" w:type="dxa"/>
            <w:vAlign w:val="bottom"/>
          </w:tcPr>
          <w:p>
            <w:pPr>
              <w:spacing w:after="0"/>
              <w:rPr>
                <w:sz w:val="20"/>
                <w:szCs w:val="20"/>
                <w:color w:val="auto"/>
              </w:rPr>
            </w:pPr>
            <w:r>
              <w:rPr>
                <w:rFonts w:ascii="Arial" w:cs="Arial" w:eastAsia="Arial" w:hAnsi="Arial"/>
                <w:sz w:val="16"/>
                <w:szCs w:val="16"/>
                <w:color w:val="auto"/>
              </w:rPr>
              <w:t>Balances at January 1, 2022</w:t>
            </w:r>
          </w:p>
        </w:tc>
        <w:tc>
          <w:tcPr>
            <w:tcW w:w="560" w:type="dxa"/>
            <w:vAlign w:val="bottom"/>
            <w:tcBorders>
              <w:top w:val="single" w:sz="8" w:color="auto"/>
            </w:tcBorders>
          </w:tcPr>
          <w:p>
            <w:pPr>
              <w:jc w:val="right"/>
              <w:ind w:right="381"/>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221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7"/>
        </w:trPr>
        <w:tc>
          <w:tcPr>
            <w:tcW w:w="4040" w:type="dxa"/>
            <w:vAlign w:val="bottom"/>
          </w:tcPr>
          <w:p>
            <w:pPr>
              <w:spacing w:after="0" w:line="168" w:lineRule="exact"/>
              <w:rPr>
                <w:sz w:val="20"/>
                <w:szCs w:val="20"/>
                <w:color w:val="auto"/>
              </w:rPr>
            </w:pPr>
            <w:r>
              <w:rPr>
                <w:rFonts w:ascii="Arial" w:cs="Arial" w:eastAsia="Arial" w:hAnsi="Arial"/>
                <w:sz w:val="16"/>
                <w:szCs w:val="16"/>
                <w:color w:val="auto"/>
                <w:w w:val="89"/>
              </w:rPr>
              <w:t>Issuance of 323,582 shares of Common Stock upon exercise of</w:t>
            </w: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040" w:type="dxa"/>
            <w:vAlign w:val="bottom"/>
          </w:tcPr>
          <w:p>
            <w:pPr>
              <w:spacing w:after="0" w:line="159" w:lineRule="exact"/>
              <w:rPr>
                <w:sz w:val="20"/>
                <w:szCs w:val="20"/>
                <w:color w:val="auto"/>
              </w:rPr>
            </w:pPr>
            <w:r>
              <w:rPr>
                <w:rFonts w:ascii="Arial" w:cs="Arial" w:eastAsia="Arial" w:hAnsi="Arial"/>
                <w:sz w:val="16"/>
                <w:szCs w:val="16"/>
                <w:color w:val="auto"/>
                <w:w w:val="98"/>
              </w:rPr>
              <w:t>stock options and settlement of employee restricted stock</w:t>
            </w:r>
          </w:p>
        </w:tc>
        <w:tc>
          <w:tcPr>
            <w:tcW w:w="560" w:type="dxa"/>
            <w:vAlign w:val="bottom"/>
          </w:tcPr>
          <w:p>
            <w:pPr>
              <w:spacing w:after="0"/>
              <w:rPr>
                <w:sz w:val="13"/>
                <w:szCs w:val="13"/>
                <w:color w:val="auto"/>
              </w:rPr>
            </w:pPr>
          </w:p>
        </w:tc>
        <w:tc>
          <w:tcPr>
            <w:tcW w:w="80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4040" w:type="dxa"/>
            <w:vAlign w:val="bottom"/>
          </w:tcPr>
          <w:p>
            <w:pPr>
              <w:spacing w:after="0"/>
              <w:rPr>
                <w:sz w:val="20"/>
                <w:szCs w:val="20"/>
                <w:color w:val="auto"/>
              </w:rPr>
            </w:pPr>
            <w:r>
              <w:rPr>
                <w:rFonts w:ascii="Arial" w:cs="Arial" w:eastAsia="Arial" w:hAnsi="Arial"/>
                <w:sz w:val="16"/>
                <w:szCs w:val="16"/>
                <w:color w:val="auto"/>
              </w:rPr>
              <w:t>units, net of shares withheld for taxes</w:t>
            </w:r>
          </w:p>
        </w:tc>
        <w:tc>
          <w:tcPr>
            <w:tcW w:w="5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4040" w:type="dxa"/>
            <w:vAlign w:val="bottom"/>
          </w:tcPr>
          <w:p>
            <w:pPr>
              <w:spacing w:after="0" w:line="168" w:lineRule="exact"/>
              <w:rPr>
                <w:sz w:val="20"/>
                <w:szCs w:val="20"/>
                <w:color w:val="auto"/>
              </w:rPr>
            </w:pPr>
            <w:r>
              <w:rPr>
                <w:rFonts w:ascii="Arial" w:cs="Arial" w:eastAsia="Arial" w:hAnsi="Arial"/>
                <w:sz w:val="16"/>
                <w:szCs w:val="16"/>
                <w:color w:val="auto"/>
              </w:rPr>
              <w:t>Issuance of 1,535 shares of Common Stock for services</w:t>
            </w:r>
          </w:p>
        </w:tc>
        <w:tc>
          <w:tcPr>
            <w:tcW w:w="560" w:type="dxa"/>
            <w:vAlign w:val="bottom"/>
          </w:tcPr>
          <w:p>
            <w:pPr>
              <w:spacing w:after="0"/>
              <w:rPr>
                <w:sz w:val="14"/>
                <w:szCs w:val="14"/>
                <w:color w:val="auto"/>
              </w:rPr>
            </w:pPr>
          </w:p>
        </w:tc>
        <w:tc>
          <w:tcPr>
            <w:tcW w:w="80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040" w:type="dxa"/>
            <w:vAlign w:val="bottom"/>
          </w:tcPr>
          <w:p>
            <w:pPr>
              <w:spacing w:after="0"/>
              <w:rPr>
                <w:sz w:val="20"/>
                <w:szCs w:val="20"/>
                <w:color w:val="auto"/>
              </w:rPr>
            </w:pPr>
            <w:r>
              <w:rPr>
                <w:rFonts w:ascii="Arial" w:cs="Arial" w:eastAsia="Arial" w:hAnsi="Arial"/>
                <w:sz w:val="16"/>
                <w:szCs w:val="16"/>
                <w:color w:val="auto"/>
              </w:rPr>
              <w:t>rendered</w:t>
            </w:r>
          </w:p>
        </w:tc>
        <w:tc>
          <w:tcPr>
            <w:tcW w:w="5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40" w:type="dxa"/>
            <w:vAlign w:val="bottom"/>
          </w:tcPr>
          <w:p>
            <w:pPr>
              <w:spacing w:after="0"/>
              <w:rPr>
                <w:sz w:val="20"/>
                <w:szCs w:val="20"/>
                <w:color w:val="auto"/>
              </w:rPr>
            </w:pPr>
            <w:r>
              <w:rPr>
                <w:rFonts w:ascii="Arial" w:cs="Arial" w:eastAsia="Arial" w:hAnsi="Arial"/>
                <w:sz w:val="16"/>
                <w:szCs w:val="16"/>
                <w:color w:val="auto"/>
              </w:rPr>
              <w:t>Stock compensation</w:t>
            </w:r>
          </w:p>
        </w:tc>
        <w:tc>
          <w:tcPr>
            <w:tcW w:w="56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40" w:type="dxa"/>
            <w:vAlign w:val="bottom"/>
          </w:tcPr>
          <w:p>
            <w:pPr>
              <w:spacing w:after="0"/>
              <w:rPr>
                <w:sz w:val="20"/>
                <w:szCs w:val="20"/>
                <w:color w:val="auto"/>
              </w:rPr>
            </w:pPr>
            <w:r>
              <w:rPr>
                <w:rFonts w:ascii="Arial" w:cs="Arial" w:eastAsia="Arial" w:hAnsi="Arial"/>
                <w:sz w:val="16"/>
                <w:szCs w:val="16"/>
                <w:color w:val="auto"/>
              </w:rPr>
              <w:t>Other comprehensive loss</w:t>
            </w:r>
          </w:p>
        </w:tc>
        <w:tc>
          <w:tcPr>
            <w:tcW w:w="56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40" w:type="dxa"/>
            <w:vAlign w:val="bottom"/>
          </w:tcPr>
          <w:p>
            <w:pPr>
              <w:spacing w:after="0"/>
              <w:rPr>
                <w:sz w:val="20"/>
                <w:szCs w:val="20"/>
                <w:color w:val="auto"/>
              </w:rPr>
            </w:pPr>
            <w:r>
              <w:rPr>
                <w:rFonts w:ascii="Arial" w:cs="Arial" w:eastAsia="Arial" w:hAnsi="Arial"/>
                <w:sz w:val="16"/>
                <w:szCs w:val="16"/>
                <w:color w:val="auto"/>
              </w:rPr>
              <w:t>Net income</w:t>
            </w:r>
          </w:p>
        </w:tc>
        <w:tc>
          <w:tcPr>
            <w:tcW w:w="5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40" w:type="dxa"/>
            <w:vAlign w:val="bottom"/>
          </w:tcPr>
          <w:p>
            <w:pPr>
              <w:spacing w:after="0"/>
              <w:rPr>
                <w:sz w:val="20"/>
                <w:szCs w:val="20"/>
                <w:color w:val="auto"/>
              </w:rPr>
            </w:pPr>
            <w:r>
              <w:rPr>
                <w:rFonts w:ascii="Arial" w:cs="Arial" w:eastAsia="Arial" w:hAnsi="Arial"/>
                <w:sz w:val="16"/>
                <w:szCs w:val="16"/>
                <w:color w:val="auto"/>
              </w:rPr>
              <w:t>Balances at March 31, 2022</w:t>
            </w:r>
          </w:p>
        </w:tc>
        <w:tc>
          <w:tcPr>
            <w:tcW w:w="56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line="169" w:lineRule="exact"/>
              <w:rPr>
                <w:sz w:val="20"/>
                <w:szCs w:val="20"/>
                <w:color w:val="auto"/>
              </w:rPr>
            </w:pPr>
            <w:r>
              <w:rPr>
                <w:rFonts w:ascii="Arial" w:cs="Arial" w:eastAsia="Arial" w:hAnsi="Arial"/>
                <w:sz w:val="16"/>
                <w:szCs w:val="16"/>
                <w:color w:val="auto"/>
                <w:w w:val="89"/>
              </w:rPr>
              <w:t>Issuance of 274,693 shares of Common Stock upon exercise of</w:t>
            </w: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4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040" w:type="dxa"/>
            <w:vAlign w:val="bottom"/>
          </w:tcPr>
          <w:p>
            <w:pPr>
              <w:spacing w:after="0" w:line="159" w:lineRule="exact"/>
              <w:rPr>
                <w:sz w:val="20"/>
                <w:szCs w:val="20"/>
                <w:color w:val="auto"/>
              </w:rPr>
            </w:pPr>
            <w:r>
              <w:rPr>
                <w:rFonts w:ascii="Arial" w:cs="Arial" w:eastAsia="Arial" w:hAnsi="Arial"/>
                <w:sz w:val="16"/>
                <w:szCs w:val="16"/>
                <w:color w:val="auto"/>
                <w:w w:val="90"/>
              </w:rPr>
              <w:t>stock options and settlement of employee restricted stock units</w:t>
            </w: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40" w:type="dxa"/>
            <w:vAlign w:val="bottom"/>
          </w:tcPr>
          <w:p>
            <w:pPr>
              <w:spacing w:after="0" w:line="159" w:lineRule="exact"/>
              <w:rPr>
                <w:sz w:val="20"/>
                <w:szCs w:val="20"/>
                <w:color w:val="auto"/>
              </w:rPr>
            </w:pPr>
            <w:r>
              <w:rPr>
                <w:rFonts w:ascii="Arial" w:cs="Arial" w:eastAsia="Arial" w:hAnsi="Arial"/>
                <w:sz w:val="16"/>
                <w:szCs w:val="16"/>
                <w:color w:val="auto"/>
                <w:w w:val="92"/>
              </w:rPr>
              <w:t>and performance shares, net of shares withheld for taxes and</w:t>
            </w:r>
          </w:p>
        </w:tc>
        <w:tc>
          <w:tcPr>
            <w:tcW w:w="560" w:type="dxa"/>
            <w:vAlign w:val="bottom"/>
          </w:tcPr>
          <w:p>
            <w:pPr>
              <w:spacing w:after="0"/>
              <w:rPr>
                <w:sz w:val="13"/>
                <w:szCs w:val="13"/>
                <w:color w:val="auto"/>
              </w:rPr>
            </w:pPr>
          </w:p>
        </w:tc>
        <w:tc>
          <w:tcPr>
            <w:tcW w:w="800" w:type="dxa"/>
            <w:vAlign w:val="bottom"/>
            <w:vMerge w:val="restart"/>
          </w:tcPr>
          <w:p>
            <w:pPr>
              <w:jc w:val="right"/>
              <w:ind w:right="1"/>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4040" w:type="dxa"/>
            <w:vAlign w:val="bottom"/>
          </w:tcPr>
          <w:p>
            <w:pPr>
              <w:spacing w:after="0"/>
              <w:rPr>
                <w:sz w:val="20"/>
                <w:szCs w:val="20"/>
                <w:color w:val="auto"/>
              </w:rPr>
            </w:pPr>
            <w:r>
              <w:rPr>
                <w:rFonts w:ascii="Arial" w:cs="Arial" w:eastAsia="Arial" w:hAnsi="Arial"/>
                <w:sz w:val="16"/>
                <w:szCs w:val="16"/>
                <w:color w:val="auto"/>
              </w:rPr>
              <w:t>189,684 shares of Common Stock under the ESPP</w:t>
            </w:r>
          </w:p>
        </w:tc>
        <w:tc>
          <w:tcPr>
            <w:tcW w:w="5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4040" w:type="dxa"/>
            <w:vAlign w:val="bottom"/>
          </w:tcPr>
          <w:p>
            <w:pPr>
              <w:spacing w:after="0" w:line="168" w:lineRule="exact"/>
              <w:rPr>
                <w:sz w:val="20"/>
                <w:szCs w:val="20"/>
                <w:color w:val="auto"/>
              </w:rPr>
            </w:pPr>
            <w:r>
              <w:rPr>
                <w:rFonts w:ascii="Arial" w:cs="Arial" w:eastAsia="Arial" w:hAnsi="Arial"/>
                <w:sz w:val="16"/>
                <w:szCs w:val="16"/>
                <w:color w:val="auto"/>
              </w:rPr>
              <w:t>Issuance of 1,469 shares of Common Stock for services</w:t>
            </w:r>
          </w:p>
        </w:tc>
        <w:tc>
          <w:tcPr>
            <w:tcW w:w="560" w:type="dxa"/>
            <w:vAlign w:val="bottom"/>
          </w:tcPr>
          <w:p>
            <w:pPr>
              <w:spacing w:after="0"/>
              <w:rPr>
                <w:sz w:val="14"/>
                <w:szCs w:val="14"/>
                <w:color w:val="auto"/>
              </w:rPr>
            </w:pPr>
          </w:p>
        </w:tc>
        <w:tc>
          <w:tcPr>
            <w:tcW w:w="80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040" w:type="dxa"/>
            <w:vAlign w:val="bottom"/>
          </w:tcPr>
          <w:p>
            <w:pPr>
              <w:spacing w:after="0"/>
              <w:rPr>
                <w:sz w:val="20"/>
                <w:szCs w:val="20"/>
                <w:color w:val="auto"/>
              </w:rPr>
            </w:pPr>
            <w:r>
              <w:rPr>
                <w:rFonts w:ascii="Arial" w:cs="Arial" w:eastAsia="Arial" w:hAnsi="Arial"/>
                <w:sz w:val="16"/>
                <w:szCs w:val="16"/>
                <w:color w:val="auto"/>
              </w:rPr>
              <w:t>rendered</w:t>
            </w:r>
          </w:p>
        </w:tc>
        <w:tc>
          <w:tcPr>
            <w:tcW w:w="5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40" w:type="dxa"/>
            <w:vAlign w:val="bottom"/>
          </w:tcPr>
          <w:p>
            <w:pPr>
              <w:spacing w:after="0"/>
              <w:rPr>
                <w:sz w:val="20"/>
                <w:szCs w:val="20"/>
                <w:color w:val="auto"/>
              </w:rPr>
            </w:pPr>
            <w:r>
              <w:rPr>
                <w:rFonts w:ascii="Arial" w:cs="Arial" w:eastAsia="Arial" w:hAnsi="Arial"/>
                <w:sz w:val="16"/>
                <w:szCs w:val="16"/>
                <w:color w:val="auto"/>
              </w:rPr>
              <w:t>Stock compensation</w:t>
            </w:r>
          </w:p>
        </w:tc>
        <w:tc>
          <w:tcPr>
            <w:tcW w:w="56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40" w:type="dxa"/>
            <w:vAlign w:val="bottom"/>
          </w:tcPr>
          <w:p>
            <w:pPr>
              <w:spacing w:after="0"/>
              <w:rPr>
                <w:sz w:val="20"/>
                <w:szCs w:val="20"/>
                <w:color w:val="auto"/>
              </w:rPr>
            </w:pPr>
            <w:r>
              <w:rPr>
                <w:rFonts w:ascii="Arial" w:cs="Arial" w:eastAsia="Arial" w:hAnsi="Arial"/>
                <w:sz w:val="16"/>
                <w:szCs w:val="16"/>
                <w:color w:val="auto"/>
              </w:rPr>
              <w:t>Other comprehensive loss</w:t>
            </w:r>
          </w:p>
        </w:tc>
        <w:tc>
          <w:tcPr>
            <w:tcW w:w="56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40" w:type="dxa"/>
            <w:vAlign w:val="bottom"/>
          </w:tcPr>
          <w:p>
            <w:pPr>
              <w:spacing w:after="0"/>
              <w:rPr>
                <w:sz w:val="20"/>
                <w:szCs w:val="20"/>
                <w:color w:val="auto"/>
              </w:rPr>
            </w:pPr>
            <w:r>
              <w:rPr>
                <w:rFonts w:ascii="Arial" w:cs="Arial" w:eastAsia="Arial" w:hAnsi="Arial"/>
                <w:sz w:val="16"/>
                <w:szCs w:val="16"/>
                <w:color w:val="auto"/>
              </w:rPr>
              <w:t>Net income</w:t>
            </w:r>
          </w:p>
        </w:tc>
        <w:tc>
          <w:tcPr>
            <w:tcW w:w="5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40" w:type="dxa"/>
            <w:vAlign w:val="bottom"/>
          </w:tcPr>
          <w:p>
            <w:pPr>
              <w:spacing w:after="0"/>
              <w:rPr>
                <w:sz w:val="20"/>
                <w:szCs w:val="20"/>
                <w:color w:val="auto"/>
              </w:rPr>
            </w:pPr>
            <w:r>
              <w:rPr>
                <w:rFonts w:ascii="Arial" w:cs="Arial" w:eastAsia="Arial" w:hAnsi="Arial"/>
                <w:sz w:val="16"/>
                <w:szCs w:val="16"/>
                <w:color w:val="auto"/>
              </w:rPr>
              <w:t>Balances at June 30, 2022</w:t>
            </w:r>
          </w:p>
        </w:tc>
        <w:tc>
          <w:tcPr>
            <w:tcW w:w="56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-2052320</wp:posOffset>
            </wp:positionV>
            <wp:extent cx="7134860" cy="2355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860" cy="2355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-1682115</wp:posOffset>
            </wp:positionV>
            <wp:extent cx="7134860" cy="134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-815340</wp:posOffset>
            </wp:positionV>
            <wp:extent cx="7134860" cy="2355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860" cy="2355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-445135</wp:posOffset>
            </wp:positionV>
            <wp:extent cx="7134860" cy="134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-1412875</wp:posOffset>
            </wp:positionV>
            <wp:extent cx="7134860" cy="160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860" cy="1600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-175895</wp:posOffset>
            </wp:positionV>
            <wp:extent cx="7134860" cy="160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800" w:type="dxa"/>
            <w:vAlign w:val="bottom"/>
          </w:tcPr>
          <w:p>
            <w:pPr>
              <w:jc w:val="right"/>
              <w:ind w:right="81"/>
              <w:spacing w:after="0"/>
              <w:rPr>
                <w:sz w:val="20"/>
                <w:szCs w:val="20"/>
                <w:color w:val="auto"/>
              </w:rPr>
            </w:pPr>
            <w:r>
              <w:rPr>
                <w:rFonts w:ascii="Arial" w:cs="Arial" w:eastAsia="Arial" w:hAnsi="Arial"/>
                <w:sz w:val="16"/>
                <w:szCs w:val="16"/>
                <w:color w:val="auto"/>
                <w:w w:val="87"/>
              </w:rPr>
              <w:t>4,567,111</w:t>
            </w:r>
          </w:p>
        </w:tc>
        <w:tc>
          <w:tcPr>
            <w:tcW w:w="440" w:type="dxa"/>
            <w:vAlign w:val="bottom"/>
            <w:tcBorders>
              <w:top w:val="single" w:sz="8" w:color="auto"/>
            </w:tcBorders>
          </w:tcPr>
          <w:p>
            <w:pPr>
              <w:jc w:val="right"/>
              <w:ind w:right="261"/>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(19,454)</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226"/>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(777,874)</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3,770,004</w:t>
            </w:r>
          </w:p>
        </w:tc>
      </w:tr>
      <w:tr>
        <w:trPr>
          <w:trHeight w:val="530"/>
        </w:trPr>
        <w:tc>
          <w:tcPr>
            <w:tcW w:w="800" w:type="dxa"/>
            <w:vAlign w:val="bottom"/>
          </w:tcPr>
          <w:p>
            <w:pPr>
              <w:jc w:val="right"/>
              <w:ind w:right="81"/>
              <w:spacing w:after="0"/>
              <w:rPr>
                <w:sz w:val="20"/>
                <w:szCs w:val="20"/>
                <w:color w:val="auto"/>
              </w:rPr>
            </w:pPr>
            <w:r>
              <w:rPr>
                <w:rFonts w:ascii="Arial" w:cs="Arial" w:eastAsia="Arial" w:hAnsi="Arial"/>
                <w:sz w:val="16"/>
                <w:szCs w:val="16"/>
                <w:color w:val="auto"/>
              </w:rPr>
              <w:t>14,237</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14,237</w:t>
            </w:r>
          </w:p>
        </w:tc>
      </w:tr>
      <w:tr>
        <w:trPr>
          <w:trHeight w:val="371"/>
        </w:trPr>
        <w:tc>
          <w:tcPr>
            <w:tcW w:w="800" w:type="dxa"/>
            <w:vAlign w:val="bottom"/>
          </w:tcPr>
          <w:p>
            <w:pPr>
              <w:jc w:val="right"/>
              <w:ind w:right="81"/>
              <w:spacing w:after="0"/>
              <w:rPr>
                <w:sz w:val="20"/>
                <w:szCs w:val="20"/>
                <w:color w:val="auto"/>
              </w:rPr>
            </w:pPr>
            <w:r>
              <w:rPr>
                <w:rFonts w:ascii="Arial" w:cs="Arial" w:eastAsia="Arial" w:hAnsi="Arial"/>
                <w:sz w:val="16"/>
                <w:szCs w:val="16"/>
                <w:color w:val="auto"/>
              </w:rPr>
              <w:t>112</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212"/>
        </w:trPr>
        <w:tc>
          <w:tcPr>
            <w:tcW w:w="800" w:type="dxa"/>
            <w:vAlign w:val="bottom"/>
          </w:tcPr>
          <w:p>
            <w:pPr>
              <w:jc w:val="right"/>
              <w:ind w:right="81"/>
              <w:spacing w:after="0"/>
              <w:rPr>
                <w:sz w:val="20"/>
                <w:szCs w:val="20"/>
                <w:color w:val="auto"/>
              </w:rPr>
            </w:pPr>
            <w:r>
              <w:rPr>
                <w:rFonts w:ascii="Arial" w:cs="Arial" w:eastAsia="Arial" w:hAnsi="Arial"/>
                <w:sz w:val="16"/>
                <w:szCs w:val="16"/>
                <w:color w:val="auto"/>
              </w:rPr>
              <w:t>44,320</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44,320</w:t>
            </w:r>
          </w:p>
        </w:tc>
      </w:tr>
      <w:tr>
        <w:trPr>
          <w:trHeight w:val="212"/>
        </w:trPr>
        <w:tc>
          <w:tcPr>
            <w:tcW w:w="8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(3,593)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(3,593)</w:t>
            </w:r>
          </w:p>
        </w:tc>
      </w:tr>
      <w:tr>
        <w:trPr>
          <w:trHeight w:val="212"/>
        </w:trPr>
        <w:tc>
          <w:tcPr>
            <w:tcW w:w="8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37,992</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37,992</w:t>
            </w:r>
          </w:p>
        </w:tc>
      </w:tr>
      <w:tr>
        <w:trPr>
          <w:trHeight w:val="208"/>
        </w:trPr>
        <w:tc>
          <w:tcPr>
            <w:tcW w:w="800" w:type="dxa"/>
            <w:vAlign w:val="bottom"/>
          </w:tcPr>
          <w:p>
            <w:pPr>
              <w:jc w:val="right"/>
              <w:ind w:right="81"/>
              <w:spacing w:after="0"/>
              <w:rPr>
                <w:sz w:val="20"/>
                <w:szCs w:val="20"/>
                <w:color w:val="auto"/>
              </w:rPr>
            </w:pPr>
            <w:r>
              <w:rPr>
                <w:rFonts w:ascii="Arial" w:cs="Arial" w:eastAsia="Arial" w:hAnsi="Arial"/>
                <w:sz w:val="16"/>
                <w:szCs w:val="16"/>
                <w:color w:val="auto"/>
                <w:w w:val="87"/>
              </w:rPr>
              <w:t>4,625,780</w:t>
            </w:r>
          </w:p>
        </w:tc>
        <w:tc>
          <w:tcPr>
            <w:tcW w:w="440" w:type="dxa"/>
            <w:vAlign w:val="bottom"/>
          </w:tcPr>
          <w:p>
            <w:pPr>
              <w:jc w:val="right"/>
              <w:ind w:right="26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(23,047)</w:t>
            </w:r>
          </w:p>
        </w:tc>
        <w:tc>
          <w:tcPr>
            <w:tcW w:w="500" w:type="dxa"/>
            <w:vAlign w:val="bottom"/>
            <w:gridSpan w:val="2"/>
          </w:tcPr>
          <w:p>
            <w:pPr>
              <w:jc w:val="right"/>
              <w:ind w:right="226"/>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(739,882)</w:t>
            </w:r>
          </w:p>
        </w:tc>
        <w:tc>
          <w:tcPr>
            <w:tcW w:w="480" w:type="dxa"/>
            <w:vAlign w:val="bottom"/>
            <w:gridSpan w:val="2"/>
          </w:tcPr>
          <w:p>
            <w:pPr>
              <w:jc w:val="right"/>
              <w:ind w:right="20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3,863,072</w:t>
            </w:r>
          </w:p>
        </w:tc>
      </w:tr>
      <w:tr>
        <w:trPr>
          <w:trHeight w:val="22"/>
        </w:trPr>
        <w:tc>
          <w:tcPr>
            <w:tcW w:w="8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651"/>
        </w:trPr>
        <w:tc>
          <w:tcPr>
            <w:tcW w:w="800" w:type="dxa"/>
            <w:vAlign w:val="bottom"/>
          </w:tcPr>
          <w:p>
            <w:pPr>
              <w:jc w:val="right"/>
              <w:ind w:right="81"/>
              <w:spacing w:after="0"/>
              <w:rPr>
                <w:sz w:val="20"/>
                <w:szCs w:val="20"/>
                <w:color w:val="auto"/>
              </w:rPr>
            </w:pPr>
            <w:r>
              <w:rPr>
                <w:rFonts w:ascii="Arial" w:cs="Arial" w:eastAsia="Arial" w:hAnsi="Arial"/>
                <w:sz w:val="16"/>
                <w:szCs w:val="16"/>
                <w:color w:val="auto"/>
              </w:rPr>
              <w:t>16,600</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16,601</w:t>
            </w:r>
          </w:p>
        </w:tc>
      </w:tr>
      <w:tr>
        <w:trPr>
          <w:trHeight w:val="371"/>
        </w:trPr>
        <w:tc>
          <w:tcPr>
            <w:tcW w:w="800" w:type="dxa"/>
            <w:vAlign w:val="bottom"/>
          </w:tcPr>
          <w:p>
            <w:pPr>
              <w:jc w:val="right"/>
              <w:ind w:right="81"/>
              <w:spacing w:after="0"/>
              <w:rPr>
                <w:sz w:val="20"/>
                <w:szCs w:val="20"/>
                <w:color w:val="auto"/>
              </w:rPr>
            </w:pPr>
            <w:r>
              <w:rPr>
                <w:rFonts w:ascii="Arial" w:cs="Arial" w:eastAsia="Arial" w:hAnsi="Arial"/>
                <w:sz w:val="16"/>
                <w:szCs w:val="16"/>
                <w:color w:val="auto"/>
              </w:rPr>
              <w:t>109</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212"/>
        </w:trPr>
        <w:tc>
          <w:tcPr>
            <w:tcW w:w="800" w:type="dxa"/>
            <w:vAlign w:val="bottom"/>
          </w:tcPr>
          <w:p>
            <w:pPr>
              <w:jc w:val="right"/>
              <w:ind w:right="81"/>
              <w:spacing w:after="0"/>
              <w:rPr>
                <w:sz w:val="20"/>
                <w:szCs w:val="20"/>
                <w:color w:val="auto"/>
              </w:rPr>
            </w:pPr>
            <w:r>
              <w:rPr>
                <w:rFonts w:ascii="Arial" w:cs="Arial" w:eastAsia="Arial" w:hAnsi="Arial"/>
                <w:sz w:val="16"/>
                <w:szCs w:val="16"/>
                <w:color w:val="auto"/>
              </w:rPr>
              <w:t>46,496</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46,496</w:t>
            </w:r>
          </w:p>
        </w:tc>
      </w:tr>
      <w:tr>
        <w:trPr>
          <w:trHeight w:val="212"/>
        </w:trPr>
        <w:tc>
          <w:tcPr>
            <w:tcW w:w="8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(2,649)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(2,649)</w:t>
            </w:r>
          </w:p>
        </w:tc>
      </w:tr>
      <w:tr>
        <w:trPr>
          <w:trHeight w:val="212"/>
        </w:trPr>
        <w:tc>
          <w:tcPr>
            <w:tcW w:w="8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161,432</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161,432</w:t>
            </w:r>
          </w:p>
        </w:tc>
      </w:tr>
      <w:tr>
        <w:trPr>
          <w:trHeight w:val="208"/>
        </w:trPr>
        <w:tc>
          <w:tcPr>
            <w:tcW w:w="800" w:type="dxa"/>
            <w:vAlign w:val="bottom"/>
          </w:tcPr>
          <w:p>
            <w:pPr>
              <w:jc w:val="right"/>
              <w:ind w:right="81"/>
              <w:spacing w:after="0"/>
              <w:rPr>
                <w:sz w:val="20"/>
                <w:szCs w:val="20"/>
                <w:color w:val="auto"/>
              </w:rPr>
            </w:pPr>
            <w:r>
              <w:rPr>
                <w:rFonts w:ascii="Arial" w:cs="Arial" w:eastAsia="Arial" w:hAnsi="Arial"/>
                <w:sz w:val="16"/>
                <w:szCs w:val="16"/>
                <w:color w:val="auto"/>
                <w:w w:val="87"/>
              </w:rPr>
              <w:t>4,688,985</w:t>
            </w:r>
          </w:p>
        </w:tc>
        <w:tc>
          <w:tcPr>
            <w:tcW w:w="440" w:type="dxa"/>
            <w:vAlign w:val="bottom"/>
          </w:tcPr>
          <w:p>
            <w:pPr>
              <w:jc w:val="right"/>
              <w:ind w:right="26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(25,696)</w:t>
            </w:r>
          </w:p>
        </w:tc>
        <w:tc>
          <w:tcPr>
            <w:tcW w:w="500" w:type="dxa"/>
            <w:vAlign w:val="bottom"/>
            <w:gridSpan w:val="2"/>
          </w:tcPr>
          <w:p>
            <w:pPr>
              <w:jc w:val="right"/>
              <w:ind w:right="226"/>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(578,450)</w:t>
            </w:r>
          </w:p>
        </w:tc>
        <w:tc>
          <w:tcPr>
            <w:tcW w:w="480" w:type="dxa"/>
            <w:vAlign w:val="bottom"/>
            <w:gridSpan w:val="2"/>
          </w:tcPr>
          <w:p>
            <w:pPr>
              <w:jc w:val="right"/>
              <w:ind w:right="20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4,085,061</w:t>
            </w:r>
          </w:p>
        </w:tc>
      </w:tr>
      <w:tr>
        <w:trPr>
          <w:trHeight w:val="22"/>
        </w:trPr>
        <w:tc>
          <w:tcPr>
            <w:tcW w:w="8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-1244600</wp:posOffset>
            </wp:positionV>
            <wp:extent cx="8585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8520" cy="8255"/>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-7620</wp:posOffset>
            </wp:positionV>
            <wp:extent cx="8585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8520" cy="8255"/>
                    </a:xfrm>
                    <a:prstGeom prst="rect">
                      <a:avLst/>
                    </a:prstGeom>
                    <a:noFill/>
                  </pic:spPr>
                </pic:pic>
              </a:graphicData>
            </a:graphic>
          </wp:anchor>
        </w:drawing>
      </w:r>
    </w:p>
    <w:p>
      <w:pPr>
        <w:spacing w:after="0" w:line="160" w:lineRule="exact"/>
        <w:rPr>
          <w:sz w:val="20"/>
          <w:szCs w:val="20"/>
          <w:color w:val="auto"/>
        </w:rPr>
      </w:pPr>
    </w:p>
    <w:p>
      <w:pPr>
        <w:sectPr>
          <w:pgSz w:w="11900" w:h="16838" w:orient="portrait"/>
          <w:cols w:equalWidth="0" w:num="2">
            <w:col w:w="5600" w:space="560"/>
            <w:col w:w="5080"/>
          </w:cols>
          <w:pgMar w:left="320" w:top="127" w:right="3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INCYTE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48" w:lineRule="exact"/>
        <w:rPr>
          <w:sz w:val="20"/>
          <w:szCs w:val="20"/>
          <w:color w:val="auto"/>
        </w:rPr>
      </w:pPr>
    </w:p>
    <w:p>
      <w:pPr>
        <w:jc w:val="center"/>
        <w:ind w:left="8140"/>
        <w:spacing w:after="0"/>
        <w:rPr>
          <w:sz w:val="20"/>
          <w:szCs w:val="20"/>
          <w:color w:val="auto"/>
        </w:rPr>
      </w:pPr>
      <w:r>
        <w:rPr>
          <w:rFonts w:ascii="Arial" w:cs="Arial" w:eastAsia="Arial" w:hAnsi="Arial"/>
          <w:sz w:val="14"/>
          <w:szCs w:val="14"/>
          <w:b w:val="1"/>
          <w:bCs w:val="1"/>
          <w:color w:val="auto"/>
        </w:rPr>
        <w:t>Six Months Ended</w:t>
      </w:r>
    </w:p>
    <w:p>
      <w:pPr>
        <w:spacing w:after="0" w:line="23" w:lineRule="exact"/>
        <w:rPr>
          <w:sz w:val="20"/>
          <w:szCs w:val="20"/>
          <w:color w:val="auto"/>
        </w:rPr>
      </w:pPr>
    </w:p>
    <w:p>
      <w:pPr>
        <w:jc w:val="center"/>
        <w:ind w:left="8140"/>
        <w:spacing w:after="0"/>
        <w:rPr>
          <w:sz w:val="20"/>
          <w:szCs w:val="20"/>
          <w:color w:val="auto"/>
        </w:rPr>
      </w:pPr>
      <w:r>
        <w:rPr>
          <w:rFonts w:ascii="Arial" w:cs="Arial" w:eastAsia="Arial" w:hAnsi="Arial"/>
          <w:sz w:val="14"/>
          <w:szCs w:val="14"/>
          <w:b w:val="1"/>
          <w:bCs w:val="1"/>
          <w:color w:val="auto"/>
        </w:rPr>
        <w:t>June 30,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16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1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225,251</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199,424</w:t>
            </w:r>
          </w:p>
        </w:tc>
        <w:tc>
          <w:tcPr>
            <w:tcW w:w="0" w:type="dxa"/>
            <w:vAlign w:val="bottom"/>
          </w:tcPr>
          <w:p>
            <w:pPr>
              <w:spacing w:after="0"/>
              <w:rPr>
                <w:sz w:val="1"/>
                <w:szCs w:val="1"/>
                <w:color w:val="auto"/>
              </w:rPr>
            </w:pPr>
          </w:p>
        </w:tc>
      </w:tr>
      <w:tr>
        <w:trPr>
          <w:trHeight w:val="23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16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39,508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32,945</w:t>
            </w:r>
          </w:p>
        </w:tc>
        <w:tc>
          <w:tcPr>
            <w:tcW w:w="0" w:type="dxa"/>
            <w:vAlign w:val="bottom"/>
          </w:tcPr>
          <w:p>
            <w:pPr>
              <w:spacing w:after="0"/>
              <w:rPr>
                <w:sz w:val="1"/>
                <w:szCs w:val="1"/>
                <w:color w:val="auto"/>
              </w:rPr>
            </w:pPr>
          </w:p>
        </w:tc>
      </w:tr>
      <w:tr>
        <w:trPr>
          <w:trHeight w:val="226"/>
        </w:trPr>
        <w:tc>
          <w:tcPr>
            <w:tcW w:w="8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107,899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90,337</w:t>
            </w:r>
          </w:p>
        </w:tc>
        <w:tc>
          <w:tcPr>
            <w:tcW w:w="0" w:type="dxa"/>
            <w:vAlign w:val="bottom"/>
          </w:tcPr>
          <w:p>
            <w:pPr>
              <w:spacing w:after="0"/>
              <w:rPr>
                <w:sz w:val="1"/>
                <w:szCs w:val="1"/>
                <w:color w:val="auto"/>
              </w:rPr>
            </w:pPr>
          </w:p>
        </w:tc>
      </w:tr>
      <w:tr>
        <w:trPr>
          <w:trHeight w:val="231"/>
        </w:trPr>
        <w:tc>
          <w:tcPr>
            <w:tcW w:w="816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(61,864)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32,475</w:t>
            </w:r>
          </w:p>
        </w:tc>
        <w:tc>
          <w:tcPr>
            <w:tcW w:w="0" w:type="dxa"/>
            <w:vAlign w:val="bottom"/>
          </w:tcPr>
          <w:p>
            <w:pPr>
              <w:spacing w:after="0"/>
              <w:rPr>
                <w:sz w:val="1"/>
                <w:szCs w:val="1"/>
                <w:color w:val="auto"/>
              </w:rPr>
            </w:pPr>
          </w:p>
        </w:tc>
      </w:tr>
      <w:tr>
        <w:trPr>
          <w:trHeight w:val="232"/>
        </w:trPr>
        <w:tc>
          <w:tcPr>
            <w:tcW w:w="8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net</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(3,670)</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8,467</w:t>
            </w:r>
          </w:p>
        </w:tc>
        <w:tc>
          <w:tcPr>
            <w:tcW w:w="0" w:type="dxa"/>
            <w:vAlign w:val="bottom"/>
          </w:tcPr>
          <w:p>
            <w:pPr>
              <w:spacing w:after="0"/>
              <w:rPr>
                <w:sz w:val="1"/>
                <w:szCs w:val="1"/>
                <w:color w:val="auto"/>
              </w:rPr>
            </w:pPr>
          </w:p>
        </w:tc>
      </w:tr>
      <w:tr>
        <w:trPr>
          <w:trHeight w:val="225"/>
        </w:trPr>
        <w:tc>
          <w:tcPr>
            <w:tcW w:w="8160" w:type="dxa"/>
            <w:vAlign w:val="bottom"/>
          </w:tcPr>
          <w:p>
            <w:pPr>
              <w:ind w:left="260"/>
              <w:spacing w:after="0"/>
              <w:rPr>
                <w:sz w:val="20"/>
                <w:szCs w:val="20"/>
                <w:color w:val="auto"/>
              </w:rPr>
            </w:pPr>
            <w:r>
              <w:rPr>
                <w:rFonts w:ascii="Arial" w:cs="Arial" w:eastAsia="Arial" w:hAnsi="Arial"/>
                <w:sz w:val="18"/>
                <w:szCs w:val="18"/>
                <w:color w:val="auto"/>
              </w:rPr>
              <w:t>Unrealized (gain) loss on long term investments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(36,493)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71,482</w:t>
            </w:r>
          </w:p>
        </w:tc>
        <w:tc>
          <w:tcPr>
            <w:tcW w:w="0" w:type="dxa"/>
            <w:vAlign w:val="bottom"/>
          </w:tcPr>
          <w:p>
            <w:pPr>
              <w:spacing w:after="0"/>
              <w:rPr>
                <w:sz w:val="1"/>
                <w:szCs w:val="1"/>
                <w:color w:val="auto"/>
              </w:rPr>
            </w:pPr>
          </w:p>
        </w:tc>
      </w:tr>
      <w:tr>
        <w:trPr>
          <w:trHeight w:val="239"/>
        </w:trPr>
        <w:tc>
          <w:tcPr>
            <w:tcW w:w="8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Loss on change in fair value of acquisition-related contingent consideration</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14,570</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9,695</w:t>
            </w:r>
          </w:p>
        </w:tc>
        <w:tc>
          <w:tcPr>
            <w:tcW w:w="0" w:type="dxa"/>
            <w:vAlign w:val="bottom"/>
          </w:tcPr>
          <w:p>
            <w:pPr>
              <w:spacing w:after="0"/>
              <w:rPr>
                <w:sz w:val="1"/>
                <w:szCs w:val="1"/>
                <w:color w:val="auto"/>
              </w:rPr>
            </w:pPr>
          </w:p>
        </w:tc>
      </w:tr>
      <w:tr>
        <w:trPr>
          <w:trHeight w:val="225"/>
        </w:trPr>
        <w:tc>
          <w:tcPr>
            <w:tcW w:w="816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(66,668)</w:t>
            </w:r>
          </w:p>
        </w:tc>
        <w:tc>
          <w:tcPr>
            <w:tcW w:w="0" w:type="dxa"/>
            <w:vAlign w:val="bottom"/>
          </w:tcPr>
          <w:p>
            <w:pPr>
              <w:spacing w:after="0"/>
              <w:rPr>
                <w:sz w:val="1"/>
                <w:szCs w:val="1"/>
                <w:color w:val="auto"/>
              </w:rPr>
            </w:pPr>
          </w:p>
        </w:tc>
      </w:tr>
      <w:tr>
        <w:trPr>
          <w:trHeight w:val="231"/>
        </w:trPr>
        <w:tc>
          <w:tcPr>
            <w:tcW w:w="8160" w:type="dxa"/>
            <w:vAlign w:val="bottom"/>
          </w:tcPr>
          <w:p>
            <w:pPr>
              <w:ind w:left="42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(8,219)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(25,380)</w:t>
            </w:r>
          </w:p>
        </w:tc>
        <w:tc>
          <w:tcPr>
            <w:tcW w:w="0" w:type="dxa"/>
            <w:vAlign w:val="bottom"/>
          </w:tcPr>
          <w:p>
            <w:pPr>
              <w:spacing w:after="0"/>
              <w:rPr>
                <w:sz w:val="1"/>
                <w:szCs w:val="1"/>
                <w:color w:val="auto"/>
              </w:rPr>
            </w:pPr>
          </w:p>
        </w:tc>
      </w:tr>
      <w:tr>
        <w:trPr>
          <w:trHeight w:val="232"/>
        </w:trPr>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Inventory</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(53,436)</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(37,190)</w:t>
            </w:r>
          </w:p>
        </w:tc>
        <w:tc>
          <w:tcPr>
            <w:tcW w:w="0" w:type="dxa"/>
            <w:vAlign w:val="bottom"/>
          </w:tcPr>
          <w:p>
            <w:pPr>
              <w:spacing w:after="0"/>
              <w:rPr>
                <w:sz w:val="1"/>
                <w:szCs w:val="1"/>
                <w:color w:val="auto"/>
              </w:rPr>
            </w:pPr>
          </w:p>
        </w:tc>
      </w:tr>
      <w:tr>
        <w:trPr>
          <w:trHeight w:val="225"/>
        </w:trPr>
        <w:tc>
          <w:tcPr>
            <w:tcW w:w="81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(122,008)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22,660</w:t>
            </w:r>
          </w:p>
        </w:tc>
        <w:tc>
          <w:tcPr>
            <w:tcW w:w="0" w:type="dxa"/>
            <w:vAlign w:val="bottom"/>
          </w:tcPr>
          <w:p>
            <w:pPr>
              <w:spacing w:after="0"/>
              <w:rPr>
                <w:sz w:val="1"/>
                <w:szCs w:val="1"/>
                <w:color w:val="auto"/>
              </w:rPr>
            </w:pPr>
          </w:p>
        </w:tc>
      </w:tr>
      <w:tr>
        <w:trPr>
          <w:trHeight w:val="239"/>
        </w:trPr>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and other liabilities</w:t>
            </w: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92,500</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51,651</w:t>
            </w:r>
          </w:p>
        </w:tc>
        <w:tc>
          <w:tcPr>
            <w:tcW w:w="0" w:type="dxa"/>
            <w:vAlign w:val="bottom"/>
          </w:tcPr>
          <w:p>
            <w:pPr>
              <w:spacing w:after="0"/>
              <w:rPr>
                <w:sz w:val="1"/>
                <w:szCs w:val="1"/>
                <w:color w:val="auto"/>
              </w:rPr>
            </w:pPr>
          </w:p>
        </w:tc>
      </w:tr>
      <w:tr>
        <w:trPr>
          <w:trHeight w:val="218"/>
        </w:trPr>
        <w:tc>
          <w:tcPr>
            <w:tcW w:w="8160" w:type="dxa"/>
            <w:vAlign w:val="bottom"/>
          </w:tcPr>
          <w:p>
            <w:pPr>
              <w:ind w:left="58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200,923</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389,898</w:t>
            </w: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160" w:type="dxa"/>
            <w:vAlign w:val="bottom"/>
          </w:tcPr>
          <w:p>
            <w:pPr>
              <w:ind w:left="20"/>
              <w:spacing w:after="0"/>
              <w:rPr>
                <w:sz w:val="20"/>
                <w:szCs w:val="20"/>
                <w:color w:val="auto"/>
              </w:rPr>
            </w:pPr>
            <w:r>
              <w:rPr>
                <w:rFonts w:ascii="Arial" w:cs="Arial" w:eastAsia="Arial" w:hAnsi="Arial"/>
                <w:sz w:val="18"/>
                <w:szCs w:val="18"/>
                <w:color w:val="auto"/>
              </w:rPr>
              <w:t>Sale of long term investments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(28,749)</w:t>
            </w:r>
          </w:p>
        </w:tc>
        <w:tc>
          <w:tcPr>
            <w:tcW w:w="0" w:type="dxa"/>
            <w:vAlign w:val="bottom"/>
          </w:tcPr>
          <w:p>
            <w:pPr>
              <w:spacing w:after="0"/>
              <w:rPr>
                <w:sz w:val="1"/>
                <w:szCs w:val="1"/>
                <w:color w:val="auto"/>
              </w:rPr>
            </w:pPr>
          </w:p>
        </w:tc>
      </w:tr>
      <w:tr>
        <w:trPr>
          <w:trHeight w:val="231"/>
        </w:trPr>
        <w:tc>
          <w:tcPr>
            <w:tcW w:w="8160" w:type="dxa"/>
            <w:vAlign w:val="bottom"/>
          </w:tcPr>
          <w:p>
            <w:pPr>
              <w:ind w:left="20"/>
              <w:spacing w:after="0"/>
              <w:rPr>
                <w:sz w:val="20"/>
                <w:szCs w:val="20"/>
                <w:color w:val="auto"/>
              </w:rPr>
            </w:pPr>
            <w:r>
              <w:rPr>
                <w:rFonts w:ascii="Arial" w:cs="Arial" w:eastAsia="Arial" w:hAnsi="Arial"/>
                <w:sz w:val="18"/>
                <w:szCs w:val="18"/>
                <w:color w:val="auto"/>
              </w:rPr>
              <w:t>Payments for intangible assets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(15,000)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2"/>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marketable securities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(152,277)</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(43,988)</w:t>
            </w:r>
          </w:p>
        </w:tc>
        <w:tc>
          <w:tcPr>
            <w:tcW w:w="0" w:type="dxa"/>
            <w:vAlign w:val="bottom"/>
          </w:tcPr>
          <w:p>
            <w:pPr>
              <w:spacing w:after="0"/>
              <w:rPr>
                <w:sz w:val="1"/>
                <w:szCs w:val="1"/>
                <w:color w:val="auto"/>
              </w:rPr>
            </w:pPr>
          </w:p>
        </w:tc>
      </w:tr>
      <w:tr>
        <w:trPr>
          <w:trHeight w:val="225"/>
        </w:trPr>
        <w:tc>
          <w:tcPr>
            <w:tcW w:w="8160" w:type="dxa"/>
            <w:vAlign w:val="bottom"/>
          </w:tcPr>
          <w:p>
            <w:pPr>
              <w:ind w:left="20"/>
              <w:spacing w:after="0"/>
              <w:rPr>
                <w:sz w:val="20"/>
                <w:szCs w:val="20"/>
                <w:color w:val="auto"/>
              </w:rPr>
            </w:pPr>
            <w:r>
              <w:rPr>
                <w:rFonts w:ascii="Arial" w:cs="Arial" w:eastAsia="Arial" w:hAnsi="Arial"/>
                <w:sz w:val="18"/>
                <w:szCs w:val="18"/>
                <w:color w:val="auto"/>
              </w:rPr>
              <w:t>Sale and maturities of marketable securities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150,487</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43,509</w:t>
            </w:r>
          </w:p>
        </w:tc>
        <w:tc>
          <w:tcPr>
            <w:tcW w:w="0" w:type="dxa"/>
            <w:vAlign w:val="bottom"/>
          </w:tcPr>
          <w:p>
            <w:pPr>
              <w:spacing w:after="0"/>
              <w:rPr>
                <w:sz w:val="1"/>
                <w:szCs w:val="1"/>
                <w:color w:val="auto"/>
              </w:rPr>
            </w:pPr>
          </w:p>
        </w:tc>
      </w:tr>
      <w:tr>
        <w:trPr>
          <w:trHeight w:val="232"/>
        </w:trPr>
        <w:tc>
          <w:tcPr>
            <w:tcW w:w="81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(35,988)</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(29,228)</w:t>
            </w:r>
          </w:p>
        </w:tc>
        <w:tc>
          <w:tcPr>
            <w:tcW w:w="0" w:type="dxa"/>
            <w:vAlign w:val="bottom"/>
          </w:tcPr>
          <w:p>
            <w:pPr>
              <w:spacing w:after="0"/>
              <w:rPr>
                <w:sz w:val="1"/>
                <w:szCs w:val="1"/>
                <w:color w:val="auto"/>
              </w:rPr>
            </w:pPr>
          </w:p>
        </w:tc>
      </w:tr>
      <w:tr>
        <w:trPr>
          <w:trHeight w:val="214"/>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issuance of common stock under stock plans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37,692</w:t>
            </w:r>
          </w:p>
        </w:tc>
        <w:tc>
          <w:tcPr>
            <w:tcW w:w="0" w:type="dxa"/>
            <w:vAlign w:val="bottom"/>
          </w:tcPr>
          <w:p>
            <w:pPr>
              <w:spacing w:after="0"/>
              <w:rPr>
                <w:sz w:val="1"/>
                <w:szCs w:val="1"/>
                <w:color w:val="auto"/>
              </w:rPr>
            </w:pPr>
          </w:p>
        </w:tc>
      </w:tr>
      <w:tr>
        <w:trPr>
          <w:trHeight w:val="225"/>
        </w:trPr>
        <w:tc>
          <w:tcPr>
            <w:tcW w:w="8160" w:type="dxa"/>
            <w:vAlign w:val="bottom"/>
          </w:tcPr>
          <w:p>
            <w:pPr>
              <w:ind w:left="20"/>
              <w:spacing w:after="0"/>
              <w:rPr>
                <w:sz w:val="20"/>
                <w:szCs w:val="20"/>
                <w:color w:val="auto"/>
              </w:rPr>
            </w:pPr>
            <w:r>
              <w:rPr>
                <w:rFonts w:ascii="Arial" w:cs="Arial" w:eastAsia="Arial" w:hAnsi="Arial"/>
                <w:sz w:val="18"/>
                <w:szCs w:val="18"/>
                <w:color w:val="auto"/>
              </w:rPr>
              <w:t>Tax withholdings related to restricted and performance share vesting</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(3,428)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(6,854)</w:t>
            </w:r>
          </w:p>
        </w:tc>
        <w:tc>
          <w:tcPr>
            <w:tcW w:w="0" w:type="dxa"/>
            <w:vAlign w:val="bottom"/>
          </w:tcPr>
          <w:p>
            <w:pPr>
              <w:spacing w:after="0"/>
              <w:rPr>
                <w:sz w:val="1"/>
                <w:szCs w:val="1"/>
                <w:color w:val="auto"/>
              </w:rPr>
            </w:pPr>
          </w:p>
        </w:tc>
      </w:tr>
      <w:tr>
        <w:trPr>
          <w:trHeight w:val="23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finance lease liabilities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25"/>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Payment of contingent consideration</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(13,473)</w:t>
            </w:r>
          </w:p>
        </w:tc>
        <w:tc>
          <w:tcPr>
            <w:tcW w:w="0" w:type="dxa"/>
            <w:vAlign w:val="bottom"/>
          </w:tcPr>
          <w:p>
            <w:pPr>
              <w:spacing w:after="0"/>
              <w:rPr>
                <w:sz w:val="1"/>
                <w:szCs w:val="1"/>
                <w:color w:val="auto"/>
              </w:rPr>
            </w:pPr>
          </w:p>
        </w:tc>
      </w:tr>
      <w:tr>
        <w:trPr>
          <w:trHeight w:val="219"/>
        </w:trPr>
        <w:tc>
          <w:tcPr>
            <w:tcW w:w="81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16,877</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15,997</w:t>
            </w:r>
          </w:p>
        </w:tc>
        <w:tc>
          <w:tcPr>
            <w:tcW w:w="0" w:type="dxa"/>
            <w:vAlign w:val="bottom"/>
          </w:tcPr>
          <w:p>
            <w:pPr>
              <w:spacing w:after="0"/>
              <w:rPr>
                <w:sz w:val="1"/>
                <w:szCs w:val="1"/>
                <w:color w:val="auto"/>
              </w:rPr>
            </w:pPr>
          </w:p>
        </w:tc>
      </w:tr>
      <w:tr>
        <w:trPr>
          <w:trHeight w:val="225"/>
        </w:trPr>
        <w:tc>
          <w:tcPr>
            <w:tcW w:w="8160" w:type="dxa"/>
            <w:vAlign w:val="bottom"/>
          </w:tcPr>
          <w:p>
            <w:pPr>
              <w:ind w:left="20"/>
              <w:spacing w:after="0"/>
              <w:rPr>
                <w:sz w:val="20"/>
                <w:szCs w:val="20"/>
                <w:color w:val="auto"/>
              </w:rPr>
            </w:pPr>
            <w:r>
              <w:rPr>
                <w:rFonts w:ascii="Arial" w:cs="Arial" w:eastAsia="Arial" w:hAnsi="Arial"/>
                <w:sz w:val="18"/>
                <w:szCs w:val="18"/>
                <w:color w:val="auto"/>
              </w:rPr>
              <w:t>Effect of exchange rates on cash, cash equivalents, restricted cash and investments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(2,090)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32"/>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cash equivalents, restricted cash and investments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179,722</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377,865</w:t>
            </w:r>
          </w:p>
        </w:tc>
        <w:tc>
          <w:tcPr>
            <w:tcW w:w="0" w:type="dxa"/>
            <w:vAlign w:val="bottom"/>
          </w:tcPr>
          <w:p>
            <w:pPr>
              <w:spacing w:after="0"/>
              <w:rPr>
                <w:sz w:val="1"/>
                <w:szCs w:val="1"/>
                <w:color w:val="auto"/>
              </w:rPr>
            </w:pPr>
          </w:p>
        </w:tc>
      </w:tr>
      <w:tr>
        <w:trPr>
          <w:trHeight w:val="225"/>
        </w:trPr>
        <w:tc>
          <w:tcPr>
            <w:tcW w:w="8160" w:type="dxa"/>
            <w:vAlign w:val="bottom"/>
          </w:tcPr>
          <w:p>
            <w:pPr>
              <w:ind w:left="20"/>
              <w:spacing w:after="0"/>
              <w:rPr>
                <w:sz w:val="20"/>
                <w:szCs w:val="20"/>
                <w:color w:val="auto"/>
              </w:rPr>
            </w:pPr>
            <w:r>
              <w:rPr>
                <w:rFonts w:ascii="Arial" w:cs="Arial" w:eastAsia="Arial" w:hAnsi="Arial"/>
                <w:sz w:val="18"/>
                <w:szCs w:val="18"/>
                <w:color w:val="auto"/>
              </w:rPr>
              <w:t>Cash, cash equivalents, restricted cash and investments at beginning of period</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2,953,120</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2,059,160</w:t>
            </w:r>
          </w:p>
        </w:tc>
        <w:tc>
          <w:tcPr>
            <w:tcW w:w="0" w:type="dxa"/>
            <w:vAlign w:val="bottom"/>
          </w:tcPr>
          <w:p>
            <w:pPr>
              <w:spacing w:after="0"/>
              <w:rPr>
                <w:sz w:val="1"/>
                <w:szCs w:val="1"/>
                <w:color w:val="auto"/>
              </w:rPr>
            </w:pPr>
          </w:p>
        </w:tc>
      </w:tr>
      <w:tr>
        <w:trPr>
          <w:trHeight w:val="252"/>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restricted cash and investments at end of period</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3,132,842</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2,437,025</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Supplemental Schedule of Cash Flow Information</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1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paid</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137,313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76,464</w:t>
            </w:r>
          </w:p>
        </w:tc>
        <w:tc>
          <w:tcPr>
            <w:tcW w:w="0" w:type="dxa"/>
            <w:vAlign w:val="bottom"/>
          </w:tcPr>
          <w:p>
            <w:pPr>
              <w:spacing w:after="0"/>
              <w:rPr>
                <w:sz w:val="1"/>
                <w:szCs w:val="1"/>
                <w:color w:val="auto"/>
              </w:rPr>
            </w:pPr>
          </w:p>
        </w:tc>
      </w:tr>
      <w:tr>
        <w:trPr>
          <w:trHeight w:val="231"/>
        </w:trPr>
        <w:tc>
          <w:tcPr>
            <w:tcW w:w="8160" w:type="dxa"/>
            <w:vAlign w:val="bottom"/>
          </w:tcPr>
          <w:p>
            <w:pPr>
              <w:ind w:left="20"/>
              <w:spacing w:after="0"/>
              <w:rPr>
                <w:sz w:val="20"/>
                <w:szCs w:val="20"/>
                <w:color w:val="auto"/>
              </w:rPr>
            </w:pPr>
            <w:r>
              <w:rPr>
                <w:rFonts w:ascii="Arial" w:cs="Arial" w:eastAsia="Arial" w:hAnsi="Arial"/>
                <w:sz w:val="18"/>
                <w:szCs w:val="18"/>
                <w:color w:val="auto"/>
              </w:rPr>
              <w:t>Unpaid purchases of property and equipment</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4,420</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8,952</w:t>
            </w:r>
          </w:p>
        </w:tc>
        <w:tc>
          <w:tcPr>
            <w:tcW w:w="0" w:type="dxa"/>
            <w:vAlign w:val="bottom"/>
          </w:tcPr>
          <w:p>
            <w:pPr>
              <w:spacing w:after="0"/>
              <w:rPr>
                <w:sz w:val="1"/>
                <w:szCs w:val="1"/>
                <w:color w:val="auto"/>
              </w:rPr>
            </w:pPr>
          </w:p>
        </w:tc>
      </w:tr>
      <w:tr>
        <w:trPr>
          <w:trHeight w:val="232"/>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Leased assets obtained in exchange for new operating lease liabilities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5,275</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24"/>
        </w:trPr>
        <w:tc>
          <w:tcPr>
            <w:tcW w:w="8160" w:type="dxa"/>
            <w:vAlign w:val="bottom"/>
          </w:tcPr>
          <w:p>
            <w:pPr>
              <w:ind w:left="20"/>
              <w:spacing w:after="0"/>
              <w:rPr>
                <w:sz w:val="20"/>
                <w:szCs w:val="20"/>
                <w:color w:val="auto"/>
              </w:rPr>
            </w:pPr>
            <w:r>
              <w:rPr>
                <w:rFonts w:ascii="Arial" w:cs="Arial" w:eastAsia="Arial" w:hAnsi="Arial"/>
                <w:sz w:val="18"/>
                <w:szCs w:val="18"/>
                <w:color w:val="auto"/>
              </w:rPr>
              <w:t>Leased assets obtained in exchange for new finance lease liabilities</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1,024</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INCYTE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Business</w:t>
      </w:r>
    </w:p>
    <w:p>
      <w:pPr>
        <w:spacing w:after="0" w:line="223"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Incyte Corporation (including its subsidiaries, “Incyte,” “we,” “us,” or “our”) is a biopharmaceutical company focused on developing and commercializing proprietary therapeutics. Our portfolio includes compounds in various stages, ranging from preclinical to late stage development, and commercialized products JAKAFI® (ruxolitinib), ICLUSIG® (ponatinib), PEMAZYRE® (pemigatinib), OPZELURA™ (ruxolitinib cream), MINJUVI® (tafasitamab), MONJUVI® (tafasitamab-cxix), which is co-commercialized, and ZYNYZ™ (retifanlimab-dlwr). Our operations are treated as one operating segment.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17"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for interim financial information and with the instructions to Form 10-Q and Article 10 of Regulation S-X. The condensed consolidated balance sheet as of June 30, 2023, the condensed consolidated statements of operations, comprehensive income (loss), and stockholders’ equity for the three and six months ended June 30, 2023 and 2022, and the condensed consolidated statements of cash flows for the six months ended June 30, 2023 and 2022, are unaudited, but include all adjustments, consisting only of normal recurring adjustments, which we consider necessary for a fair presentation of the financial position, operating results and cash flows for the periods presented. The condensed consolidated balance sheet at December 31, 2022 has been derived from our audited consolidated financial statements.</w:t>
      </w:r>
    </w:p>
    <w:p>
      <w:pPr>
        <w:spacing w:after="0" w:line="185" w:lineRule="exact"/>
        <w:rPr>
          <w:sz w:val="20"/>
          <w:szCs w:val="20"/>
          <w:color w:val="auto"/>
        </w:rPr>
      </w:pPr>
    </w:p>
    <w:p>
      <w:pPr>
        <w:jc w:val="both"/>
        <w:ind w:firstLine="636"/>
        <w:spacing w:after="0" w:line="330" w:lineRule="auto"/>
        <w:rPr>
          <w:sz w:val="20"/>
          <w:szCs w:val="20"/>
          <w:color w:val="auto"/>
        </w:rPr>
      </w:pPr>
      <w:r>
        <w:rPr>
          <w:rFonts w:ascii="Arial" w:cs="Arial" w:eastAsia="Arial" w:hAnsi="Arial"/>
          <w:sz w:val="15"/>
          <w:szCs w:val="15"/>
          <w:color w:val="auto"/>
        </w:rPr>
        <w:t>Although we believe that the disclosures in these financial statements are adequate to make the information presented not misleading, certain information and footnote information normally included in financial statements prepared in accordance with accounting principles generally accepted in the United States (“U.S. GAAP”) have been condensed or omitted pursuant to the rules and regulations of the Securities and Exchange Commission.</w:t>
      </w:r>
    </w:p>
    <w:p>
      <w:pPr>
        <w:spacing w:after="0" w:line="137"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Results for any interim period are not necessarily indicative of results for any future interim period or for the entire year. The accompanying financial statements should be read in conjunction with the financial statements and notes thereto included in our Annual Report on Form 10-K for the year ended December 31, 2022.</w:t>
      </w:r>
    </w:p>
    <w:p>
      <w:pPr>
        <w:spacing w:after="0" w:line="188"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The condensed consolidated financial statements include the accounts of Incyte Corporation and our wholly owned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All inter-company accounts, transactions, and profits have been eliminated in consolidation.</w:t>
      </w:r>
    </w:p>
    <w:p>
      <w:pPr>
        <w:spacing w:after="0" w:line="181"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The preparation of financial statements in conformity with accounting principles generally accepted in the United States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to make estimates and assumptions that affect the amounts reported in the financial statements and accompanying notes. Actual results could differ from those estimates.</w:t>
      </w:r>
    </w:p>
    <w:p>
      <w:pPr>
        <w:spacing w:after="0" w:line="188"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i w:val="1"/>
          <w:iCs w:val="1"/>
          <w:color w:val="auto"/>
        </w:rPr>
        <w:t xml:space="preserve">Other Intangible Assets, net. </w:t>
      </w:r>
      <w:r>
        <w:rPr>
          <w:rFonts w:ascii="Arial" w:cs="Arial" w:eastAsia="Arial" w:hAnsi="Arial"/>
          <w:sz w:val="18"/>
          <w:szCs w:val="18"/>
          <w:color w:val="auto"/>
        </w:rPr>
        <w:t>Other intangible assets, net consist of licensed intellectual property rights acquired in business combinations, which are</w:t>
      </w:r>
      <w:r>
        <w:rPr>
          <w:rFonts w:ascii="Arial" w:cs="Arial" w:eastAsia="Arial" w:hAnsi="Arial"/>
          <w:sz w:val="18"/>
          <w:szCs w:val="18"/>
          <w:i w:val="1"/>
          <w:iCs w:val="1"/>
          <w:color w:val="auto"/>
        </w:rPr>
        <w:t xml:space="preserve"> </w:t>
      </w:r>
      <w:r>
        <w:rPr>
          <w:rFonts w:ascii="Arial" w:cs="Arial" w:eastAsia="Arial" w:hAnsi="Arial"/>
          <w:sz w:val="18"/>
          <w:szCs w:val="18"/>
          <w:color w:val="auto"/>
        </w:rPr>
        <w:t>reported at acquisition date fair value, less accumulated amortization, as well as milestone payments made to collaboration partners incurred at or after the product has obtained regulatory approval. Intangible assets with finite lives are amortized over their estimated useful lives using the straight-line method. Intangible assets with finite lives are tested for recoverability whenever events or changes in circumstances indicate that the carrying amounts may not be recoverable.</w:t>
      </w:r>
    </w:p>
    <w:p>
      <w:pPr>
        <w:spacing w:after="0" w:line="194"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i w:val="1"/>
          <w:iCs w:val="1"/>
          <w:color w:val="auto"/>
        </w:rPr>
        <w:t xml:space="preserve">Cost of Product Revenues. </w:t>
      </w:r>
      <w:r>
        <w:rPr>
          <w:rFonts w:ascii="Arial" w:cs="Arial" w:eastAsia="Arial" w:hAnsi="Arial"/>
          <w:sz w:val="18"/>
          <w:szCs w:val="18"/>
          <w:color w:val="auto"/>
        </w:rPr>
        <w:t>Cost of product revenues includes all product related costs and royalties owed under our collaboration and license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contingent on certain conditions. In addition, cost of product revenues includes the amortization of our licensed intellectual property for ICLUSIG and the amortization of capitalized milestone payments, using the straight-line method over the respective estimated useful lives, which range between approximately 11 to 14 years. Cost of product revenues also includes employee personnel costs, including stock compensation, for those employees dedicated to the production of our commercial products.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3"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There were no new accounting pronouncements issued nor adopted since our filing of the Annual Report on Form 10-K for the year ended December 31, 2022, which could have a significant effect on our condensed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Revenues</w:t>
      </w:r>
    </w:p>
    <w:p>
      <w:pPr>
        <w:spacing w:after="0" w:line="223"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 xml:space="preserve">Revenues are recognized under guidance within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following table presents our disaggregated revenue for the periods presented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89"/>
        </w:trPr>
        <w:tc>
          <w:tcPr>
            <w:tcW w:w="5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91"/>
        </w:trPr>
        <w:tc>
          <w:tcPr>
            <w:tcW w:w="5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3"/>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96"/>
              </w:rPr>
              <w:t>2022</w:t>
            </w:r>
          </w:p>
        </w:tc>
      </w:tr>
      <w:tr>
        <w:trPr>
          <w:trHeight w:val="225"/>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JAKAFI revenues, net</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682,384</w:t>
            </w:r>
          </w:p>
        </w:tc>
        <w:tc>
          <w:tcPr>
            <w:tcW w:w="6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597,673</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1,262,353</w:t>
            </w:r>
          </w:p>
        </w:tc>
        <w:tc>
          <w:tcPr>
            <w:tcW w:w="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1,142,137</w:t>
            </w:r>
          </w:p>
        </w:tc>
      </w:tr>
      <w:tr>
        <w:trPr>
          <w:trHeight w:val="231"/>
        </w:trPr>
        <w:tc>
          <w:tcPr>
            <w:tcW w:w="5020" w:type="dxa"/>
            <w:vAlign w:val="bottom"/>
          </w:tcPr>
          <w:p>
            <w:pPr>
              <w:ind w:left="20"/>
              <w:spacing w:after="0"/>
              <w:rPr>
                <w:sz w:val="20"/>
                <w:szCs w:val="20"/>
                <w:color w:val="auto"/>
              </w:rPr>
            </w:pPr>
            <w:r>
              <w:rPr>
                <w:rFonts w:ascii="Arial" w:cs="Arial" w:eastAsia="Arial" w:hAnsi="Arial"/>
                <w:sz w:val="18"/>
                <w:szCs w:val="18"/>
                <w:color w:val="auto"/>
              </w:rPr>
              <w:t>OPZELURA revenues, net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80,233</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16,560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136,785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29,314</w:t>
            </w:r>
          </w:p>
        </w:tc>
      </w:tr>
      <w:tr>
        <w:trPr>
          <w:trHeight w:val="232"/>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ICLUSIG revenues, net</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29,087</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56,772</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52,293</w:t>
            </w:r>
          </w:p>
        </w:tc>
      </w:tr>
      <w:tr>
        <w:trPr>
          <w:trHeight w:val="225"/>
        </w:trPr>
        <w:tc>
          <w:tcPr>
            <w:tcW w:w="5020" w:type="dxa"/>
            <w:vAlign w:val="bottom"/>
          </w:tcPr>
          <w:p>
            <w:pPr>
              <w:ind w:left="20"/>
              <w:spacing w:after="0"/>
              <w:rPr>
                <w:sz w:val="20"/>
                <w:szCs w:val="20"/>
                <w:color w:val="auto"/>
              </w:rPr>
            </w:pPr>
            <w:r>
              <w:rPr>
                <w:rFonts w:ascii="Arial" w:cs="Arial" w:eastAsia="Arial" w:hAnsi="Arial"/>
                <w:sz w:val="18"/>
                <w:szCs w:val="18"/>
                <w:color w:val="auto"/>
              </w:rPr>
              <w:t>PEMAZYRE revenues, net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21,572</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18,983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44,047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37,015</w:t>
            </w:r>
          </w:p>
        </w:tc>
      </w:tr>
      <w:tr>
        <w:trPr>
          <w:trHeight w:val="23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MINJUVI revenues, net</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13,159</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19,715</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8,913</w:t>
            </w:r>
          </w:p>
        </w:tc>
      </w:tr>
      <w:tr>
        <w:trPr>
          <w:trHeight w:val="225"/>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ZYNYZ revenues, net</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product revenues, net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827,005</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663,851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1,520,242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1,269,672</w:t>
            </w:r>
          </w:p>
        </w:tc>
      </w:tr>
      <w:tr>
        <w:trPr>
          <w:trHeight w:val="231"/>
        </w:trPr>
        <w:tc>
          <w:tcPr>
            <w:tcW w:w="5020" w:type="dxa"/>
            <w:vAlign w:val="bottom"/>
          </w:tcPr>
          <w:p>
            <w:pPr>
              <w:ind w:left="20"/>
              <w:spacing w:after="0"/>
              <w:rPr>
                <w:sz w:val="20"/>
                <w:szCs w:val="20"/>
                <w:color w:val="auto"/>
              </w:rPr>
            </w:pPr>
            <w:r>
              <w:rPr>
                <w:rFonts w:ascii="Arial" w:cs="Arial" w:eastAsia="Arial" w:hAnsi="Arial"/>
                <w:sz w:val="18"/>
                <w:szCs w:val="18"/>
                <w:color w:val="auto"/>
              </w:rPr>
              <w:t>JAKAVI product royalty revenues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90,448</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83,711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167,140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154,578</w:t>
            </w:r>
          </w:p>
        </w:tc>
      </w:tr>
      <w:tr>
        <w:trPr>
          <w:trHeight w:val="232"/>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OLUMIANT product royalty revenues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32,009</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30,254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66,164</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78,318</w:t>
            </w:r>
          </w:p>
        </w:tc>
      </w:tr>
      <w:tr>
        <w:trPr>
          <w:trHeight w:val="225"/>
        </w:trPr>
        <w:tc>
          <w:tcPr>
            <w:tcW w:w="5020" w:type="dxa"/>
            <w:vAlign w:val="bottom"/>
          </w:tcPr>
          <w:p>
            <w:pPr>
              <w:ind w:left="20"/>
              <w:spacing w:after="0"/>
              <w:rPr>
                <w:sz w:val="20"/>
                <w:szCs w:val="20"/>
                <w:color w:val="auto"/>
              </w:rPr>
            </w:pPr>
            <w:r>
              <w:rPr>
                <w:rFonts w:ascii="Arial" w:cs="Arial" w:eastAsia="Arial" w:hAnsi="Arial"/>
                <w:sz w:val="18"/>
                <w:szCs w:val="18"/>
                <w:color w:val="auto"/>
              </w:rPr>
              <w:t>TABRECTA product royalty revenues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4,799</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8,976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7,064</w:t>
            </w:r>
          </w:p>
        </w:tc>
      </w:tr>
      <w:tr>
        <w:trPr>
          <w:trHeight w:val="23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PEMAZYRE product royalty revenues</w:t>
            </w: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8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00" w:type="dxa"/>
            <w:vAlign w:val="bottom"/>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5020" w:type="dxa"/>
            <w:vAlign w:val="bottom"/>
          </w:tcPr>
          <w:p>
            <w:pPr>
              <w:ind w:left="180"/>
              <w:spacing w:after="0"/>
              <w:rPr>
                <w:sz w:val="20"/>
                <w:szCs w:val="20"/>
                <w:color w:val="auto"/>
              </w:rPr>
            </w:pPr>
            <w:r>
              <w:rPr>
                <w:rFonts w:ascii="Arial" w:cs="Arial" w:eastAsia="Arial" w:hAnsi="Arial"/>
                <w:sz w:val="18"/>
                <w:szCs w:val="18"/>
                <w:color w:val="auto"/>
              </w:rPr>
              <w:t>Total product royalty revenues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127,605</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117,546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243,041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239,960</w:t>
            </w:r>
          </w:p>
        </w:tc>
      </w:tr>
      <w:tr>
        <w:trPr>
          <w:trHeight w:val="225"/>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Milestone and contract revenues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135,000</w:t>
            </w:r>
          </w:p>
        </w:tc>
      </w:tr>
      <w:tr>
        <w:trPr>
          <w:trHeight w:val="232"/>
        </w:trPr>
        <w:tc>
          <w:tcPr>
            <w:tcW w:w="502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954,610</w:t>
            </w:r>
          </w:p>
        </w:tc>
        <w:tc>
          <w:tcPr>
            <w:tcW w:w="6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911,397</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1,763,283</w:t>
            </w:r>
          </w:p>
        </w:tc>
        <w:tc>
          <w:tcPr>
            <w:tcW w:w="6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1,644,632</w:t>
            </w:r>
          </w:p>
        </w:tc>
      </w:tr>
      <w:tr>
        <w:trPr>
          <w:trHeight w:val="20"/>
        </w:trPr>
        <w:tc>
          <w:tcPr>
            <w:tcW w:w="50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further information on our revenue-generating contracts, refer to Note 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of Financial Instruments</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is a summary of our marketable security portfolio for the periods presented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Amortized</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center"/>
              <w:ind w:right="182"/>
              <w:spacing w:after="0"/>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restart"/>
          </w:tcPr>
          <w:p>
            <w:pPr>
              <w:jc w:val="right"/>
              <w:ind w:right="361"/>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6"/>
        </w:trPr>
        <w:tc>
          <w:tcPr>
            <w:tcW w:w="6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jc w:val="center"/>
              <w:ind w:right="202"/>
              <w:spacing w:after="0" w:line="146"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4"/>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30, 2023</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00" w:type="dxa"/>
            <w:vAlign w:val="bottom"/>
          </w:tcPr>
          <w:p>
            <w:pPr>
              <w:ind w:left="20"/>
              <w:spacing w:after="0"/>
              <w:rPr>
                <w:sz w:val="20"/>
                <w:szCs w:val="20"/>
                <w:color w:val="auto"/>
              </w:rPr>
            </w:pPr>
            <w:r>
              <w:rPr>
                <w:rFonts w:ascii="Arial" w:cs="Arial" w:eastAsia="Arial" w:hAnsi="Arial"/>
                <w:sz w:val="18"/>
                <w:szCs w:val="18"/>
                <w:color w:val="auto"/>
              </w:rPr>
              <w:t>Debt securities (government)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
              <w:spacing w:after="0"/>
              <w:rPr>
                <w:sz w:val="20"/>
                <w:szCs w:val="20"/>
                <w:color w:val="auto"/>
              </w:rPr>
            </w:pPr>
            <w:r>
              <w:rPr>
                <w:rFonts w:ascii="Arial" w:cs="Arial" w:eastAsia="Arial" w:hAnsi="Arial"/>
                <w:sz w:val="18"/>
                <w:szCs w:val="18"/>
                <w:color w:val="auto"/>
              </w:rPr>
              <w:t>294,371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(2,128)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292,243</w:t>
            </w:r>
          </w:p>
        </w:tc>
        <w:tc>
          <w:tcPr>
            <w:tcW w:w="0" w:type="dxa"/>
            <w:vAlign w:val="bottom"/>
          </w:tcPr>
          <w:p>
            <w:pPr>
              <w:spacing w:after="0"/>
              <w:rPr>
                <w:sz w:val="1"/>
                <w:szCs w:val="1"/>
                <w:color w:val="auto"/>
              </w:rPr>
            </w:pPr>
          </w:p>
        </w:tc>
      </w:tr>
      <w:tr>
        <w:trPr>
          <w:trHeight w:val="265"/>
        </w:trPr>
        <w:tc>
          <w:tcPr>
            <w:tcW w:w="66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6600" w:type="dxa"/>
            <w:vAlign w:val="bottom"/>
          </w:tcPr>
          <w:p>
            <w:pPr>
              <w:ind w:left="20"/>
              <w:spacing w:after="0"/>
              <w:rPr>
                <w:sz w:val="20"/>
                <w:szCs w:val="20"/>
                <w:color w:val="auto"/>
              </w:rPr>
            </w:pPr>
            <w:r>
              <w:rPr>
                <w:rFonts w:ascii="Arial" w:cs="Arial" w:eastAsia="Arial" w:hAnsi="Arial"/>
                <w:sz w:val="18"/>
                <w:szCs w:val="18"/>
                <w:color w:val="auto"/>
              </w:rPr>
              <w:t>December 31, 2022</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securities (government)</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292,580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287,543</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36"/>
        <w:spacing w:after="0" w:line="277" w:lineRule="auto"/>
        <w:rPr>
          <w:sz w:val="20"/>
          <w:szCs w:val="20"/>
          <w:color w:val="auto"/>
        </w:rPr>
      </w:pPr>
      <w:r>
        <w:rPr>
          <w:rFonts w:ascii="Arial" w:cs="Arial" w:eastAsia="Arial" w:hAnsi="Arial"/>
          <w:sz w:val="17"/>
          <w:szCs w:val="17"/>
          <w:color w:val="auto"/>
        </w:rPr>
        <w:t>Our available-for-sale debt securities generally have contractual maturity dates of between 12 to 18 months. Debt security assets were assessed for risk of expected credit losses. As of June 30, 2023 and December 31, 2022, the available-for-sale debt securities were held in U.S.-government backed securities and in Treasury bonds and were assessed on an individual security basis to have a de minimis risk of credit loss.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17" w:lineRule="exact"/>
        <w:rPr>
          <w:sz w:val="20"/>
          <w:szCs w:val="20"/>
          <w:color w:val="auto"/>
        </w:rPr>
      </w:pPr>
    </w:p>
    <w:p>
      <w:pPr>
        <w:jc w:val="both"/>
        <w:ind w:firstLine="636"/>
        <w:spacing w:after="0" w:line="312" w:lineRule="auto"/>
        <w:rPr>
          <w:sz w:val="20"/>
          <w:szCs w:val="20"/>
          <w:color w:val="auto"/>
        </w:rPr>
      </w:pPr>
      <w:r>
        <w:rPr>
          <w:rFonts w:ascii="Arial" w:cs="Arial" w:eastAsia="Arial" w:hAnsi="Arial"/>
          <w:sz w:val="15"/>
          <w:szCs w:val="15"/>
          <w:color w:val="auto"/>
        </w:rPr>
        <w:t>FASB accounting guidance defines fair value as the price that would be received to sell an asset or paid to transfer a liability (“the exit price”) in an orderly transaction between market participants at the measurement date. The standard outlines a valuation framework and creates a fair value hierarchy in order to increase the consistency and comparability of fair value measurements and the related disclosures. In determining fair value we use quoted prices and observable inputs. Observable inputs are inputs that market participants would use in pricing the asset or liability based on market data obtained from sources independent of us. The fair value hierarchy is broken down into three levels based on the source of inputs as follows:</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1—Valuations based on unadjusted quoted prices in active markets for identical assets or liabilities.</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2—Valuations based on observable inputs and quoted prices in active markets for similar assets and liabilities.</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3—Valuations based on inputs that are unobservable and models that are significant to the overall fair value measurement.</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marketable securities consist of investments in U.S. government debt securities that are classified as available-for-sale.</w:t>
      </w:r>
    </w:p>
    <w:p>
      <w:pPr>
        <w:spacing w:after="0" w:line="217"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At June 30, 2023 and December 31, 2022, our Level 2 U.S. government debt securities were valued using readily available pricing sources which utilize market observable inputs, including the current interest rate and other characteristics for similar types of investments. Our long term investments classified as Level 1 were valued using their respective closing stock prices on The Nasdaq Stock Market. We did not experience any transfers of financial instruments between the fair value hierarchy levels during the six months ended June 30, 2023.</w:t>
      </w:r>
    </w:p>
    <w:p>
      <w:pPr>
        <w:spacing w:after="0" w:line="191"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The following fair value hierarchy table presents information about each major category of our financial assets measured at fair value on a recurring basis (in thousands):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and cash equivalents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Debt securities (government)</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5"/>
          <w:szCs w:val="15"/>
          <w:color w:val="auto"/>
        </w:rPr>
        <w:t>Long term investments (Note 7)</w:t>
      </w:r>
    </w:p>
    <w:p>
      <w:pPr>
        <w:spacing w:after="0" w:line="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and cash equivalents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Debt securities (government)</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5"/>
          <w:szCs w:val="15"/>
          <w:color w:val="auto"/>
        </w:rPr>
        <w:t>Long term investments (Note 7)</w:t>
      </w:r>
    </w:p>
    <w:p>
      <w:pPr>
        <w:spacing w:after="0" w:line="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40" w:type="dxa"/>
            <w:vAlign w:val="bottom"/>
          </w:tcPr>
          <w:p>
            <w:pPr>
              <w:spacing w:after="0"/>
              <w:rPr>
                <w:sz w:val="15"/>
                <w:szCs w:val="15"/>
                <w:color w:val="auto"/>
              </w:rPr>
            </w:pPr>
          </w:p>
        </w:tc>
        <w:tc>
          <w:tcPr>
            <w:tcW w:w="4520" w:type="dxa"/>
            <w:vAlign w:val="bottom"/>
            <w:gridSpan w:val="7"/>
          </w:tcPr>
          <w:p>
            <w:pPr>
              <w:jc w:val="center"/>
              <w:ind w:right="41"/>
              <w:spacing w:after="0"/>
              <w:rPr>
                <w:sz w:val="20"/>
                <w:szCs w:val="20"/>
                <w:color w:val="auto"/>
              </w:rPr>
            </w:pPr>
            <w:r>
              <w:rPr>
                <w:rFonts w:ascii="Arial" w:cs="Arial" w:eastAsia="Arial" w:hAnsi="Arial"/>
                <w:sz w:val="14"/>
                <w:szCs w:val="14"/>
                <w:b w:val="1"/>
                <w:bCs w:val="1"/>
                <w:color w:val="auto"/>
                <w:w w:val="92"/>
              </w:rPr>
              <w:t>Fair Value Measurement at Reporting Date Using:</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4"/>
        </w:trPr>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56"/>
        </w:trPr>
        <w:tc>
          <w:tcPr>
            <w:tcW w:w="140" w:type="dxa"/>
            <w:vAlign w:val="bottom"/>
          </w:tcPr>
          <w:p>
            <w:pPr>
              <w:spacing w:after="0"/>
              <w:rPr>
                <w:sz w:val="13"/>
                <w:szCs w:val="13"/>
                <w:color w:val="auto"/>
              </w:rPr>
            </w:pPr>
          </w:p>
        </w:tc>
        <w:tc>
          <w:tcPr>
            <w:tcW w:w="1340" w:type="dxa"/>
            <w:vAlign w:val="bottom"/>
          </w:tcPr>
          <w:p>
            <w:pPr>
              <w:jc w:val="center"/>
              <w:ind w:right="62"/>
              <w:spacing w:after="0" w:line="156" w:lineRule="exact"/>
              <w:rPr>
                <w:sz w:val="20"/>
                <w:szCs w:val="20"/>
                <w:color w:val="auto"/>
              </w:rPr>
            </w:pPr>
            <w:r>
              <w:rPr>
                <w:rFonts w:ascii="Arial" w:cs="Arial" w:eastAsia="Arial" w:hAnsi="Arial"/>
                <w:sz w:val="14"/>
                <w:szCs w:val="14"/>
                <w:b w:val="1"/>
                <w:bCs w:val="1"/>
                <w:color w:val="auto"/>
                <w:w w:val="89"/>
              </w:rPr>
              <w:t>Quoted Prices in</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center"/>
              <w:ind w:right="61"/>
              <w:spacing w:after="0" w:line="156" w:lineRule="exact"/>
              <w:rPr>
                <w:sz w:val="20"/>
                <w:szCs w:val="20"/>
                <w:color w:val="auto"/>
              </w:rPr>
            </w:pPr>
            <w:r>
              <w:rPr>
                <w:rFonts w:ascii="Arial" w:cs="Arial" w:eastAsia="Arial" w:hAnsi="Arial"/>
                <w:sz w:val="14"/>
                <w:szCs w:val="14"/>
                <w:b w:val="1"/>
                <w:bCs w:val="1"/>
                <w:color w:val="auto"/>
                <w:w w:val="92"/>
              </w:rPr>
              <w:t>Significant Other</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center"/>
              <w:ind w:right="141"/>
              <w:spacing w:after="0" w:line="156" w:lineRule="exact"/>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72"/>
        </w:trPr>
        <w:tc>
          <w:tcPr>
            <w:tcW w:w="140" w:type="dxa"/>
            <w:vAlign w:val="bottom"/>
          </w:tcPr>
          <w:p>
            <w:pPr>
              <w:spacing w:after="0"/>
              <w:rPr>
                <w:sz w:val="14"/>
                <w:szCs w:val="14"/>
                <w:color w:val="auto"/>
              </w:rPr>
            </w:pPr>
          </w:p>
        </w:tc>
        <w:tc>
          <w:tcPr>
            <w:tcW w:w="1340" w:type="dxa"/>
            <w:vAlign w:val="bottom"/>
          </w:tcPr>
          <w:p>
            <w:pPr>
              <w:jc w:val="center"/>
              <w:ind w:right="42"/>
              <w:spacing w:after="0"/>
              <w:rPr>
                <w:sz w:val="20"/>
                <w:szCs w:val="20"/>
                <w:color w:val="auto"/>
              </w:rPr>
            </w:pPr>
            <w:r>
              <w:rPr>
                <w:rFonts w:ascii="Arial" w:cs="Arial" w:eastAsia="Arial" w:hAnsi="Arial"/>
                <w:sz w:val="14"/>
                <w:szCs w:val="14"/>
                <w:b w:val="1"/>
                <w:bCs w:val="1"/>
                <w:color w:val="auto"/>
                <w:w w:val="93"/>
              </w:rPr>
              <w:t>Active Markets for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61"/>
              <w:spacing w:after="0"/>
              <w:rPr>
                <w:sz w:val="20"/>
                <w:szCs w:val="20"/>
                <w:color w:val="auto"/>
              </w:rPr>
            </w:pPr>
            <w:r>
              <w:rPr>
                <w:rFonts w:ascii="Arial" w:cs="Arial" w:eastAsia="Arial" w:hAnsi="Arial"/>
                <w:sz w:val="14"/>
                <w:szCs w:val="14"/>
                <w:b w:val="1"/>
                <w:bCs w:val="1"/>
                <w:color w:val="auto"/>
                <w:w w:val="89"/>
              </w:rPr>
              <w:t>Observable</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center"/>
              <w:ind w:right="141"/>
              <w:spacing w:after="0"/>
              <w:rPr>
                <w:sz w:val="20"/>
                <w:szCs w:val="20"/>
                <w:color w:val="auto"/>
              </w:rPr>
            </w:pPr>
            <w:r>
              <w:rPr>
                <w:rFonts w:ascii="Arial" w:cs="Arial" w:eastAsia="Arial" w:hAnsi="Arial"/>
                <w:sz w:val="14"/>
                <w:szCs w:val="14"/>
                <w:b w:val="1"/>
                <w:bCs w:val="1"/>
                <w:color w:val="auto"/>
                <w:w w:val="88"/>
              </w:rPr>
              <w:t>Unobservable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95"/>
        </w:trPr>
        <w:tc>
          <w:tcPr>
            <w:tcW w:w="140" w:type="dxa"/>
            <w:vAlign w:val="bottom"/>
          </w:tcPr>
          <w:p>
            <w:pPr>
              <w:spacing w:after="0"/>
              <w:rPr>
                <w:sz w:val="16"/>
                <w:szCs w:val="16"/>
                <w:color w:val="auto"/>
              </w:rPr>
            </w:pPr>
          </w:p>
        </w:tc>
        <w:tc>
          <w:tcPr>
            <w:tcW w:w="1340" w:type="dxa"/>
            <w:vAlign w:val="bottom"/>
          </w:tcPr>
          <w:p>
            <w:pPr>
              <w:jc w:val="center"/>
              <w:ind w:right="42"/>
              <w:spacing w:after="0"/>
              <w:rPr>
                <w:sz w:val="20"/>
                <w:szCs w:val="20"/>
                <w:color w:val="auto"/>
              </w:rPr>
            </w:pPr>
            <w:r>
              <w:rPr>
                <w:rFonts w:ascii="Arial" w:cs="Arial" w:eastAsia="Arial" w:hAnsi="Arial"/>
                <w:sz w:val="14"/>
                <w:szCs w:val="14"/>
                <w:b w:val="1"/>
                <w:bCs w:val="1"/>
                <w:color w:val="auto"/>
                <w:w w:val="88"/>
              </w:rPr>
              <w:t>Identical Assets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center"/>
              <w:ind w:right="141"/>
              <w:spacing w:after="0"/>
              <w:rPr>
                <w:sz w:val="20"/>
                <w:szCs w:val="20"/>
                <w:color w:val="auto"/>
              </w:rPr>
            </w:pPr>
            <w:r>
              <w:rPr>
                <w:rFonts w:ascii="Arial" w:cs="Arial" w:eastAsia="Arial" w:hAnsi="Arial"/>
                <w:sz w:val="14"/>
                <w:szCs w:val="14"/>
                <w:b w:val="1"/>
                <w:bCs w:val="1"/>
                <w:color w:val="auto"/>
                <w:w w:val="90"/>
              </w:rPr>
              <w:t>Inputs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58"/>
              <w:spacing w:after="0"/>
              <w:rPr>
                <w:sz w:val="20"/>
                <w:szCs w:val="20"/>
                <w:color w:val="auto"/>
              </w:rPr>
            </w:pPr>
            <w:r>
              <w:rPr>
                <w:rFonts w:ascii="Arial" w:cs="Arial" w:eastAsia="Arial" w:hAnsi="Arial"/>
                <w:sz w:val="14"/>
                <w:szCs w:val="14"/>
                <w:b w:val="1"/>
                <w:bCs w:val="1"/>
                <w:color w:val="auto"/>
                <w:w w:val="88"/>
              </w:rPr>
              <w:t>Balance as of</w:t>
            </w:r>
          </w:p>
        </w:tc>
      </w:tr>
      <w:tr>
        <w:trPr>
          <w:trHeight w:val="192"/>
        </w:trPr>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1"/>
              </w:rPr>
              <w:t>(Level 1)</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1"/>
              </w:rPr>
              <w:t>(Level 2)</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0"/>
              </w:rPr>
              <w:t>June 30, 2023</w:t>
            </w:r>
          </w:p>
        </w:tc>
      </w:tr>
      <w:tr>
        <w:trPr>
          <w:trHeight w:val="224"/>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3,131,123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tcPr>
          <w:p>
            <w:pPr>
              <w:ind w:left="10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3,131,123</w:t>
            </w:r>
          </w:p>
        </w:tc>
      </w:tr>
      <w:tr>
        <w:trPr>
          <w:trHeight w:val="225"/>
        </w:trPr>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292,243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ind w:left="10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292,243</w:t>
            </w:r>
          </w:p>
        </w:tc>
      </w:tr>
      <w:tr>
        <w:trPr>
          <w:trHeight w:val="239"/>
        </w:trPr>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170,316</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170,316</w:t>
            </w:r>
          </w:p>
        </w:tc>
      </w:tr>
      <w:tr>
        <w:trPr>
          <w:trHeight w:val="218"/>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3,301,439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292,243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3,593,682</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505"/>
        </w:trPr>
        <w:tc>
          <w:tcPr>
            <w:tcW w:w="1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gridSpan w:val="7"/>
          </w:tcPr>
          <w:p>
            <w:pPr>
              <w:jc w:val="center"/>
              <w:ind w:right="41"/>
              <w:spacing w:after="0"/>
              <w:rPr>
                <w:sz w:val="20"/>
                <w:szCs w:val="20"/>
                <w:color w:val="auto"/>
              </w:rPr>
            </w:pPr>
            <w:r>
              <w:rPr>
                <w:rFonts w:ascii="Arial" w:cs="Arial" w:eastAsia="Arial" w:hAnsi="Arial"/>
                <w:sz w:val="14"/>
                <w:szCs w:val="14"/>
                <w:b w:val="1"/>
                <w:bCs w:val="1"/>
                <w:color w:val="auto"/>
                <w:w w:val="92"/>
              </w:rPr>
              <w:t>Fair Value Measurement at Reporting Date Using:</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5"/>
        </w:trPr>
        <w:tc>
          <w:tcPr>
            <w:tcW w:w="140" w:type="dxa"/>
            <w:vAlign w:val="bottom"/>
          </w:tcPr>
          <w:p>
            <w:pPr>
              <w:spacing w:after="0"/>
              <w:rPr>
                <w:sz w:val="15"/>
                <w:szCs w:val="15"/>
                <w:color w:val="auto"/>
              </w:rPr>
            </w:pPr>
          </w:p>
        </w:tc>
        <w:tc>
          <w:tcPr>
            <w:tcW w:w="1340" w:type="dxa"/>
            <w:vAlign w:val="bottom"/>
          </w:tcPr>
          <w:p>
            <w:pPr>
              <w:jc w:val="center"/>
              <w:ind w:right="62"/>
              <w:spacing w:after="0"/>
              <w:rPr>
                <w:sz w:val="20"/>
                <w:szCs w:val="20"/>
                <w:color w:val="auto"/>
              </w:rPr>
            </w:pPr>
            <w:r>
              <w:rPr>
                <w:rFonts w:ascii="Arial" w:cs="Arial" w:eastAsia="Arial" w:hAnsi="Arial"/>
                <w:sz w:val="14"/>
                <w:szCs w:val="14"/>
                <w:b w:val="1"/>
                <w:bCs w:val="1"/>
                <w:color w:val="auto"/>
                <w:w w:val="89"/>
              </w:rPr>
              <w:t>Quoted Prices in</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center"/>
              <w:ind w:right="61"/>
              <w:spacing w:after="0"/>
              <w:rPr>
                <w:sz w:val="20"/>
                <w:szCs w:val="20"/>
                <w:color w:val="auto"/>
              </w:rPr>
            </w:pPr>
            <w:r>
              <w:rPr>
                <w:rFonts w:ascii="Arial" w:cs="Arial" w:eastAsia="Arial" w:hAnsi="Arial"/>
                <w:sz w:val="14"/>
                <w:szCs w:val="14"/>
                <w:b w:val="1"/>
                <w:bCs w:val="1"/>
                <w:color w:val="auto"/>
                <w:w w:val="92"/>
              </w:rPr>
              <w:t>Significant Other</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center"/>
              <w:ind w:right="141"/>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2"/>
        </w:trPr>
        <w:tc>
          <w:tcPr>
            <w:tcW w:w="140" w:type="dxa"/>
            <w:vAlign w:val="bottom"/>
          </w:tcPr>
          <w:p>
            <w:pPr>
              <w:spacing w:after="0"/>
              <w:rPr>
                <w:sz w:val="14"/>
                <w:szCs w:val="14"/>
                <w:color w:val="auto"/>
              </w:rPr>
            </w:pPr>
          </w:p>
        </w:tc>
        <w:tc>
          <w:tcPr>
            <w:tcW w:w="1340" w:type="dxa"/>
            <w:vAlign w:val="bottom"/>
          </w:tcPr>
          <w:p>
            <w:pPr>
              <w:jc w:val="center"/>
              <w:ind w:right="42"/>
              <w:spacing w:after="0"/>
              <w:rPr>
                <w:sz w:val="20"/>
                <w:szCs w:val="20"/>
                <w:color w:val="auto"/>
              </w:rPr>
            </w:pPr>
            <w:r>
              <w:rPr>
                <w:rFonts w:ascii="Arial" w:cs="Arial" w:eastAsia="Arial" w:hAnsi="Arial"/>
                <w:sz w:val="14"/>
                <w:szCs w:val="14"/>
                <w:b w:val="1"/>
                <w:bCs w:val="1"/>
                <w:color w:val="auto"/>
                <w:w w:val="93"/>
              </w:rPr>
              <w:t>Active Markets for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61"/>
              <w:spacing w:after="0"/>
              <w:rPr>
                <w:sz w:val="20"/>
                <w:szCs w:val="20"/>
                <w:color w:val="auto"/>
              </w:rPr>
            </w:pPr>
            <w:r>
              <w:rPr>
                <w:rFonts w:ascii="Arial" w:cs="Arial" w:eastAsia="Arial" w:hAnsi="Arial"/>
                <w:sz w:val="14"/>
                <w:szCs w:val="14"/>
                <w:b w:val="1"/>
                <w:bCs w:val="1"/>
                <w:color w:val="auto"/>
                <w:w w:val="89"/>
              </w:rPr>
              <w:t>Observable</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center"/>
              <w:ind w:right="141"/>
              <w:spacing w:after="0"/>
              <w:rPr>
                <w:sz w:val="20"/>
                <w:szCs w:val="20"/>
                <w:color w:val="auto"/>
              </w:rPr>
            </w:pPr>
            <w:r>
              <w:rPr>
                <w:rFonts w:ascii="Arial" w:cs="Arial" w:eastAsia="Arial" w:hAnsi="Arial"/>
                <w:sz w:val="14"/>
                <w:szCs w:val="14"/>
                <w:b w:val="1"/>
                <w:bCs w:val="1"/>
                <w:color w:val="auto"/>
                <w:w w:val="88"/>
              </w:rPr>
              <w:t>Unobservable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140" w:type="dxa"/>
            <w:vAlign w:val="bottom"/>
          </w:tcPr>
          <w:p>
            <w:pPr>
              <w:spacing w:after="0"/>
              <w:rPr>
                <w:sz w:val="14"/>
                <w:szCs w:val="14"/>
                <w:color w:val="auto"/>
              </w:rPr>
            </w:pPr>
          </w:p>
        </w:tc>
        <w:tc>
          <w:tcPr>
            <w:tcW w:w="1340" w:type="dxa"/>
            <w:vAlign w:val="bottom"/>
          </w:tcPr>
          <w:p>
            <w:pPr>
              <w:jc w:val="center"/>
              <w:ind w:right="42"/>
              <w:spacing w:after="0"/>
              <w:rPr>
                <w:sz w:val="20"/>
                <w:szCs w:val="20"/>
                <w:color w:val="auto"/>
              </w:rPr>
            </w:pPr>
            <w:r>
              <w:rPr>
                <w:rFonts w:ascii="Arial" w:cs="Arial" w:eastAsia="Arial" w:hAnsi="Arial"/>
                <w:sz w:val="14"/>
                <w:szCs w:val="14"/>
                <w:b w:val="1"/>
                <w:bCs w:val="1"/>
                <w:color w:val="auto"/>
                <w:w w:val="88"/>
              </w:rPr>
              <w:t>Identical Assets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center"/>
              <w:ind w:right="141"/>
              <w:spacing w:after="0"/>
              <w:rPr>
                <w:sz w:val="20"/>
                <w:szCs w:val="20"/>
                <w:color w:val="auto"/>
              </w:rPr>
            </w:pPr>
            <w:r>
              <w:rPr>
                <w:rFonts w:ascii="Arial" w:cs="Arial" w:eastAsia="Arial" w:hAnsi="Arial"/>
                <w:sz w:val="14"/>
                <w:szCs w:val="14"/>
                <w:b w:val="1"/>
                <w:bCs w:val="1"/>
                <w:color w:val="auto"/>
                <w:w w:val="90"/>
              </w:rPr>
              <w:t>Inputs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58"/>
              <w:spacing w:after="0"/>
              <w:rPr>
                <w:sz w:val="20"/>
                <w:szCs w:val="20"/>
                <w:color w:val="auto"/>
              </w:rPr>
            </w:pPr>
            <w:r>
              <w:rPr>
                <w:rFonts w:ascii="Arial" w:cs="Arial" w:eastAsia="Arial" w:hAnsi="Arial"/>
                <w:sz w:val="14"/>
                <w:szCs w:val="14"/>
                <w:b w:val="1"/>
                <w:bCs w:val="1"/>
                <w:color w:val="auto"/>
                <w:w w:val="88"/>
              </w:rPr>
              <w:t>Balance as of</w:t>
            </w:r>
          </w:p>
        </w:tc>
      </w:tr>
      <w:tr>
        <w:trPr>
          <w:trHeight w:val="184"/>
        </w:trPr>
        <w:tc>
          <w:tcPr>
            <w:tcW w:w="140" w:type="dxa"/>
            <w:vAlign w:val="bottom"/>
          </w:tcPr>
          <w:p>
            <w:pPr>
              <w:spacing w:after="0"/>
              <w:rPr>
                <w:sz w:val="15"/>
                <w:szCs w:val="15"/>
                <w:color w:val="auto"/>
              </w:rPr>
            </w:pPr>
          </w:p>
        </w:tc>
        <w:tc>
          <w:tcPr>
            <w:tcW w:w="1340" w:type="dxa"/>
            <w:vAlign w:val="bottom"/>
          </w:tcPr>
          <w:p>
            <w:pPr>
              <w:jc w:val="center"/>
              <w:ind w:right="62"/>
              <w:spacing w:after="0"/>
              <w:rPr>
                <w:sz w:val="20"/>
                <w:szCs w:val="20"/>
                <w:color w:val="auto"/>
              </w:rPr>
            </w:pPr>
            <w:r>
              <w:rPr>
                <w:rFonts w:ascii="Arial" w:cs="Arial" w:eastAsia="Arial" w:hAnsi="Arial"/>
                <w:sz w:val="14"/>
                <w:szCs w:val="14"/>
                <w:b w:val="1"/>
                <w:bCs w:val="1"/>
                <w:color w:val="auto"/>
                <w:w w:val="91"/>
              </w:rPr>
              <w:t>(Level 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center"/>
              <w:ind w:right="61"/>
              <w:spacing w:after="0"/>
              <w:rPr>
                <w:sz w:val="20"/>
                <w:szCs w:val="20"/>
                <w:color w:val="auto"/>
              </w:rPr>
            </w:pPr>
            <w:r>
              <w:rPr>
                <w:rFonts w:ascii="Arial" w:cs="Arial" w:eastAsia="Arial" w:hAnsi="Arial"/>
                <w:sz w:val="14"/>
                <w:szCs w:val="14"/>
                <w:b w:val="1"/>
                <w:bCs w:val="1"/>
                <w:color w:val="auto"/>
                <w:w w:val="91"/>
              </w:rPr>
              <w:t>(Level 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center"/>
              <w:ind w:right="141"/>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ind w:right="38"/>
              <w:spacing w:after="0"/>
              <w:rPr>
                <w:sz w:val="20"/>
                <w:szCs w:val="20"/>
                <w:color w:val="auto"/>
              </w:rPr>
            </w:pPr>
            <w:r>
              <w:rPr>
                <w:rFonts w:ascii="Arial" w:cs="Arial" w:eastAsia="Arial" w:hAnsi="Arial"/>
                <w:sz w:val="14"/>
                <w:szCs w:val="14"/>
                <w:b w:val="1"/>
                <w:bCs w:val="1"/>
                <w:color w:val="auto"/>
                <w:w w:val="90"/>
              </w:rPr>
              <w:t>December 31, 2022</w:t>
            </w:r>
          </w:p>
        </w:tc>
      </w:tr>
      <w:tr>
        <w:trPr>
          <w:trHeight w:val="38"/>
        </w:trPr>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18"/>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2,951,422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tcPr>
          <w:p>
            <w:pPr>
              <w:ind w:left="10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2,951,422</w:t>
            </w:r>
          </w:p>
        </w:tc>
      </w:tr>
      <w:tr>
        <w:trPr>
          <w:trHeight w:val="225"/>
        </w:trPr>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287,543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ind w:left="10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287,543</w:t>
            </w:r>
          </w:p>
        </w:tc>
      </w:tr>
      <w:tr>
        <w:trPr>
          <w:trHeight w:val="233"/>
        </w:trPr>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133,676</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133,676</w:t>
            </w:r>
          </w:p>
        </w:tc>
      </w:tr>
      <w:tr>
        <w:trPr>
          <w:trHeight w:val="225"/>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3,085,098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287,543</w:t>
            </w:r>
          </w:p>
        </w:tc>
        <w:tc>
          <w:tcPr>
            <w:tcW w:w="3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tcPr>
          <w:p>
            <w:pPr>
              <w:ind w:left="10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3,372,641</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-2068830</wp:posOffset>
            </wp:positionV>
            <wp:extent cx="7134860" cy="1511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860" cy="151130"/>
                    </a:xfrm>
                    <a:prstGeom prst="rect">
                      <a:avLst/>
                    </a:prstGeom>
                    <a:noFill/>
                  </pic:spPr>
                </pic:pic>
              </a:graphicData>
            </a:graphic>
          </wp:anchor>
        </w:drawing>
        <w:drawing>
          <wp:anchor simplePos="0" relativeHeight="251657728" behindDoc="1" locked="0" layoutInCell="0" allowOverlap="1">
            <wp:simplePos x="0" y="0"/>
            <wp:positionH relativeFrom="column">
              <wp:posOffset>-3170555</wp:posOffset>
            </wp:positionH>
            <wp:positionV relativeFrom="paragraph">
              <wp:posOffset>-1766570</wp:posOffset>
            </wp:positionV>
            <wp:extent cx="7134860" cy="142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-3170555</wp:posOffset>
            </wp:positionH>
            <wp:positionV relativeFrom="paragraph">
              <wp:posOffset>-630555</wp:posOffset>
            </wp:positionV>
            <wp:extent cx="7134860" cy="1517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860" cy="151765"/>
                    </a:xfrm>
                    <a:prstGeom prst="rect">
                      <a:avLst/>
                    </a:prstGeom>
                    <a:noFill/>
                  </pic:spPr>
                </pic:pic>
              </a:graphicData>
            </a:graphic>
          </wp:anchor>
        </w:drawing>
        <w:drawing>
          <wp:anchor simplePos="0" relativeHeight="251657728" behindDoc="1" locked="0" layoutInCell="0" allowOverlap="1">
            <wp:simplePos x="0" y="0"/>
            <wp:positionH relativeFrom="column">
              <wp:posOffset>-3170555</wp:posOffset>
            </wp:positionH>
            <wp:positionV relativeFrom="paragraph">
              <wp:posOffset>-335915</wp:posOffset>
            </wp:positionV>
            <wp:extent cx="7134860" cy="1517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860" cy="1517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80" w:space="720"/>
            <w:col w:w="6240"/>
          </w:cols>
          <w:pgMar w:left="320" w:top="127" w:right="339" w:bottom="1440" w:gutter="0" w:footer="0" w:header="0"/>
          <w:type w:val="continuous"/>
        </w:sect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94615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The following fair value hierarchy table presents information about each major category of our financial liabilities measured at fair value on a recurring basis as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520" w:type="dxa"/>
            <w:vAlign w:val="bottom"/>
            <w:gridSpan w:val="7"/>
          </w:tcPr>
          <w:p>
            <w:pPr>
              <w:jc w:val="center"/>
              <w:ind w:right="43"/>
              <w:spacing w:after="0"/>
              <w:rPr>
                <w:sz w:val="20"/>
                <w:szCs w:val="20"/>
                <w:color w:val="auto"/>
              </w:rPr>
            </w:pPr>
            <w:r>
              <w:rPr>
                <w:rFonts w:ascii="Arial" w:cs="Arial" w:eastAsia="Arial" w:hAnsi="Arial"/>
                <w:sz w:val="14"/>
                <w:szCs w:val="14"/>
                <w:b w:val="1"/>
                <w:bCs w:val="1"/>
                <w:color w:val="auto"/>
                <w:w w:val="92"/>
              </w:rPr>
              <w:t>Fair Value Measurement at Reporting Date Using:</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jc w:val="center"/>
              <w:ind w:right="64"/>
              <w:spacing w:after="0" w:line="156" w:lineRule="exact"/>
              <w:rPr>
                <w:sz w:val="20"/>
                <w:szCs w:val="20"/>
                <w:color w:val="auto"/>
              </w:rPr>
            </w:pPr>
            <w:r>
              <w:rPr>
                <w:rFonts w:ascii="Arial" w:cs="Arial" w:eastAsia="Arial" w:hAnsi="Arial"/>
                <w:sz w:val="14"/>
                <w:szCs w:val="14"/>
                <w:b w:val="1"/>
                <w:bCs w:val="1"/>
                <w:color w:val="auto"/>
                <w:w w:val="91"/>
              </w:rPr>
              <w:t>Quoted Prices in</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center"/>
              <w:ind w:right="83"/>
              <w:spacing w:after="0" w:line="156" w:lineRule="exact"/>
              <w:rPr>
                <w:sz w:val="20"/>
                <w:szCs w:val="20"/>
                <w:color w:val="auto"/>
              </w:rPr>
            </w:pPr>
            <w:r>
              <w:rPr>
                <w:rFonts w:ascii="Arial" w:cs="Arial" w:eastAsia="Arial" w:hAnsi="Arial"/>
                <w:sz w:val="14"/>
                <w:szCs w:val="14"/>
                <w:b w:val="1"/>
                <w:bCs w:val="1"/>
                <w:color w:val="auto"/>
                <w:w w:val="92"/>
              </w:rPr>
              <w:t>Significant Other</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center"/>
              <w:ind w:right="123"/>
              <w:spacing w:after="0" w:line="156" w:lineRule="exact"/>
              <w:rPr>
                <w:sz w:val="20"/>
                <w:szCs w:val="20"/>
                <w:color w:val="auto"/>
              </w:rPr>
            </w:pPr>
            <w:r>
              <w:rPr>
                <w:rFonts w:ascii="Arial" w:cs="Arial" w:eastAsia="Arial" w:hAnsi="Arial"/>
                <w:sz w:val="14"/>
                <w:szCs w:val="14"/>
                <w:b w:val="1"/>
                <w:bCs w:val="1"/>
                <w:color w:val="auto"/>
                <w:w w:val="92"/>
              </w:rPr>
              <w:t>Significant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5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center"/>
              <w:ind w:right="64"/>
              <w:spacing w:after="0"/>
              <w:rPr>
                <w:sz w:val="20"/>
                <w:szCs w:val="20"/>
                <w:color w:val="auto"/>
              </w:rPr>
            </w:pPr>
            <w:r>
              <w:rPr>
                <w:rFonts w:ascii="Arial" w:cs="Arial" w:eastAsia="Arial" w:hAnsi="Arial"/>
                <w:sz w:val="14"/>
                <w:szCs w:val="14"/>
                <w:b w:val="1"/>
                <w:bCs w:val="1"/>
                <w:color w:val="auto"/>
                <w:w w:val="93"/>
              </w:rPr>
              <w:t>Active Markets for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83"/>
              <w:spacing w:after="0"/>
              <w:rPr>
                <w:sz w:val="20"/>
                <w:szCs w:val="20"/>
                <w:color w:val="auto"/>
              </w:rPr>
            </w:pPr>
            <w:r>
              <w:rPr>
                <w:rFonts w:ascii="Arial" w:cs="Arial" w:eastAsia="Arial" w:hAnsi="Arial"/>
                <w:sz w:val="14"/>
                <w:szCs w:val="14"/>
                <w:b w:val="1"/>
                <w:bCs w:val="1"/>
                <w:color w:val="auto"/>
                <w:w w:val="89"/>
              </w:rPr>
              <w:t>Observable</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ind w:right="123"/>
              <w:spacing w:after="0"/>
              <w:rPr>
                <w:sz w:val="20"/>
                <w:szCs w:val="20"/>
                <w:color w:val="auto"/>
              </w:rPr>
            </w:pPr>
            <w:r>
              <w:rPr>
                <w:rFonts w:ascii="Arial" w:cs="Arial" w:eastAsia="Arial" w:hAnsi="Arial"/>
                <w:sz w:val="14"/>
                <w:szCs w:val="14"/>
                <w:b w:val="1"/>
                <w:bCs w:val="1"/>
                <w:color w:val="auto"/>
                <w:w w:val="88"/>
              </w:rPr>
              <w:t>Unobservable</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center"/>
              <w:ind w:right="64"/>
              <w:spacing w:after="0"/>
              <w:rPr>
                <w:sz w:val="20"/>
                <w:szCs w:val="20"/>
                <w:color w:val="auto"/>
              </w:rPr>
            </w:pPr>
            <w:r>
              <w:rPr>
                <w:rFonts w:ascii="Arial" w:cs="Arial" w:eastAsia="Arial" w:hAnsi="Arial"/>
                <w:sz w:val="14"/>
                <w:szCs w:val="14"/>
                <w:b w:val="1"/>
                <w:bCs w:val="1"/>
                <w:color w:val="auto"/>
                <w:w w:val="94"/>
              </w:rPr>
              <w:t>Identical Liabilities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83"/>
              <w:spacing w:after="0"/>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center"/>
              <w:ind w:right="123"/>
              <w:spacing w:after="0"/>
              <w:rPr>
                <w:sz w:val="20"/>
                <w:szCs w:val="20"/>
                <w:color w:val="auto"/>
              </w:rPr>
            </w:pPr>
            <w:r>
              <w:rPr>
                <w:rFonts w:ascii="Arial" w:cs="Arial" w:eastAsia="Arial" w:hAnsi="Arial"/>
                <w:sz w:val="14"/>
                <w:szCs w:val="14"/>
                <w:b w:val="1"/>
                <w:bCs w:val="1"/>
                <w:color w:val="auto"/>
                <w:w w:val="90"/>
              </w:rPr>
              <w:t>Inputs</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center"/>
              <w:ind w:right="58"/>
              <w:spacing w:after="0"/>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92"/>
        </w:trPr>
        <w:tc>
          <w:tcPr>
            <w:tcW w:w="50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1"/>
              </w:rPr>
              <w:t>(Level 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4"/>
              </w:rPr>
              <w:t>(Level 3)</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0"/>
              </w:rPr>
              <w:t>June 30, 2023</w:t>
            </w:r>
          </w:p>
        </w:tc>
        <w:tc>
          <w:tcPr>
            <w:tcW w:w="0" w:type="dxa"/>
            <w:vAlign w:val="bottom"/>
          </w:tcPr>
          <w:p>
            <w:pPr>
              <w:spacing w:after="0"/>
              <w:rPr>
                <w:sz w:val="1"/>
                <w:szCs w:val="1"/>
                <w:color w:val="auto"/>
              </w:rPr>
            </w:pPr>
          </w:p>
        </w:tc>
      </w:tr>
      <w:tr>
        <w:trPr>
          <w:trHeight w:val="225"/>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Acquisition-related contingent consideration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217,000</w:t>
            </w:r>
          </w:p>
        </w:tc>
        <w:tc>
          <w:tcPr>
            <w:tcW w:w="120" w:type="dxa"/>
            <w:vAlign w:val="bottom"/>
            <w:tcBorders>
              <w:bottom w:val="single" w:sz="8" w:color="CCEEFF"/>
            </w:tcBorders>
            <w:gridSpan w:val="2"/>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217,000</w:t>
            </w:r>
          </w:p>
        </w:tc>
        <w:tc>
          <w:tcPr>
            <w:tcW w:w="0" w:type="dxa"/>
            <w:vAlign w:val="bottom"/>
          </w:tcPr>
          <w:p>
            <w:pPr>
              <w:spacing w:after="0"/>
              <w:rPr>
                <w:sz w:val="1"/>
                <w:szCs w:val="1"/>
                <w:color w:val="auto"/>
              </w:rPr>
            </w:pPr>
          </w:p>
        </w:tc>
      </w:tr>
      <w:tr>
        <w:trPr>
          <w:trHeight w:val="232"/>
        </w:trPr>
        <w:tc>
          <w:tcPr>
            <w:tcW w:w="500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217,000</w:t>
            </w:r>
          </w:p>
        </w:tc>
        <w:tc>
          <w:tcPr>
            <w:tcW w:w="120" w:type="dxa"/>
            <w:vAlign w:val="bottom"/>
            <w:gridSpan w:val="2"/>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217,000</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5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20" w:type="dxa"/>
            <w:vAlign w:val="bottom"/>
            <w:gridSpan w:val="7"/>
          </w:tcPr>
          <w:p>
            <w:pPr>
              <w:jc w:val="center"/>
              <w:ind w:right="43"/>
              <w:spacing w:after="0"/>
              <w:rPr>
                <w:sz w:val="20"/>
                <w:szCs w:val="20"/>
                <w:color w:val="auto"/>
              </w:rPr>
            </w:pPr>
            <w:r>
              <w:rPr>
                <w:rFonts w:ascii="Arial" w:cs="Arial" w:eastAsia="Arial" w:hAnsi="Arial"/>
                <w:sz w:val="14"/>
                <w:szCs w:val="14"/>
                <w:b w:val="1"/>
                <w:bCs w:val="1"/>
                <w:color w:val="auto"/>
                <w:w w:val="92"/>
              </w:rPr>
              <w:t>Fair Value Measurement at Reporting Date Using:</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tcPr>
          <w:p>
            <w:pPr>
              <w:jc w:val="center"/>
              <w:ind w:right="64"/>
              <w:spacing w:after="0" w:line="126" w:lineRule="exact"/>
              <w:rPr>
                <w:sz w:val="20"/>
                <w:szCs w:val="20"/>
                <w:color w:val="auto"/>
              </w:rPr>
            </w:pPr>
            <w:r>
              <w:rPr>
                <w:rFonts w:ascii="Arial" w:cs="Arial" w:eastAsia="Arial" w:hAnsi="Arial"/>
                <w:sz w:val="14"/>
                <w:szCs w:val="14"/>
                <w:b w:val="1"/>
                <w:bCs w:val="1"/>
                <w:color w:val="auto"/>
                <w:w w:val="91"/>
              </w:rPr>
              <w:t>Quoted Prices in</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tcPr>
          <w:p>
            <w:pPr>
              <w:jc w:val="center"/>
              <w:ind w:right="83"/>
              <w:spacing w:after="0" w:line="126" w:lineRule="exact"/>
              <w:rPr>
                <w:sz w:val="20"/>
                <w:szCs w:val="20"/>
                <w:color w:val="auto"/>
              </w:rPr>
            </w:pPr>
            <w:r>
              <w:rPr>
                <w:rFonts w:ascii="Arial" w:cs="Arial" w:eastAsia="Arial" w:hAnsi="Arial"/>
                <w:sz w:val="14"/>
                <w:szCs w:val="14"/>
                <w:b w:val="1"/>
                <w:bCs w:val="1"/>
                <w:color w:val="auto"/>
                <w:w w:val="92"/>
              </w:rPr>
              <w:t>Significant Other</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jc w:val="center"/>
              <w:ind w:right="123"/>
              <w:spacing w:after="0" w:line="126" w:lineRule="exact"/>
              <w:rPr>
                <w:sz w:val="20"/>
                <w:szCs w:val="20"/>
                <w:color w:val="auto"/>
              </w:rPr>
            </w:pPr>
            <w:r>
              <w:rPr>
                <w:rFonts w:ascii="Arial" w:cs="Arial" w:eastAsia="Arial" w:hAnsi="Arial"/>
                <w:sz w:val="14"/>
                <w:szCs w:val="14"/>
                <w:b w:val="1"/>
                <w:bCs w:val="1"/>
                <w:color w:val="auto"/>
                <w:w w:val="92"/>
              </w:rPr>
              <w:t>Significant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5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jc w:val="center"/>
              <w:ind w:right="64"/>
              <w:spacing w:after="0" w:line="137" w:lineRule="exact"/>
              <w:rPr>
                <w:sz w:val="20"/>
                <w:szCs w:val="20"/>
                <w:color w:val="auto"/>
              </w:rPr>
            </w:pPr>
            <w:r>
              <w:rPr>
                <w:rFonts w:ascii="Arial" w:cs="Arial" w:eastAsia="Arial" w:hAnsi="Arial"/>
                <w:sz w:val="14"/>
                <w:szCs w:val="14"/>
                <w:b w:val="1"/>
                <w:bCs w:val="1"/>
                <w:color w:val="auto"/>
                <w:w w:val="93"/>
              </w:rPr>
              <w:t>Active Markets for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jc w:val="center"/>
              <w:ind w:right="83"/>
              <w:spacing w:after="0" w:line="137" w:lineRule="exact"/>
              <w:rPr>
                <w:sz w:val="20"/>
                <w:szCs w:val="20"/>
                <w:color w:val="auto"/>
              </w:rPr>
            </w:pPr>
            <w:r>
              <w:rPr>
                <w:rFonts w:ascii="Arial" w:cs="Arial" w:eastAsia="Arial" w:hAnsi="Arial"/>
                <w:sz w:val="14"/>
                <w:szCs w:val="14"/>
                <w:b w:val="1"/>
                <w:bCs w:val="1"/>
                <w:color w:val="auto"/>
                <w:w w:val="89"/>
              </w:rPr>
              <w:t>Observable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jc w:val="center"/>
              <w:ind w:right="123"/>
              <w:spacing w:after="0" w:line="137" w:lineRule="exact"/>
              <w:rPr>
                <w:sz w:val="20"/>
                <w:szCs w:val="20"/>
                <w:color w:val="auto"/>
              </w:rPr>
            </w:pPr>
            <w:r>
              <w:rPr>
                <w:rFonts w:ascii="Arial" w:cs="Arial" w:eastAsia="Arial" w:hAnsi="Arial"/>
                <w:sz w:val="14"/>
                <w:szCs w:val="14"/>
                <w:b w:val="1"/>
                <w:bCs w:val="1"/>
                <w:color w:val="auto"/>
                <w:w w:val="88"/>
              </w:rPr>
              <w:t>Unobservable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vMerge w:val="restart"/>
          </w:tcPr>
          <w:p>
            <w:pPr>
              <w:jc w:val="center"/>
              <w:ind w:right="58"/>
              <w:spacing w:after="0"/>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46"/>
        </w:trPr>
        <w:tc>
          <w:tcPr>
            <w:tcW w:w="5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center"/>
              <w:ind w:right="64"/>
              <w:spacing w:after="0" w:line="146" w:lineRule="exact"/>
              <w:rPr>
                <w:sz w:val="20"/>
                <w:szCs w:val="20"/>
                <w:color w:val="auto"/>
              </w:rPr>
            </w:pPr>
            <w:r>
              <w:rPr>
                <w:rFonts w:ascii="Arial" w:cs="Arial" w:eastAsia="Arial" w:hAnsi="Arial"/>
                <w:sz w:val="14"/>
                <w:szCs w:val="14"/>
                <w:b w:val="1"/>
                <w:bCs w:val="1"/>
                <w:color w:val="auto"/>
                <w:w w:val="94"/>
              </w:rPr>
              <w:t>Identical Liabilities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ind w:right="83"/>
              <w:spacing w:after="0" w:line="146"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23"/>
              <w:spacing w:after="0" w:line="146" w:lineRule="exact"/>
              <w:rPr>
                <w:sz w:val="20"/>
                <w:szCs w:val="20"/>
                <w:color w:val="auto"/>
              </w:rPr>
            </w:pPr>
            <w:r>
              <w:rPr>
                <w:rFonts w:ascii="Arial" w:cs="Arial" w:eastAsia="Arial" w:hAnsi="Arial"/>
                <w:sz w:val="14"/>
                <w:szCs w:val="14"/>
                <w:b w:val="1"/>
                <w:bCs w:val="1"/>
                <w:color w:val="auto"/>
                <w:w w:val="90"/>
              </w:rPr>
              <w:t>Inputs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1"/>
              </w:rPr>
              <w:t>(Level 2)</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4"/>
              </w:rPr>
              <w:t>(Level 3)</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0"/>
              </w:rPr>
              <w:t>December 31, 2022</w:t>
            </w:r>
          </w:p>
        </w:tc>
        <w:tc>
          <w:tcPr>
            <w:tcW w:w="0" w:type="dxa"/>
            <w:vAlign w:val="bottom"/>
          </w:tcPr>
          <w:p>
            <w:pPr>
              <w:spacing w:after="0"/>
              <w:rPr>
                <w:sz w:val="1"/>
                <w:szCs w:val="1"/>
                <w:color w:val="auto"/>
              </w:rPr>
            </w:pPr>
          </w:p>
        </w:tc>
      </w:tr>
      <w:tr>
        <w:trPr>
          <w:trHeight w:val="237"/>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Acquisition-related contingent consideration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221,000</w:t>
            </w:r>
          </w:p>
        </w:tc>
        <w:tc>
          <w:tcPr>
            <w:tcW w:w="120" w:type="dxa"/>
            <w:vAlign w:val="bottom"/>
            <w:gridSpan w:val="2"/>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221,000</w:t>
            </w:r>
          </w:p>
        </w:tc>
        <w:tc>
          <w:tcPr>
            <w:tcW w:w="0" w:type="dxa"/>
            <w:vAlign w:val="bottom"/>
          </w:tcPr>
          <w:p>
            <w:pPr>
              <w:spacing w:after="0"/>
              <w:rPr>
                <w:sz w:val="1"/>
                <w:szCs w:val="1"/>
                <w:color w:val="auto"/>
              </w:rPr>
            </w:pPr>
          </w:p>
        </w:tc>
      </w:tr>
      <w:tr>
        <w:trPr>
          <w:trHeight w:val="219"/>
        </w:trPr>
        <w:tc>
          <w:tcPr>
            <w:tcW w:w="500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221,000</w:t>
            </w:r>
          </w:p>
        </w:tc>
        <w:tc>
          <w:tcPr>
            <w:tcW w:w="120" w:type="dxa"/>
            <w:vAlign w:val="bottom"/>
            <w:gridSpan w:val="2"/>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221,000</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6500" w:type="dxa"/>
            <w:vAlign w:val="bottom"/>
            <w:gridSpan w:val="3"/>
          </w:tcPr>
          <w:p>
            <w:pPr>
              <w:ind w:left="640"/>
              <w:spacing w:after="0"/>
              <w:rPr>
                <w:sz w:val="20"/>
                <w:szCs w:val="20"/>
                <w:color w:val="auto"/>
              </w:rPr>
            </w:pPr>
            <w:r>
              <w:rPr>
                <w:rFonts w:ascii="Arial" w:cs="Arial" w:eastAsia="Arial" w:hAnsi="Arial"/>
                <w:sz w:val="18"/>
                <w:szCs w:val="18"/>
                <w:color w:val="auto"/>
              </w:rPr>
              <w:t>The following is a rollforward of our Level 3 liabilities (in thousands):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5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2023</w:t>
            </w:r>
          </w:p>
        </w:tc>
        <w:tc>
          <w:tcPr>
            <w:tcW w:w="0" w:type="dxa"/>
            <w:vAlign w:val="bottom"/>
          </w:tcPr>
          <w:p>
            <w:pPr>
              <w:spacing w:after="0"/>
              <w:rPr>
                <w:sz w:val="1"/>
                <w:szCs w:val="1"/>
                <w:color w:val="auto"/>
              </w:rPr>
            </w:pPr>
          </w:p>
        </w:tc>
      </w:tr>
      <w:tr>
        <w:trPr>
          <w:trHeight w:val="237"/>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221,000</w:t>
            </w:r>
          </w:p>
        </w:tc>
        <w:tc>
          <w:tcPr>
            <w:tcW w:w="0" w:type="dxa"/>
            <w:vAlign w:val="bottom"/>
          </w:tcPr>
          <w:p>
            <w:pPr>
              <w:spacing w:after="0"/>
              <w:rPr>
                <w:sz w:val="1"/>
                <w:szCs w:val="1"/>
                <w:color w:val="auto"/>
              </w:rPr>
            </w:pPr>
          </w:p>
        </w:tc>
      </w:tr>
      <w:tr>
        <w:trPr>
          <w:trHeight w:val="225"/>
        </w:trPr>
        <w:tc>
          <w:tcPr>
            <w:tcW w:w="5000" w:type="dxa"/>
            <w:vAlign w:val="bottom"/>
          </w:tcPr>
          <w:p>
            <w:pPr>
              <w:ind w:left="20"/>
              <w:spacing w:after="0"/>
              <w:rPr>
                <w:sz w:val="20"/>
                <w:szCs w:val="20"/>
                <w:color w:val="auto"/>
              </w:rPr>
            </w:pPr>
            <w:r>
              <w:rPr>
                <w:rFonts w:ascii="Arial" w:cs="Arial" w:eastAsia="Arial" w:hAnsi="Arial"/>
                <w:sz w:val="18"/>
                <w:szCs w:val="18"/>
                <w:color w:val="auto"/>
                <w:w w:val="93"/>
              </w:rPr>
              <w:t>Contingent consideration earned during the period but not yet paid</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(18,570)</w:t>
            </w:r>
          </w:p>
        </w:tc>
        <w:tc>
          <w:tcPr>
            <w:tcW w:w="0" w:type="dxa"/>
            <w:vAlign w:val="bottom"/>
          </w:tcPr>
          <w:p>
            <w:pPr>
              <w:spacing w:after="0"/>
              <w:rPr>
                <w:sz w:val="1"/>
                <w:szCs w:val="1"/>
                <w:color w:val="auto"/>
              </w:rPr>
            </w:pPr>
          </w:p>
        </w:tc>
      </w:tr>
      <w:tr>
        <w:trPr>
          <w:trHeight w:val="226"/>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14,570</w:t>
            </w:r>
          </w:p>
        </w:tc>
        <w:tc>
          <w:tcPr>
            <w:tcW w:w="0" w:type="dxa"/>
            <w:vAlign w:val="bottom"/>
          </w:tcPr>
          <w:p>
            <w:pPr>
              <w:spacing w:after="0"/>
              <w:rPr>
                <w:sz w:val="1"/>
                <w:szCs w:val="1"/>
                <w:color w:val="auto"/>
              </w:rPr>
            </w:pPr>
          </w:p>
        </w:tc>
      </w:tr>
      <w:tr>
        <w:trPr>
          <w:trHeight w:val="232"/>
        </w:trPr>
        <w:tc>
          <w:tcPr>
            <w:tcW w:w="5000" w:type="dxa"/>
            <w:vAlign w:val="bottom"/>
          </w:tcPr>
          <w:p>
            <w:pPr>
              <w:ind w:left="20"/>
              <w:spacing w:after="0"/>
              <w:rPr>
                <w:sz w:val="20"/>
                <w:szCs w:val="20"/>
                <w:color w:val="auto"/>
              </w:rPr>
            </w:pPr>
            <w:r>
              <w:rPr>
                <w:rFonts w:ascii="Arial" w:cs="Arial" w:eastAsia="Arial" w:hAnsi="Arial"/>
                <w:sz w:val="18"/>
                <w:szCs w:val="18"/>
                <w:color w:val="auto"/>
              </w:rPr>
              <w:t>Balance at June 30,</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217,000</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17"/>
          <w:szCs w:val="17"/>
          <w:color w:val="auto"/>
        </w:rPr>
        <w:t>The initial fair value of the contingent consideration was determined on the date of acquisition, June 1, 2016, using an income approach based on projected future net revenues of ICLUSIG in the European Union and other countries for the approved third line treatment over 18 years, and discounted to present value at a rate of 10%. The fair value of the contingent consideration is remeasured each reporting period, with changes in fair value recorded in the condensed consolidated statements of operations. The valuation inputs utilized to estimate the fair value of the contingent consideration as of June 30, 2023 and December 31, 2022 included a discount rate of 10% and updated projections of future net revenues of ICLUSIG in the European Union and other countries for the approved third line treatment. The loss on change in fair value of the contingent consideration during the three and six months ended June 30, 2023 was due primarily to the passage of time.</w:t>
      </w:r>
    </w:p>
    <w:p>
      <w:pPr>
        <w:spacing w:after="0" w:line="185"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We generally make payments to Takeda Pharmaceutical Company Limited quarterly based on the royalties or any additional milestone payments earned in the previous quarter. At June 30, 2023 and December 31, 2022, contingent consideration earned but not yet paid was $18.6 million and $9.3 million, respectively, and was included in accrued and other current liabilities.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Concentration of Credit Risk and Current Expected Credit Losses</w:t>
      </w:r>
    </w:p>
    <w:p>
      <w:pPr>
        <w:spacing w:after="0" w:line="223"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In November 2009, we entered into a collaboration and license agreement with Novartis Pharmaceutical International Ltd. (“Novartis”). In December 2009, we entered into a license, development and commercialization agreement with Eli Lilly and Company (“Lilly”). The above collaboration partners comprised, in aggregate, 20% and 20% of the accounts receivable balance as of June 30, 2023 and December 31, 2022, respectively. For further information relating to these collaboration and license agreements, refer to Note 7.</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77" w:lineRule="auto"/>
        <w:rPr>
          <w:sz w:val="20"/>
          <w:szCs w:val="20"/>
          <w:color w:val="auto"/>
        </w:rPr>
      </w:pPr>
      <w:r>
        <w:rPr>
          <w:rFonts w:ascii="Arial" w:cs="Arial" w:eastAsia="Arial" w:hAnsi="Arial"/>
          <w:sz w:val="17"/>
          <w:szCs w:val="17"/>
          <w:color w:val="auto"/>
        </w:rPr>
        <w:t>In November 2011, we began commercialization and distribution of JAKAFI, in April 2020, we began commercialization and distribution of PEMAZYRE, and in October 2021, we began commercialization and distribution of OPZELURA. Our product revenues are concentrated in a number of these customers. The concentration of credit risk related to our JAKAFI, PEMAZYRE and OPZELURA product revenues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80" w:type="dxa"/>
            <w:vAlign w:val="bottom"/>
          </w:tcPr>
          <w:p>
            <w:pPr>
              <w:spacing w:after="0"/>
              <w:rPr>
                <w:sz w:val="14"/>
                <w:szCs w:val="14"/>
                <w:color w:val="auto"/>
              </w:rPr>
            </w:pPr>
          </w:p>
        </w:tc>
        <w:tc>
          <w:tcPr>
            <w:tcW w:w="2680" w:type="dxa"/>
            <w:vAlign w:val="bottom"/>
            <w:gridSpan w:val="4"/>
          </w:tcPr>
          <w:p>
            <w:pPr>
              <w:jc w:val="center"/>
              <w:ind w:left="449"/>
              <w:spacing w:after="0"/>
              <w:rPr>
                <w:sz w:val="20"/>
                <w:szCs w:val="20"/>
                <w:color w:val="auto"/>
              </w:rPr>
            </w:pPr>
            <w:r>
              <w:rPr>
                <w:rFonts w:ascii="Arial" w:cs="Arial" w:eastAsia="Arial" w:hAnsi="Arial"/>
                <w:sz w:val="14"/>
                <w:szCs w:val="14"/>
                <w:b w:val="1"/>
                <w:bCs w:val="1"/>
                <w:color w:val="auto"/>
                <w:w w:val="89"/>
              </w:rPr>
              <w:t>Percentage of Total Net</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Percentage of Total Net</w:t>
            </w:r>
          </w:p>
        </w:tc>
      </w:tr>
      <w:tr>
        <w:trPr>
          <w:trHeight w:val="172"/>
        </w:trPr>
        <w:tc>
          <w:tcPr>
            <w:tcW w:w="4780" w:type="dxa"/>
            <w:vAlign w:val="bottom"/>
          </w:tcPr>
          <w:p>
            <w:pPr>
              <w:spacing w:after="0"/>
              <w:rPr>
                <w:sz w:val="14"/>
                <w:szCs w:val="14"/>
                <w:color w:val="auto"/>
              </w:rPr>
            </w:pPr>
          </w:p>
        </w:tc>
        <w:tc>
          <w:tcPr>
            <w:tcW w:w="2680" w:type="dxa"/>
            <w:vAlign w:val="bottom"/>
            <w:gridSpan w:val="4"/>
          </w:tcPr>
          <w:p>
            <w:pPr>
              <w:jc w:val="center"/>
              <w:ind w:left="449"/>
              <w:spacing w:after="0"/>
              <w:rPr>
                <w:sz w:val="20"/>
                <w:szCs w:val="20"/>
                <w:color w:val="auto"/>
              </w:rPr>
            </w:pPr>
            <w:r>
              <w:rPr>
                <w:rFonts w:ascii="Arial" w:cs="Arial" w:eastAsia="Arial" w:hAnsi="Arial"/>
                <w:sz w:val="14"/>
                <w:szCs w:val="14"/>
                <w:b w:val="1"/>
                <w:bCs w:val="1"/>
                <w:color w:val="auto"/>
                <w:w w:val="89"/>
              </w:rPr>
              <w:t>Product Revenues for the</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Product Revenues for the</w:t>
            </w:r>
          </w:p>
        </w:tc>
      </w:tr>
      <w:tr>
        <w:trPr>
          <w:trHeight w:val="184"/>
        </w:trPr>
        <w:tc>
          <w:tcPr>
            <w:tcW w:w="4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40" w:type="dxa"/>
            <w:vAlign w:val="bottom"/>
            <w:gridSpan w:val="3"/>
          </w:tcPr>
          <w:p>
            <w:pPr>
              <w:jc w:val="center"/>
              <w:ind w:right="349"/>
              <w:spacing w:after="0"/>
              <w:rPr>
                <w:sz w:val="20"/>
                <w:szCs w:val="20"/>
                <w:color w:val="auto"/>
              </w:rPr>
            </w:pPr>
            <w:r>
              <w:rPr>
                <w:rFonts w:ascii="Arial" w:cs="Arial" w:eastAsia="Arial" w:hAnsi="Arial"/>
                <w:sz w:val="14"/>
                <w:szCs w:val="14"/>
                <w:b w:val="1"/>
                <w:bCs w:val="1"/>
                <w:color w:val="auto"/>
                <w:w w:val="92"/>
              </w:rPr>
              <w:t>Three Months Ended</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3"/>
          </w:tcPr>
          <w:p>
            <w:pPr>
              <w:jc w:val="center"/>
              <w:ind w:left="909"/>
              <w:spacing w:after="0"/>
              <w:rPr>
                <w:sz w:val="20"/>
                <w:szCs w:val="20"/>
                <w:color w:val="auto"/>
              </w:rPr>
            </w:pPr>
            <w:r>
              <w:rPr>
                <w:rFonts w:ascii="Arial" w:cs="Arial" w:eastAsia="Arial" w:hAnsi="Arial"/>
                <w:sz w:val="14"/>
                <w:szCs w:val="14"/>
                <w:b w:val="1"/>
                <w:bCs w:val="1"/>
                <w:color w:val="auto"/>
                <w:w w:val="92"/>
              </w:rPr>
              <w:t>Six Months Ended</w:t>
            </w:r>
          </w:p>
        </w:tc>
        <w:tc>
          <w:tcPr>
            <w:tcW w:w="960" w:type="dxa"/>
            <w:vAlign w:val="bottom"/>
          </w:tcPr>
          <w:p>
            <w:pPr>
              <w:spacing w:after="0"/>
              <w:rPr>
                <w:sz w:val="15"/>
                <w:szCs w:val="15"/>
                <w:color w:val="auto"/>
              </w:rPr>
            </w:pPr>
          </w:p>
        </w:tc>
      </w:tr>
      <w:tr>
        <w:trPr>
          <w:trHeight w:val="24"/>
        </w:trPr>
        <w:tc>
          <w:tcPr>
            <w:tcW w:w="47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5"/>
        </w:trPr>
        <w:tc>
          <w:tcPr>
            <w:tcW w:w="47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right="349"/>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Borders>
              <w:bottom w:val="single" w:sz="8" w:color="auto"/>
            </w:tcBorders>
            <w:gridSpan w:val="3"/>
          </w:tcPr>
          <w:p>
            <w:pPr>
              <w:jc w:val="center"/>
              <w:ind w:left="889"/>
              <w:spacing w:after="0"/>
              <w:rPr>
                <w:sz w:val="20"/>
                <w:szCs w:val="20"/>
                <w:color w:val="auto"/>
              </w:rPr>
            </w:pPr>
            <w:r>
              <w:rPr>
                <w:rFonts w:ascii="Arial" w:cs="Arial" w:eastAsia="Arial" w:hAnsi="Arial"/>
                <w:sz w:val="14"/>
                <w:szCs w:val="14"/>
                <w:b w:val="1"/>
                <w:bCs w:val="1"/>
                <w:color w:val="auto"/>
                <w:w w:val="89"/>
              </w:rPr>
              <w:t>June 30,</w:t>
            </w:r>
          </w:p>
        </w:tc>
        <w:tc>
          <w:tcPr>
            <w:tcW w:w="960" w:type="dxa"/>
            <w:vAlign w:val="bottom"/>
            <w:tcBorders>
              <w:bottom w:val="single" w:sz="8" w:color="auto"/>
            </w:tcBorders>
          </w:tcPr>
          <w:p>
            <w:pPr>
              <w:spacing w:after="0"/>
              <w:rPr>
                <w:sz w:val="16"/>
                <w:szCs w:val="16"/>
                <w:color w:val="auto"/>
              </w:rPr>
            </w:pPr>
          </w:p>
        </w:tc>
      </w:tr>
      <w:tr>
        <w:trPr>
          <w:trHeight w:val="192"/>
        </w:trPr>
        <w:tc>
          <w:tcPr>
            <w:tcW w:w="47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r>
      <w:tr>
        <w:trPr>
          <w:trHeight w:val="225"/>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Customer A</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25"/>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Customer B</w:t>
            </w:r>
          </w:p>
        </w:tc>
        <w:tc>
          <w:tcPr>
            <w:tcW w:w="600" w:type="dxa"/>
            <w:vAlign w:val="bottom"/>
          </w:tcPr>
          <w:p>
            <w:pPr>
              <w:jc w:val="right"/>
              <w:spacing w:after="0"/>
              <w:rPr>
                <w:sz w:val="20"/>
                <w:szCs w:val="20"/>
                <w:color w:val="auto"/>
              </w:rPr>
            </w:pPr>
            <w:r>
              <w:rPr>
                <w:rFonts w:ascii="Arial" w:cs="Arial" w:eastAsia="Arial" w:hAnsi="Arial"/>
                <w:sz w:val="18"/>
                <w:szCs w:val="18"/>
                <w:color w:val="auto"/>
              </w:rPr>
              <w:t>9 %</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12 %</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39"/>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Customer C</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25"/>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Customer D</w:t>
            </w:r>
          </w:p>
        </w:tc>
        <w:tc>
          <w:tcPr>
            <w:tcW w:w="600" w:type="dxa"/>
            <w:vAlign w:val="bottom"/>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10 %</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26"/>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Customer 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r>
    </w:tbl>
    <w:p>
      <w:pPr>
        <w:spacing w:after="0" w:line="292"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We are exposed to risks associated with extending credit to customers related to the sale of products. Customers A, B, C, D, and E comprised, in aggregate, 35% and 41% of the accounts receivable balance as of June 30, 2023 and December 31, 2022, respectively. The concentration of credit risk relating to our other product revenues or accounts receivable is not significant.</w:t>
      </w:r>
    </w:p>
    <w:p>
      <w:pPr>
        <w:spacing w:after="0" w:line="188" w:lineRule="exact"/>
        <w:rPr>
          <w:sz w:val="20"/>
          <w:szCs w:val="20"/>
          <w:color w:val="auto"/>
        </w:rPr>
      </w:pPr>
    </w:p>
    <w:p>
      <w:pPr>
        <w:jc w:val="both"/>
        <w:ind w:firstLine="636"/>
        <w:spacing w:after="0" w:line="330" w:lineRule="auto"/>
        <w:rPr>
          <w:sz w:val="20"/>
          <w:szCs w:val="20"/>
          <w:color w:val="auto"/>
        </w:rPr>
      </w:pPr>
      <w:r>
        <w:rPr>
          <w:rFonts w:ascii="Arial" w:cs="Arial" w:eastAsia="Arial" w:hAnsi="Arial"/>
          <w:sz w:val="15"/>
          <w:szCs w:val="15"/>
          <w:color w:val="auto"/>
        </w:rPr>
        <w:t>We assessed our collaborative and customer receivable assets as of June 30, 2023 according to our accounting policy for applying reserves for expected credit losses, noting minimal history of uncollectible receivables and the continued perceived creditworthiness of our third party sales relationships, upon which the expected credit losses were considered de minimis. As of June 30, 2023 and December 31, 2022, we had no allowance for doubtful accounts.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Inventory</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inventory balance consists of the following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right"/>
              <w:ind w:right="418"/>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258"/>
              <w:spacing w:after="0"/>
              <w:rPr>
                <w:sz w:val="20"/>
                <w:szCs w:val="20"/>
                <w:color w:val="auto"/>
              </w:rPr>
            </w:pPr>
            <w:r>
              <w:rPr>
                <w:rFonts w:ascii="Arial" w:cs="Arial" w:eastAsia="Arial" w:hAnsi="Arial"/>
                <w:sz w:val="14"/>
                <w:szCs w:val="14"/>
                <w:b w:val="1"/>
                <w:bCs w:val="1"/>
                <w:color w:val="auto"/>
                <w:w w:val="98"/>
              </w:rPr>
              <w:t>December 31,</w:t>
            </w:r>
          </w:p>
        </w:tc>
      </w:tr>
      <w:tr>
        <w:trPr>
          <w:trHeight w:val="189"/>
        </w:trPr>
        <w:tc>
          <w:tcPr>
            <w:tcW w:w="8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2022</w:t>
            </w:r>
          </w:p>
        </w:tc>
      </w:tr>
      <w:tr>
        <w:trPr>
          <w:trHeight w:val="237"/>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31,874</w:t>
            </w:r>
          </w:p>
        </w:tc>
      </w:tr>
      <w:tr>
        <w:trPr>
          <w:trHeight w:val="225"/>
        </w:trPr>
        <w:tc>
          <w:tcPr>
            <w:tcW w:w="816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122,971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54,455</w:t>
            </w:r>
          </w:p>
        </w:tc>
      </w:tr>
      <w:tr>
        <w:trPr>
          <w:trHeight w:val="225"/>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34,630</w:t>
            </w:r>
          </w:p>
        </w:tc>
      </w:tr>
      <w:tr>
        <w:trPr>
          <w:trHeight w:val="232"/>
        </w:trPr>
        <w:tc>
          <w:tcPr>
            <w:tcW w:w="8160" w:type="dxa"/>
            <w:vAlign w:val="bottom"/>
          </w:tcPr>
          <w:p>
            <w:pPr>
              <w:ind w:left="20"/>
              <w:spacing w:after="0"/>
              <w:rPr>
                <w:sz w:val="20"/>
                <w:szCs w:val="20"/>
                <w:color w:val="auto"/>
              </w:rPr>
            </w:pPr>
            <w:r>
              <w:rPr>
                <w:rFonts w:ascii="Arial" w:cs="Arial" w:eastAsia="Arial" w:hAnsi="Arial"/>
                <w:sz w:val="18"/>
                <w:szCs w:val="18"/>
                <w:color w:val="auto"/>
              </w:rPr>
              <w:t>Total inventory</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177,985</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120,959</w:t>
            </w:r>
          </w:p>
        </w:tc>
      </w:tr>
      <w:tr>
        <w:trPr>
          <w:trHeight w:val="20"/>
        </w:trPr>
        <w:tc>
          <w:tcPr>
            <w:tcW w:w="8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636"/>
        <w:spacing w:after="0" w:line="248" w:lineRule="auto"/>
        <w:rPr>
          <w:sz w:val="20"/>
          <w:szCs w:val="20"/>
          <w:color w:val="auto"/>
        </w:rPr>
      </w:pPr>
      <w:r>
        <w:rPr>
          <w:rFonts w:ascii="Arial" w:cs="Arial" w:eastAsia="Arial" w:hAnsi="Arial"/>
          <w:sz w:val="18"/>
          <w:szCs w:val="18"/>
          <w:color w:val="auto"/>
        </w:rPr>
        <w:t>Inventories, stated at the lower of cost and net realizable value, consist of raw materials, work in process and finished goods. At June 30, 2023, $35.9 million of inventory was classified as current on the condensed consolidated balance sheet as we expect this inventory to be consumed for commercial use within the next twelve months. At June 30, 2023, $142.0 million of inventory was classified as non-current on the condensed consolidated balance sheet as we did not expect this inventory to be consumed for commercial use within the next twelve months. We obtain some inventory components from a limited number of suppliers due to technology, availability, price, quality or other considerations. The loss of a supplier, the deterioration of our relationship with a supplier, or any unilateral violation of the contractual terms under which we are supplied components by a supplier could adversely affect our total revenues and gross margins.</w:t>
      </w:r>
    </w:p>
    <w:p>
      <w:pPr>
        <w:spacing w:after="0" w:line="199" w:lineRule="exact"/>
        <w:rPr>
          <w:sz w:val="20"/>
          <w:szCs w:val="20"/>
          <w:color w:val="auto"/>
        </w:rPr>
      </w:pPr>
    </w:p>
    <w:p>
      <w:pPr>
        <w:jc w:val="both"/>
        <w:ind w:firstLine="636"/>
        <w:spacing w:after="0" w:line="318" w:lineRule="auto"/>
        <w:rPr>
          <w:sz w:val="20"/>
          <w:szCs w:val="20"/>
          <w:color w:val="auto"/>
        </w:rPr>
      </w:pPr>
      <w:r>
        <w:rPr>
          <w:rFonts w:ascii="Arial" w:cs="Arial" w:eastAsia="Arial" w:hAnsi="Arial"/>
          <w:sz w:val="15"/>
          <w:szCs w:val="15"/>
          <w:color w:val="auto"/>
        </w:rPr>
        <w:t>We capitalize inventory after regulatory approval as the related costs are expected to be recoverable through the commercialization of the product. Costs incurred prior to regulatory approval are recorded as research and development expense in our statements of operations. At June 30, 2023, inventory with approximately $32.6 million of product costs incurred prior to regulatory approval had not yet been sold. We expect to sell the pre-commercialization inventory over the next 12 to 18 months and, as a result, cost of product revenues will reflect a lower average per unit cost of materials.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License Agreements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Novartis</w:t>
      </w:r>
    </w:p>
    <w:p>
      <w:pPr>
        <w:spacing w:after="0" w:line="217" w:lineRule="exact"/>
        <w:rPr>
          <w:sz w:val="20"/>
          <w:szCs w:val="20"/>
          <w:color w:val="auto"/>
        </w:rPr>
      </w:pPr>
    </w:p>
    <w:p>
      <w:pPr>
        <w:jc w:val="both"/>
        <w:ind w:firstLine="636"/>
        <w:spacing w:after="0" w:line="312" w:lineRule="auto"/>
        <w:rPr>
          <w:sz w:val="20"/>
          <w:szCs w:val="20"/>
          <w:color w:val="auto"/>
        </w:rPr>
      </w:pPr>
      <w:r>
        <w:rPr>
          <w:rFonts w:ascii="Arial" w:cs="Arial" w:eastAsia="Arial" w:hAnsi="Arial"/>
          <w:sz w:val="15"/>
          <w:szCs w:val="15"/>
          <w:color w:val="auto"/>
        </w:rPr>
        <w:t>In November 2009, we entered into a Collaboration and License Agreement with Novartis. Under the terms of the agreement, Novartis received exclusive development and commercialization rights outside of the United States to our JAK inhibitor ruxolitinib and certain back-up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back-up compounds in all indications.</w:t>
      </w:r>
    </w:p>
    <w:p>
      <w:pPr>
        <w:spacing w:after="0" w:line="151" w:lineRule="exact"/>
        <w:rPr>
          <w:sz w:val="20"/>
          <w:szCs w:val="20"/>
          <w:color w:val="auto"/>
        </w:rPr>
      </w:pPr>
    </w:p>
    <w:p>
      <w:pPr>
        <w:jc w:val="both"/>
        <w:ind w:firstLine="636"/>
        <w:spacing w:after="0" w:line="268" w:lineRule="auto"/>
        <w:rPr>
          <w:sz w:val="20"/>
          <w:szCs w:val="20"/>
          <w:color w:val="auto"/>
        </w:rPr>
      </w:pPr>
      <w:r>
        <w:rPr>
          <w:rFonts w:ascii="Arial" w:cs="Arial" w:eastAsia="Arial" w:hAnsi="Arial"/>
          <w:sz w:val="17"/>
          <w:szCs w:val="17"/>
          <w:color w:val="auto"/>
        </w:rPr>
        <w:t>Under this agreement, we were initially eligible to receive up to $174.0 million for the achievement of development milestones, up to $495.0 million for the achievement of regulatory milestones and up to $500.0 million for the achievement of sales milestones. In addition, we are eligible to receive up to $75.0 million of additional potential development and regulatory milestones relating to graft-versus-host-disease (“GVHD”). Since the inception of the agreement through June 30, 2023, we have recognized and received, in the aggregate, $157.0 million for the achievement of development milestones, $340.0 million for the achievement of regulatory milestones, and $200.0 million for the achievement of sales milestones.</w:t>
      </w:r>
    </w:p>
    <w:p>
      <w:pPr>
        <w:spacing w:after="0" w:line="181" w:lineRule="exact"/>
        <w:rPr>
          <w:sz w:val="20"/>
          <w:szCs w:val="20"/>
          <w:color w:val="auto"/>
        </w:rPr>
      </w:pPr>
    </w:p>
    <w:p>
      <w:pPr>
        <w:jc w:val="both"/>
        <w:ind w:firstLine="636"/>
        <w:spacing w:after="0" w:line="302" w:lineRule="auto"/>
        <w:rPr>
          <w:sz w:val="20"/>
          <w:szCs w:val="20"/>
          <w:color w:val="auto"/>
        </w:rPr>
      </w:pPr>
      <w:r>
        <w:rPr>
          <w:rFonts w:ascii="Arial" w:cs="Arial" w:eastAsia="Arial" w:hAnsi="Arial"/>
          <w:sz w:val="15"/>
          <w:szCs w:val="15"/>
          <w:color w:val="auto"/>
        </w:rPr>
        <w:t>We also are eligible to receive tiered, double-digit royalties ranging from the upper-teens to the mid-twenties on future JAKAVI net sales outside of the United States, and tiered, worldwide royalties on TABRECTA net sales that range from 12% to 14%. We are obligated to pay to Novartis tiered royalties in the low single-digits on future JAKAFI net sales within the United States contingent on certain conditions. During the three and six months ended June 30, 2023, such royalties on net sales within the United States totaled $33.5 million and $56.9 million, respectively, and were reflected in cost of product revenues on the condensed consolidated statements of operations. During the three and six months ended June 30, 2022, such royalties on net sales within the United States totaled $29.3 million and $51.0 million, respectively, and were reflected in cost of product revenues on the condensed consolidated statements of operations. At June 30, 2023 and December 31, 2022, $310.3 million and $253.5 million, respectively, of accrued royalties were included in accrued and other current liabilities on the condensed consolidated balance sheets, payment of which is dependent on the outcome of a contract dispute with Novartis. Each company is responsible for costs relating to the development and commercialization of ruxolitinib in its respective territories, with costs of collaborative studies shared equally. Novartis is also responsible for all costs relating to the development and commercialization of capmatinib.</w:t>
      </w:r>
    </w:p>
    <w:p>
      <w:pPr>
        <w:spacing w:after="0" w:line="162"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17"/>
          <w:szCs w:val="17"/>
          <w:color w:val="auto"/>
        </w:rPr>
        <w:t>We had no milestone and contract revenue under the Novartis agreement for the three and six months ended June 30, 2023. Milestone and contract revenue under the Novartis agreement was $60.0 million for both the three and six months ended June 30, 2022. Product royalty revenue related to Novartis net sales of JAKAVI outside of the United States for the three and six months ended June 30, 2023 was $90.4 million and $167.1 million, respectively. Product royalty revenue related to Novartis net sales of JAKAVI outside of the United States for the three and six months ended June 30, 2022 was $83.7 million and $154.6 million, respectively. Product royalty revenue related to Novartis net sales of TABRECTA worldwide for the three and six months ended June 30, 2023 was $4.8 million and $9.0 million, respectively. Product royalty revenue related to Novartis net sales of TABRECTA worldwide for the three and six months ended June 30, 2022 was $3.6 million and $7.1 million,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Lilly – Baricitinib</w:t>
      </w:r>
    </w:p>
    <w:p>
      <w:pPr>
        <w:spacing w:after="0" w:line="217"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In December 2009, we entered into a License, Development and Commercialization Agreement with Lilly. Under the terms of the agreement, Lilly received exclusive worldwide development and commercialization rights to our JAK inhibitor baricitinib, and certain back-up compounds for inflammatory and autoimmune diseases.</w:t>
      </w:r>
    </w:p>
    <w:p>
      <w:pPr>
        <w:spacing w:after="0" w:line="188" w:lineRule="exact"/>
        <w:rPr>
          <w:sz w:val="20"/>
          <w:szCs w:val="20"/>
          <w:color w:val="auto"/>
        </w:rPr>
      </w:pPr>
    </w:p>
    <w:p>
      <w:pPr>
        <w:jc w:val="both"/>
        <w:ind w:firstLine="636"/>
        <w:spacing w:after="0" w:line="268" w:lineRule="auto"/>
        <w:rPr>
          <w:sz w:val="20"/>
          <w:szCs w:val="20"/>
          <w:color w:val="auto"/>
        </w:rPr>
      </w:pPr>
      <w:r>
        <w:rPr>
          <w:rFonts w:ascii="Arial" w:cs="Arial" w:eastAsia="Arial" w:hAnsi="Arial"/>
          <w:sz w:val="17"/>
          <w:szCs w:val="17"/>
          <w:color w:val="auto"/>
        </w:rPr>
        <w:t>Under this agreement, we were initially eligible to receive up to $150.0 million for the achievement of development milestones, up to $365.0 million for the achievement of regulatory milestones and up to $150.0 million for the achievement of sales milestones. Since the inception of the agreement through June 30, 2023, we have recognized and received, in aggregate, $149.0 million for the achievement of development milestones, $335.0 million for the achievement of regulatory milestones and $50.0 million for the achievement of sales milestones. We are also eligible to receive tiered, double-digit royalties on future global sales with rates ranging up to the mid-twenties if a product is successfully commercialized.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77" w:lineRule="auto"/>
        <w:rPr>
          <w:sz w:val="20"/>
          <w:szCs w:val="20"/>
          <w:color w:val="auto"/>
        </w:rPr>
      </w:pPr>
      <w:r>
        <w:rPr>
          <w:rFonts w:ascii="Arial" w:cs="Arial" w:eastAsia="Arial" w:hAnsi="Arial"/>
          <w:sz w:val="17"/>
          <w:szCs w:val="17"/>
          <w:color w:val="auto"/>
        </w:rPr>
        <w:t>In May 2020, we amended our agreement with Lilly to enable Lilly to develop and commercialize baricitinib for the treatment of COVID-19. As part of the amended agreement, in addition to the royalties described above, we will be entitled to receive additional royalty payments with rates in the low teens on global net sales of baricitinib for the treatment of COVID-19 that exceed a specified aggregate global net sales threshold.</w:t>
      </w:r>
    </w:p>
    <w:p>
      <w:pPr>
        <w:spacing w:after="0" w:line="171"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We had no milestone and contract revenue under the Lilly agreement for the three and six months ended June 30, 2023. Milestone and contract revenue under the Lilly agreement was $70.0 million for both the three and six months ended June 30, 2022. Product royalty revenue related to Lilly net sales of OLUMIANT outside of the United States for the three and six months ended June 30, 2023 was $32.0 million and $66.2 million, respectively. Product royalty revenue related to Lilly net sales of OLUMIANT outside of the United States for the three and six months ended June 30, 2022 was $30.3 million and $78.3 million,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Lilly - Ruxolitinib</w:t>
      </w:r>
    </w:p>
    <w:p>
      <w:pPr>
        <w:spacing w:after="0" w:line="217" w:lineRule="exact"/>
        <w:rPr>
          <w:sz w:val="20"/>
          <w:szCs w:val="20"/>
          <w:color w:val="auto"/>
        </w:rPr>
      </w:pPr>
    </w:p>
    <w:p>
      <w:pPr>
        <w:jc w:val="both"/>
        <w:ind w:firstLine="636"/>
        <w:spacing w:after="0" w:line="267" w:lineRule="auto"/>
        <w:rPr>
          <w:sz w:val="20"/>
          <w:szCs w:val="20"/>
          <w:color w:val="auto"/>
        </w:rPr>
      </w:pPr>
      <w:r>
        <w:rPr>
          <w:rFonts w:ascii="Arial" w:cs="Arial" w:eastAsia="Arial" w:hAnsi="Arial"/>
          <w:sz w:val="17"/>
          <w:szCs w:val="17"/>
          <w:color w:val="auto"/>
        </w:rPr>
        <w:t>In March 2016, we entered into an amendment to the agreement with Lilly that amended the non-compete provision of the agreement to allow us to engage in the development and commercialization of ruxolitinib in the GVHD field. Lilly was eligible to receive up to $40.0 million in regulatory milestone payments relating to ruxolitinib in the GVHD field. In May 2019, the approval of JAKAFI in steroid-refractory acute GVHD triggered a $20.0 million milestone payment to Lilly. In March 2022, the positive recommendation from the European Medicines Agency for regulatory approval of ruxolitinib in the GVHD field triggered an additional $20.0 million milestone payment to Lilly, which was recorded as research and development expense in our condensed consolidated statements of operations for the three months ended March 31, 2022.</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Agenus</w:t>
      </w:r>
    </w:p>
    <w:p>
      <w:pPr>
        <w:spacing w:after="0" w:line="217" w:lineRule="exact"/>
        <w:rPr>
          <w:sz w:val="20"/>
          <w:szCs w:val="20"/>
          <w:color w:val="auto"/>
        </w:rPr>
      </w:pPr>
    </w:p>
    <w:p>
      <w:pPr>
        <w:jc w:val="both"/>
        <w:ind w:firstLine="636"/>
        <w:spacing w:after="0" w:line="302" w:lineRule="auto"/>
        <w:rPr>
          <w:sz w:val="20"/>
          <w:szCs w:val="20"/>
          <w:color w:val="auto"/>
        </w:rPr>
      </w:pPr>
      <w:r>
        <w:rPr>
          <w:rFonts w:ascii="Arial" w:cs="Arial" w:eastAsia="Arial" w:hAnsi="Arial"/>
          <w:sz w:val="15"/>
          <w:szCs w:val="15"/>
          <w:color w:val="auto"/>
        </w:rPr>
        <w:t>In January 2015, we entered into a License, Development and Commercialization Agreement with Agenus Inc. and its wholly-owned subsidiary, 4-Antibody AG (now known as Agenus Switzerland Inc.), which we collectively refer to as Agenus. Under this agreement, which was amended in February 2017, the parties have agreed to collaborate on the discovery of novel immuno-therapeutics using Agenus’ antibody discovery platforms. Under the terms of the amended agreement, we received exclusive worldwide development and commercialization rights to four checkpoint modulators directed against GITR, OX40, LAG-3 and TIM-3 as well as two undisclosed targets. Targets may be designated profit-share programs, where all costs and profits are shared equally by us and Agenus, or royalty-bearing programs, where we are responsible for all costs associated with discovery, preclinical, clinical development and commercialization activities. There are currently no profit-share programs. For each royalty-bearing product other than GITR and one undisclosed target, Agenus will be eligible to receive tiered royalties on global net sales ranging from 6% to 12%. For GITR and one undisclosed target, Agenus will be eligible to receive 15% royalties on global net sales. The agreement may be terminated by us for convenience upon 12 months’ notice and may also be terminated under certain other circumstances, including material breach. On October 19, 2022 we notified Agenus that we were terminating the OX40 project.</w:t>
      </w:r>
    </w:p>
    <w:p>
      <w:pPr>
        <w:spacing w:after="0" w:line="162" w:lineRule="exact"/>
        <w:rPr>
          <w:sz w:val="20"/>
          <w:szCs w:val="20"/>
          <w:color w:val="auto"/>
        </w:rPr>
      </w:pPr>
    </w:p>
    <w:p>
      <w:pPr>
        <w:jc w:val="both"/>
        <w:ind w:firstLine="636"/>
        <w:spacing w:after="0" w:line="365" w:lineRule="auto"/>
        <w:rPr>
          <w:sz w:val="20"/>
          <w:szCs w:val="20"/>
          <w:color w:val="auto"/>
        </w:rPr>
      </w:pPr>
      <w:r>
        <w:rPr>
          <w:rFonts w:ascii="Arial" w:cs="Arial" w:eastAsia="Arial" w:hAnsi="Arial"/>
          <w:sz w:val="15"/>
          <w:szCs w:val="15"/>
          <w:color w:val="auto"/>
        </w:rPr>
        <w:t>Since the inception of the agreement through June 30, 2023, we have paid Agenus milestones totaling $30.0 million, and Agenus is eligible to receive up to an additional $500.0 million in future contingent development, regulatory and commercialization milestones across all programs in the collaboration.</w:t>
      </w:r>
    </w:p>
    <w:p>
      <w:pPr>
        <w:spacing w:after="0" w:line="111" w:lineRule="exact"/>
        <w:rPr>
          <w:sz w:val="20"/>
          <w:szCs w:val="20"/>
          <w:color w:val="auto"/>
        </w:rPr>
      </w:pPr>
    </w:p>
    <w:p>
      <w:pPr>
        <w:jc w:val="both"/>
        <w:ind w:firstLine="636"/>
        <w:spacing w:after="0" w:line="312" w:lineRule="auto"/>
        <w:rPr>
          <w:sz w:val="20"/>
          <w:szCs w:val="20"/>
          <w:color w:val="auto"/>
        </w:rPr>
      </w:pPr>
      <w:r>
        <w:rPr>
          <w:rFonts w:ascii="Arial" w:cs="Arial" w:eastAsia="Arial" w:hAnsi="Arial"/>
          <w:sz w:val="15"/>
          <w:szCs w:val="15"/>
          <w:color w:val="auto"/>
        </w:rPr>
        <w:t>As of June 30, 2023, we held an investment of approximately 12.1 million shares of Agenus Inc. common stock. The fair market value of our long term investment in Agenus Inc. at June 30, 2023 and December 31, 2022 was $19.3 million and $29.0 million, respectively. For the three and six months ended June 30, 2023, we recorded an unrealized gain of $0.9 million and an unrealized loss of $9.7 million, respectively, based on the change in fair value of Agenus Inc.’s common stock during the respective periods. For the three and six months ended June 30, 2022, we recorded an unrealized loss of $6.3 million and $15.4 million, respectively, based on the change in fair value of Agenus Inc.’s common stock during the respective periods.</w:t>
      </w:r>
    </w:p>
    <w:p>
      <w:pPr>
        <w:spacing w:after="0" w:line="151"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During May 2023, Agenus Inc. distributed a dividend of shares it owned of its publicly traded subsidiary MiNK Therapeutics' ("MiNK") common stock to shareholders who held Agenus Inc. shares. As a result, we acquired approximately 0.2 million shares of MiNK common stock. The fair market value of our long term investment in MiNK at June 30, 2023 was $0.4 million, and during the three months ended June 30, 2023, and we recorded an unrealized gain of $0.2 million based on the change in fair value of MiNK’s common stock during the period.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Merus</w:t>
      </w:r>
    </w:p>
    <w:p>
      <w:pPr>
        <w:spacing w:after="0" w:line="217"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In December 2016, we entered into a Collaboration and License Agreement with Merus N.V. (“Merus”). Under this agreement, the parties have agreed to collaborate with respect to the research, discovery and development of bispecific antibodies utilizing Merus’ technology platform. The collaboration encompasses up to ten independent programs.</w:t>
      </w:r>
    </w:p>
    <w:p>
      <w:pPr>
        <w:spacing w:after="0" w:line="188"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7"/>
          <w:szCs w:val="17"/>
          <w:color w:val="auto"/>
        </w:rPr>
        <w:t>In January 2022, we decided to opt-out of the continued development of MCLA-145, a bispecific antibody targeting PD-L1 and CD137. We continue to collaborate with Merus and leverage the Merus platform to develop a pipeline of novel agents, as we continue to hold worldwide exclusive development and commercialization rights to up to ten additional programs. Of these ten additional programs, Merus retained the option, subject to certain conditions, to co-fund development of up to two such programs. If Merus exercises its co-funding option for a program, Merus would be responsible for funding 35% of the associated future global development costs and, for certain of such programs, would be responsible for reimbursing us for certain development costs incurred prior to the option exercise. Merus will also have the right to participate in a specified proportion of detailing activities in the United States for one of those co-developed programs. All costs related to the co-funded collaboration programs are subject to joint research and development plans and overseen by a joint development committee, but we will have final determination as to such plans in cases of dispute. We will be responsible for all research, development and commercialization costs relating to all other programs.</w:t>
      </w:r>
    </w:p>
    <w:p>
      <w:pPr>
        <w:spacing w:after="0" w:line="185" w:lineRule="exact"/>
        <w:rPr>
          <w:sz w:val="20"/>
          <w:szCs w:val="20"/>
          <w:color w:val="auto"/>
        </w:rPr>
      </w:pPr>
    </w:p>
    <w:p>
      <w:pPr>
        <w:jc w:val="both"/>
        <w:ind w:firstLine="636"/>
        <w:spacing w:after="0" w:line="263" w:lineRule="auto"/>
        <w:rPr>
          <w:sz w:val="20"/>
          <w:szCs w:val="20"/>
          <w:color w:val="auto"/>
        </w:rPr>
      </w:pPr>
      <w:r>
        <w:rPr>
          <w:rFonts w:ascii="Arial" w:cs="Arial" w:eastAsia="Arial" w:hAnsi="Arial"/>
          <w:sz w:val="17"/>
          <w:szCs w:val="17"/>
          <w:color w:val="auto"/>
        </w:rPr>
        <w:t>For each program as to which Merus does not have commercialization or development co-funding rights, Merus is eligible to receive up to $100.0 million in future contingent development and regulatory milestones, and up to $250.0 million in commercialization milestones as well as tiered royalties ranging from 6% to 10% of global net sales. For each program as to which Merus exercises its option to co-fund development, Merus is eligible to receive a 50% share of profits (or sustain 50% of any losses) in the United States and be eligible to receive tiered royalties ranging from 6% to 10% of net sales of products outside of the United States. If Merus opts to cease co-funding a program as to which it exercised its co-development option, then Merus will no longer receive a share of profits in the United States but will be eligible to receive the same milestones from the co-funding termination date and the same tiered royalties described above with respect to programs where Merus does not have a right to co-fund development and, depending on the stage at which Merus chose to cease co-funding development costs, Merus will be eligible to receive additional royalties ranging up to 4% of net sales in the United States. In January 2023, we paid Merus a milestone of $2.5 million, which was recorded as research and development expense in our condensed consolidated statements of operations during the three months ended March 31, 2023. Since the inception of the agreement through June 30, 2023, we have paid and expensed Merus milestones totaling $5.5 million.</w:t>
      </w:r>
    </w:p>
    <w:p>
      <w:pPr>
        <w:spacing w:after="0" w:line="188" w:lineRule="exact"/>
        <w:rPr>
          <w:sz w:val="20"/>
          <w:szCs w:val="20"/>
          <w:color w:val="auto"/>
        </w:rPr>
      </w:pPr>
    </w:p>
    <w:p>
      <w:pPr>
        <w:jc w:val="both"/>
        <w:ind w:firstLine="636"/>
        <w:spacing w:after="0" w:line="268" w:lineRule="auto"/>
        <w:rPr>
          <w:sz w:val="20"/>
          <w:szCs w:val="20"/>
          <w:color w:val="auto"/>
        </w:rPr>
      </w:pPr>
      <w:r>
        <w:rPr>
          <w:rFonts w:ascii="Arial" w:cs="Arial" w:eastAsia="Arial" w:hAnsi="Arial"/>
          <w:sz w:val="17"/>
          <w:szCs w:val="17"/>
          <w:color w:val="auto"/>
        </w:rPr>
        <w:t>As of June 30, 2023, we held an investment of approximately 3.6 million common shares. The fair market value of our total long term investment in Merus at June 30, 2023 and December 31, 2022 was $93.5 million and $54.9 million, respectively. For the three and six months ended June 30, 2023, we recorded an unrealized gain of $28.2 million and $38.6 million, respectively, based on the change in fair value of Merus’ common shares during the respective periods. For the three and six months ended June 30, 2022, we recorded an unrealized loss of $13.5 million and $32.5 million, respectively, based on the change in fair value of Merus’ common shares during the respective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MacroGenics</w:t>
      </w:r>
    </w:p>
    <w:p>
      <w:pPr>
        <w:spacing w:after="0" w:line="217" w:lineRule="exact"/>
        <w:rPr>
          <w:sz w:val="20"/>
          <w:szCs w:val="20"/>
          <w:color w:val="auto"/>
        </w:rPr>
      </w:pPr>
    </w:p>
    <w:p>
      <w:pPr>
        <w:jc w:val="both"/>
        <w:ind w:firstLine="636"/>
        <w:spacing w:after="0" w:line="309" w:lineRule="auto"/>
        <w:rPr>
          <w:sz w:val="20"/>
          <w:szCs w:val="20"/>
          <w:color w:val="auto"/>
        </w:rPr>
      </w:pPr>
      <w:r>
        <w:rPr>
          <w:rFonts w:ascii="Arial" w:cs="Arial" w:eastAsia="Arial" w:hAnsi="Arial"/>
          <w:sz w:val="15"/>
          <w:szCs w:val="15"/>
          <w:color w:val="auto"/>
        </w:rPr>
        <w:t>In October 2017, we entered into a Global Collaboration and License Agreement with MacroGenics, Inc. (“MacroGenics”). Under this agreement, we received exclusive development and commercialization rights worldwide to MacroGenics’ INCMGA0012 (formerly MGA012), an investigational monoclonal antibody that inhibits PD-1. Except as set forth in the succeeding sentence, we have sole authority over and bear all costs and expenses in connection with the development and commercialization of INCMGA0012 in all indications, whether as a monotherapy or as part of a combination regimen. MacroGenics has retained the right to develop and commercialize, at its cost and expense, its pipeline assets in combination with INCMGA0012. In addition, MacroGenics has the right to manufacture a portion of both companies’ global clinical and commercial supply needs of INCMGA0012.</w:t>
      </w:r>
    </w:p>
    <w:p>
      <w:pPr>
        <w:spacing w:after="0" w:line="152" w:lineRule="exact"/>
        <w:rPr>
          <w:sz w:val="20"/>
          <w:szCs w:val="20"/>
          <w:color w:val="auto"/>
        </w:rPr>
      </w:pPr>
    </w:p>
    <w:p>
      <w:pPr>
        <w:jc w:val="both"/>
        <w:ind w:firstLine="636"/>
        <w:spacing w:after="0" w:line="312" w:lineRule="auto"/>
        <w:rPr>
          <w:sz w:val="20"/>
          <w:szCs w:val="20"/>
          <w:color w:val="auto"/>
        </w:rPr>
      </w:pPr>
      <w:r>
        <w:rPr>
          <w:rFonts w:ascii="Arial" w:cs="Arial" w:eastAsia="Arial" w:hAnsi="Arial"/>
          <w:sz w:val="15"/>
          <w:szCs w:val="15"/>
          <w:color w:val="auto"/>
        </w:rPr>
        <w:t>In July 2022, we amended our agreement with MacroGenics to reflect changes related to the payment of certain milestones and paid MacroGenics $30.0 million, which was previously recorded as research and development expense in our condensed consolidated statements of operations in the third quarter of 2022. In March 2023, we made a $15.0 million regulatory milestone payment to MacroGenics for the FDA approval of ZYNYZ for the treatment of adults with Merkel cell carcinoma. This milestone payment was capitalized as an intangible asset and included in Other intangible assets, net on the condensed consolidated balance sheet as of June 30, 2023, and is being amortized through cost of product revenues over the estimated useful life of 13.5 years.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330" w:lineRule="auto"/>
        <w:rPr>
          <w:sz w:val="20"/>
          <w:szCs w:val="20"/>
          <w:color w:val="auto"/>
        </w:rPr>
      </w:pPr>
      <w:r>
        <w:rPr>
          <w:rFonts w:ascii="Arial" w:cs="Arial" w:eastAsia="Arial" w:hAnsi="Arial"/>
          <w:sz w:val="15"/>
          <w:szCs w:val="15"/>
          <w:color w:val="auto"/>
        </w:rPr>
        <w:t>Since the inception of the agreement through June 30, 2023, we have paid MacroGenics developmental and regulatory milestones totaling $115.0 million. After the amendment and subsequent payments, MacroGenics will be eligible to receive up to an additional $320.0 million in future contingent development and regulatory milestones, and up to $330.0 million in sales milestones as well as tiered royalties ranging from 15% to 24% of global net sales.</w:t>
      </w:r>
    </w:p>
    <w:p>
      <w:pPr>
        <w:spacing w:after="0" w:line="137"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Research and development expenses for the three and six months ended June 30, 2023 also included $12.1 million and $29.9 million, respectively, of development costs incurred pursuant to the MacroGenics agreement. Research and development expenses for the three and six months ended June 30, 2022 also included $14.8 million and $28.3 million, respectively, of development costs incurred pursuant to the MacroGenics agreement. At June 30, 2023 and December 31, 2022, a total of $0.2 million and $2.9 million of such costs were included in accrued and other liabilities on the condensed consolidated balance sheets.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Syros</w:t>
      </w:r>
    </w:p>
    <w:p>
      <w:pPr>
        <w:spacing w:after="0" w:line="217"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17"/>
          <w:szCs w:val="17"/>
          <w:color w:val="auto"/>
        </w:rPr>
        <w:t>In January 2018, we entered into a Target Discovery, Research Collaboration and Option Agreement with Syros Pharmaceuticals, Inc. (“Syros”). Under this agreement, Syros will use its proprietary gene control platform to identify novel therapeutic targets with a focus in myeloproliferative neoplasms and we have received options to obtain exclusive worldwide rights to intellectual property resulting from the collaboration for up to seven validated targets. We will have exclusive worldwide rights to develop and commercialize any therapies under the collaboration that modulate those validated targets. We have agreed to pay Syros up to $54.0 million in target selection and option exercise fees should we decide to exercise all of our options under the agreement. For products resulting from the collaboration against each of the seven selected and validated targets, we have agreed to pay up to $50.0 million in potential development and regulatory milestones and up to $65.0 million in potential sales milestones. Syros is also eligible to receive low single-digit royalties on net sales of products resulting from the collaboration.</w:t>
      </w:r>
    </w:p>
    <w:p>
      <w:pPr>
        <w:spacing w:after="0" w:line="181" w:lineRule="exact"/>
        <w:rPr>
          <w:sz w:val="20"/>
          <w:szCs w:val="20"/>
          <w:color w:val="auto"/>
        </w:rPr>
      </w:pPr>
    </w:p>
    <w:p>
      <w:pPr>
        <w:jc w:val="both"/>
        <w:ind w:firstLine="636"/>
        <w:spacing w:after="0" w:line="268" w:lineRule="auto"/>
        <w:rPr>
          <w:sz w:val="20"/>
          <w:szCs w:val="20"/>
          <w:color w:val="auto"/>
        </w:rPr>
      </w:pPr>
      <w:r>
        <w:rPr>
          <w:rFonts w:ascii="Arial" w:cs="Arial" w:eastAsia="Arial" w:hAnsi="Arial"/>
          <w:sz w:val="17"/>
          <w:szCs w:val="17"/>
          <w:color w:val="auto"/>
        </w:rPr>
        <w:t>As of June 30, 2023, we held an investment of approximately 0.1 million shares of Syros common stock. The fair market value of our long term investment in Syros as of June 30, 2023 and December 31, 2022 was $0.3 million and $0.3 million, respectively. For the three and six months ended June 30, 2023, we recorded a nominal unrealized loss and an unrealized loss of $0.1 million, respectively, based on the change in fair value of Syros’ common stock during the respective periods. For the three and six months ended June 30, 2022, we recorded an unrealized loss of $0.2 million and $2.2 million, respectively, based on the change in fair value of Syros’ common stock during the respective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MorphoSys</w:t>
      </w:r>
    </w:p>
    <w:p>
      <w:pPr>
        <w:spacing w:after="0" w:line="217" w:lineRule="exact"/>
        <w:rPr>
          <w:sz w:val="20"/>
          <w:szCs w:val="20"/>
          <w:color w:val="auto"/>
        </w:rPr>
      </w:pPr>
    </w:p>
    <w:p>
      <w:pPr>
        <w:jc w:val="both"/>
        <w:ind w:firstLine="636"/>
        <w:spacing w:after="0" w:line="268" w:lineRule="auto"/>
        <w:rPr>
          <w:sz w:val="20"/>
          <w:szCs w:val="20"/>
          <w:color w:val="auto"/>
        </w:rPr>
      </w:pPr>
      <w:r>
        <w:rPr>
          <w:rFonts w:ascii="Arial" w:cs="Arial" w:eastAsia="Arial" w:hAnsi="Arial"/>
          <w:sz w:val="17"/>
          <w:szCs w:val="17"/>
          <w:color w:val="auto"/>
        </w:rPr>
        <w:t>In January 2020, we entered into a Collaboration and License Agreement with MorphoSys AG and MorphoSys US Inc., a wholly-owned subsidiary of MorphoSys AG (together with MorphoSys AG, “MorphoSys”), covering the worldwide development and commercialization of MOR208 (tafasitamab), an investigational Fc engineered monoclonal antibody directed against the target molecule CD19 that was under clinical development by MorphoSys at the beginning of the agreement, and has subsequently been commercialized as MONJUVI/MINJUVI. MorphoSys has exclusive worldwide development and commercialization rights to tafasitamab under a June 2010 collaboration and license agreement with Xencor, Inc.</w:t>
      </w:r>
    </w:p>
    <w:p>
      <w:pPr>
        <w:spacing w:after="0" w:line="181" w:lineRule="exact"/>
        <w:rPr>
          <w:sz w:val="20"/>
          <w:szCs w:val="20"/>
          <w:color w:val="auto"/>
        </w:rPr>
      </w:pPr>
    </w:p>
    <w:p>
      <w:pPr>
        <w:jc w:val="both"/>
        <w:ind w:firstLine="636"/>
        <w:spacing w:after="0" w:line="303" w:lineRule="auto"/>
        <w:rPr>
          <w:sz w:val="20"/>
          <w:szCs w:val="20"/>
          <w:color w:val="auto"/>
        </w:rPr>
      </w:pPr>
      <w:r>
        <w:rPr>
          <w:rFonts w:ascii="Arial" w:cs="Arial" w:eastAsia="Arial" w:hAnsi="Arial"/>
          <w:sz w:val="15"/>
          <w:szCs w:val="15"/>
          <w:color w:val="auto"/>
        </w:rPr>
        <w:t>Under the terms of the agreement, we received exclusive commercialization rights outside of the United States, and MorphoSys and we have co-commercialization rights in the United States, with respect to tafasitamab. MorphoSys is responsible for leading the commercialization strategy and booking all revenue from sales of tafasitamab in the United States, and we and MorphoSys are both responsible for commercialization efforts in the United States and will share equally the profits and losses from the co-commercialization efforts. We will lead the commercialization strategy outside of the United States, and will be responsible for commercialization efforts and book all revenue from sales of tafasitamab outside of the United States, subject to our royalty payment obligations set forth below. We and MorphoSys have agreed to co-develop tafasitamab and to share development costs associated with global and U.S.-specific clinical trials, with Incyte responsible for 55% of such costs and MorphoSys responsible for 45% of such costs. Each company is responsible for funding any independent development activities, and we are responsible for funding development activities specific to territories outside of the United States. All development costs related to the collaboration are subject to a joint development plan.</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67" w:lineRule="auto"/>
        <w:rPr>
          <w:sz w:val="20"/>
          <w:szCs w:val="20"/>
          <w:color w:val="auto"/>
        </w:rPr>
      </w:pPr>
      <w:r>
        <w:rPr>
          <w:rFonts w:ascii="Arial" w:cs="Arial" w:eastAsia="Arial" w:hAnsi="Arial"/>
          <w:sz w:val="17"/>
          <w:szCs w:val="17"/>
          <w:color w:val="auto"/>
        </w:rPr>
        <w:t>MorphoSys is eligible to receive up to $737.5 million in future contingent development and regulatory milestones and up to $315.0 million in commercialization milestones as well as tiered royalties ranging from the mid-teens to mid-twenties of net sales outside of the United States. MorphoSys’ right to receive royalties in any particular country will expire upon the last to occur of (a) the expiration of patent rights in that particular country, (b) a specified period of time after the first post-marketing authorization sale of a licensed product comprising tafasitamab in that country, and (c) the expiration of any regulatory exclusivity for that licensed product in that country. Since the inception of the agreement through June 30, 2023, we have paid MorphoSys milestones totaling $2.5 million, all of which have previously been recorded as research and development expenses.</w:t>
      </w:r>
    </w:p>
    <w:p>
      <w:pPr>
        <w:spacing w:after="0" w:line="179" w:lineRule="exact"/>
        <w:rPr>
          <w:sz w:val="20"/>
          <w:szCs w:val="20"/>
          <w:color w:val="auto"/>
        </w:rPr>
      </w:pPr>
    </w:p>
    <w:p>
      <w:pPr>
        <w:jc w:val="both"/>
        <w:ind w:firstLine="636"/>
        <w:spacing w:after="0" w:line="249" w:lineRule="auto"/>
        <w:rPr>
          <w:sz w:val="20"/>
          <w:szCs w:val="20"/>
          <w:color w:val="auto"/>
        </w:rPr>
      </w:pPr>
      <w:r>
        <w:rPr>
          <w:rFonts w:ascii="Arial" w:cs="Arial" w:eastAsia="Arial" w:hAnsi="Arial"/>
          <w:sz w:val="18"/>
          <w:szCs w:val="18"/>
          <w:color w:val="auto"/>
        </w:rPr>
        <w:t>As of June 30, 2023, we held an investment of approximately 3.6 million American Depository Shares, each representing 0.25 of an ordinary share of MorphoSys AG. The fair market value of our long term investment in MorphoSys AG as of June 30, 2023 and December 31, 2022 was $27.1 million and $13.0 million, respectively. For the three and six months ended June 30, 2023, we recorded an unrealized gain of $12.7 million and $14.1 million, respectively, based on the change in fair value of MorphoSys AG's ordinary shares during the respective periods. For the three and six months ended June 30, 2022, we recorded an unrealized loss of $7.1 million and $16.7 million, respectively, based on the change in fair value of MorphoSys AG's ordinary shares during the respective periods.</w:t>
      </w:r>
    </w:p>
    <w:p>
      <w:pPr>
        <w:spacing w:after="0" w:line="196"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7"/>
          <w:szCs w:val="17"/>
          <w:color w:val="auto"/>
        </w:rPr>
        <w:t>Our 50% share of the United States profit or loss for the commercialization of tafasitamab for the three and six months ended June 30, 2023 was a profit of $0.5 million and $1.9 million, respectively, and is recorded as (profit) and loss sharing under collaboration agreements on the condensed consolidated statement of operations. Our 50% share of the United States loss for the commercialization of tafasitamab for the three and six months ended June 30, 2022 was $2.5 million and $7.3 million, respectively, and is recorded as (profit) and loss sharing under collaboration agreements on the condensed consolidated statement of operations. Research and development expenses for the three and six months ended June 30, 2023, includes $20.3 million and $45.5 million, respectively, related to our 55% share of the co-development costs for tafasitamab. Research and development expenses for the three and six months ended June 30, 2022, includes $27.5 million and $48.5 million, respectively, related to our 55% share of the co-development costs for tafasitamab. At June 30, 2023 and December 31, 2022, $39.3 million and $28.5 million, respectively, was included in accrued and other liabilities on the condensed consolidated balance sheets for amounts due to MorphoSys under the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Syndax</w:t>
      </w:r>
    </w:p>
    <w:p>
      <w:pPr>
        <w:spacing w:after="0" w:line="217"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7"/>
          <w:szCs w:val="17"/>
          <w:color w:val="auto"/>
        </w:rPr>
        <w:t>In September 2021, we entered into a Collaboration and License Agreement with Syndax Pharmaceuticals, Inc. (“Syndax”), covering the worldwide development and commercialization of SNDX-6352 (“axatilimab”). Axatilimab, currently in clinical development by Syndax, is a monoclonal antibody that blocks the colony stimulating factor-1 (CSF-1) receptor. Syndax has exclusive worldwide development and commercialization rights to axatilimab under a June 2016 license agreement with UCB Biopharma Sprl. The agreement became effective in December 2021.</w:t>
      </w:r>
    </w:p>
    <w:p>
      <w:pPr>
        <w:spacing w:after="0" w:line="177"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17"/>
          <w:szCs w:val="17"/>
          <w:color w:val="auto"/>
        </w:rPr>
        <w:t>Under the terms of the agreement, we received exclusive commercialization rights outside of the United States, and Syndax and we have co-commercialization rights in the United States, with respect to axatilimab. We will be responsible for leading the commercialization strategy and booking all revenue from sales of axatilimab globally. Incyte and Syndax will share equally the profits and losses from the co-commercialization efforts in the United States. Sales of axatilimab outside the United States will be subject to our royalty payment obligations to Syndax, as set forth below. We and Syndax have agreed to co-develop axatilimab and to share development costs associated with global and U.S.-specific clinical trials, with Incyte responsible for 55% of such costs and Syndax responsible for 45% of such costs. Each company is responsible for funding any independent development activities. All development costs related to the collaboration are subject to a joint development plan.</w:t>
      </w:r>
    </w:p>
    <w:p>
      <w:pPr>
        <w:spacing w:after="0" w:line="185" w:lineRule="exact"/>
        <w:rPr>
          <w:sz w:val="20"/>
          <w:szCs w:val="20"/>
          <w:color w:val="auto"/>
        </w:rPr>
      </w:pPr>
    </w:p>
    <w:p>
      <w:pPr>
        <w:jc w:val="both"/>
        <w:ind w:firstLine="636"/>
        <w:spacing w:after="0" w:line="248" w:lineRule="auto"/>
        <w:rPr>
          <w:sz w:val="20"/>
          <w:szCs w:val="20"/>
          <w:color w:val="auto"/>
        </w:rPr>
      </w:pPr>
      <w:r>
        <w:rPr>
          <w:rFonts w:ascii="Arial" w:cs="Arial" w:eastAsia="Arial" w:hAnsi="Arial"/>
          <w:sz w:val="18"/>
          <w:szCs w:val="18"/>
          <w:color w:val="auto"/>
        </w:rPr>
        <w:t>In December 2021, we paid Syndax an upfront, non-refundable payment of $117.0 million, which was recorded in research and development expense on the consolidated statement of operations for the year ended December 31, 2021. Syndax is eligible to receive up to $220.0 million in future contingent development and regulatory milestones and up to $230.0 million in sales milestones as well as tiered royalties ranging in the mid-teens on net sales in Europe and Japan and low double digit percentage on net sales in the rest of the world outside of the United States. Syndax’ right to receive royalties in any particular country will expire upon the last to occur of (a) the expiration of patent rights in that particular country, (b) a specified period of time after the first post-marketing authorization sale of a licensed product comprising axatilimab in that country, and (c) the expiration of any regulatory exclusivity for that licensed product in that country.</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68" w:lineRule="auto"/>
        <w:rPr>
          <w:sz w:val="20"/>
          <w:szCs w:val="20"/>
          <w:color w:val="auto"/>
        </w:rPr>
      </w:pPr>
      <w:r>
        <w:rPr>
          <w:rFonts w:ascii="Arial" w:cs="Arial" w:eastAsia="Arial" w:hAnsi="Arial"/>
          <w:sz w:val="17"/>
          <w:szCs w:val="17"/>
          <w:color w:val="auto"/>
        </w:rPr>
        <w:t>As of June 30, 2023, we held an investment of approximately 1.4 million shares of Syndax common stock. The fair market value of our long term investment in Syndax as of June 30, 2023 and December 31, 2022 was $29.8 million and $36.2 million. For the three and six months ended June 30, 2023, we recorded an unrealized loss of $0.2 million and $6.4 million, respectively, based on the change in fair value of Syndax’s common stock during the respective periods. For the three and six months ended June 30, 2022, we recorded an unrealized gain of $2.7 million and an unrealized loss of $3.8 million, respectively, based on the change in fair value of Syndax’s common stock during the respective periods.</w:t>
      </w:r>
    </w:p>
    <w:p>
      <w:pPr>
        <w:spacing w:after="0" w:line="181"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Research and development expenses for the three and six months ended June 30, 2023, includes $6.2 million and $11.8 million, respectively, related to our 55% share of the co-development costs for axatilimab. At June 30, 2023, $4.4 million was included in accrued and other liabilities on the condensed consolidated balance sheet for amounts due to Syndax under the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w:t>
      </w:r>
    </w:p>
    <w:p>
      <w:pPr>
        <w:spacing w:after="0" w:line="217" w:lineRule="exact"/>
        <w:rPr>
          <w:sz w:val="20"/>
          <w:szCs w:val="20"/>
          <w:color w:val="auto"/>
        </w:rPr>
      </w:pPr>
    </w:p>
    <w:p>
      <w:pPr>
        <w:jc w:val="both"/>
        <w:ind w:firstLine="636"/>
        <w:spacing w:after="0" w:line="267" w:lineRule="auto"/>
        <w:rPr>
          <w:sz w:val="20"/>
          <w:szCs w:val="20"/>
          <w:color w:val="auto"/>
        </w:rPr>
      </w:pPr>
      <w:r>
        <w:rPr>
          <w:rFonts w:ascii="Arial" w:cs="Arial" w:eastAsia="Arial" w:hAnsi="Arial"/>
          <w:sz w:val="17"/>
          <w:szCs w:val="17"/>
          <w:color w:val="auto"/>
        </w:rPr>
        <w:t>In addition to the license and collaboration agreements discussed above, we have various other license and collaboration agreements that are not individually material to our operating results or financial condition at this time. Pursuant to the terms of those agreements, we may be required to pay, or we may receive, additional amounts contingent upon the occurrence of various future events such as future discovery, development, regulatory or commercial milestones, which in the aggregate could be material. In addition, if any products related to these collaborations are approved for sale, we may be required to pay, or we may receive, royalties on future sales. The payment or receipt of these amounts, however, is contingent upon the occurrence of various future events, the likelihood of which cannot presently be determined.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Property and Equipment, net</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Property and equipment, net consists of the following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center"/>
              <w:ind w:right="235"/>
              <w:spacing w:after="0"/>
              <w:rPr>
                <w:sz w:val="20"/>
                <w:szCs w:val="20"/>
                <w:color w:val="auto"/>
              </w:rPr>
            </w:pPr>
            <w:r>
              <w:rPr>
                <w:rFonts w:ascii="Arial" w:cs="Arial" w:eastAsia="Arial" w:hAnsi="Arial"/>
                <w:sz w:val="14"/>
                <w:szCs w:val="14"/>
                <w:b w:val="1"/>
                <w:bCs w:val="1"/>
                <w:color w:val="auto"/>
                <w:w w:val="89"/>
              </w:rPr>
              <w:t>June 30,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155"/>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89"/>
        </w:trPr>
        <w:tc>
          <w:tcPr>
            <w:tcW w:w="81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w w:val="96"/>
              </w:rPr>
              <w:t>2023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64"/>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equipment</w:t>
            </w:r>
          </w:p>
        </w:tc>
        <w:tc>
          <w:tcPr>
            <w:tcW w:w="3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23,182</w:t>
            </w:r>
          </w:p>
        </w:tc>
        <w:tc>
          <w:tcPr>
            <w:tcW w:w="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22,734</w:t>
            </w:r>
          </w:p>
        </w:tc>
        <w:tc>
          <w:tcPr>
            <w:tcW w:w="0" w:type="dxa"/>
            <w:vAlign w:val="bottom"/>
          </w:tcPr>
          <w:p>
            <w:pPr>
              <w:spacing w:after="0"/>
              <w:rPr>
                <w:sz w:val="1"/>
                <w:szCs w:val="1"/>
                <w:color w:val="auto"/>
              </w:rPr>
            </w:pPr>
          </w:p>
        </w:tc>
      </w:tr>
      <w:tr>
        <w:trPr>
          <w:trHeight w:val="258"/>
        </w:trPr>
        <w:tc>
          <w:tcPr>
            <w:tcW w:w="8160" w:type="dxa"/>
            <w:vAlign w:val="bottom"/>
          </w:tcPr>
          <w:p>
            <w:pPr>
              <w:ind w:left="20"/>
              <w:spacing w:after="0"/>
              <w:rPr>
                <w:sz w:val="20"/>
                <w:szCs w:val="20"/>
                <w:color w:val="auto"/>
              </w:rPr>
            </w:pPr>
            <w:r>
              <w:rPr>
                <w:rFonts w:ascii="Arial" w:cs="Arial" w:eastAsia="Arial" w:hAnsi="Arial"/>
                <w:sz w:val="18"/>
                <w:szCs w:val="18"/>
                <w:color w:val="auto"/>
              </w:rPr>
              <w:t>Laboratory equipment</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202,929</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192,141</w:t>
            </w:r>
          </w:p>
        </w:tc>
        <w:tc>
          <w:tcPr>
            <w:tcW w:w="0" w:type="dxa"/>
            <w:vAlign w:val="bottom"/>
          </w:tcPr>
          <w:p>
            <w:pPr>
              <w:spacing w:after="0"/>
              <w:rPr>
                <w:sz w:val="1"/>
                <w:szCs w:val="1"/>
                <w:color w:val="auto"/>
              </w:rPr>
            </w:pPr>
          </w:p>
        </w:tc>
      </w:tr>
      <w:tr>
        <w:trPr>
          <w:trHeight w:val="272"/>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121,048</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92,115</w:t>
            </w:r>
          </w:p>
        </w:tc>
        <w:tc>
          <w:tcPr>
            <w:tcW w:w="0" w:type="dxa"/>
            <w:vAlign w:val="bottom"/>
          </w:tcPr>
          <w:p>
            <w:pPr>
              <w:spacing w:after="0"/>
              <w:rPr>
                <w:sz w:val="1"/>
                <w:szCs w:val="1"/>
                <w:color w:val="auto"/>
              </w:rPr>
            </w:pPr>
          </w:p>
        </w:tc>
      </w:tr>
      <w:tr>
        <w:trPr>
          <w:trHeight w:val="258"/>
        </w:trPr>
        <w:tc>
          <w:tcPr>
            <w:tcW w:w="8160" w:type="dxa"/>
            <w:vAlign w:val="bottom"/>
          </w:tcPr>
          <w:p>
            <w:pPr>
              <w:ind w:left="20"/>
              <w:spacing w:after="0"/>
              <w:rPr>
                <w:sz w:val="20"/>
                <w:szCs w:val="20"/>
                <w:color w:val="auto"/>
              </w:rPr>
            </w:pPr>
            <w:r>
              <w:rPr>
                <w:rFonts w:ascii="Arial" w:cs="Arial" w:eastAsia="Arial" w:hAnsi="Arial"/>
                <w:sz w:val="18"/>
                <w:szCs w:val="18"/>
                <w:color w:val="auto"/>
              </w:rPr>
              <w:t>Land</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10,581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10,429</w:t>
            </w:r>
          </w:p>
        </w:tc>
        <w:tc>
          <w:tcPr>
            <w:tcW w:w="0" w:type="dxa"/>
            <w:vAlign w:val="bottom"/>
          </w:tcPr>
          <w:p>
            <w:pPr>
              <w:spacing w:after="0"/>
              <w:rPr>
                <w:sz w:val="1"/>
                <w:szCs w:val="1"/>
                <w:color w:val="auto"/>
              </w:rPr>
            </w:pPr>
          </w:p>
        </w:tc>
      </w:tr>
      <w:tr>
        <w:trPr>
          <w:trHeight w:val="272"/>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 and leasehold improvements</w:t>
            </w: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571,694</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564,170</w:t>
            </w:r>
          </w:p>
        </w:tc>
        <w:tc>
          <w:tcPr>
            <w:tcW w:w="0" w:type="dxa"/>
            <w:vAlign w:val="bottom"/>
          </w:tcPr>
          <w:p>
            <w:pPr>
              <w:spacing w:after="0"/>
              <w:rPr>
                <w:sz w:val="1"/>
                <w:szCs w:val="1"/>
                <w:color w:val="auto"/>
              </w:rPr>
            </w:pPr>
          </w:p>
        </w:tc>
      </w:tr>
      <w:tr>
        <w:trPr>
          <w:trHeight w:val="258"/>
        </w:trPr>
        <w:tc>
          <w:tcPr>
            <w:tcW w:w="816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24,528</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23,311</w:t>
            </w:r>
          </w:p>
        </w:tc>
        <w:tc>
          <w:tcPr>
            <w:tcW w:w="0" w:type="dxa"/>
            <w:vAlign w:val="bottom"/>
          </w:tcPr>
          <w:p>
            <w:pPr>
              <w:spacing w:after="0"/>
              <w:rPr>
                <w:sz w:val="1"/>
                <w:szCs w:val="1"/>
                <w:color w:val="auto"/>
              </w:rPr>
            </w:pPr>
          </w:p>
        </w:tc>
      </w:tr>
      <w:tr>
        <w:trPr>
          <w:trHeight w:val="232"/>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4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34,534</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47,224</w:t>
            </w:r>
          </w:p>
        </w:tc>
        <w:tc>
          <w:tcPr>
            <w:tcW w:w="0" w:type="dxa"/>
            <w:vAlign w:val="bottom"/>
          </w:tcPr>
          <w:p>
            <w:pPr>
              <w:spacing w:after="0"/>
              <w:rPr>
                <w:sz w:val="1"/>
                <w:szCs w:val="1"/>
                <w:color w:val="auto"/>
              </w:rPr>
            </w:pPr>
          </w:p>
        </w:tc>
      </w:tr>
      <w:tr>
        <w:trPr>
          <w:trHeight w:val="219"/>
        </w:trPr>
        <w:tc>
          <w:tcPr>
            <w:tcW w:w="8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988,496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952,124</w:t>
            </w:r>
          </w:p>
        </w:tc>
        <w:tc>
          <w:tcPr>
            <w:tcW w:w="0" w:type="dxa"/>
            <w:vAlign w:val="bottom"/>
          </w:tcPr>
          <w:p>
            <w:pPr>
              <w:spacing w:after="0"/>
              <w:rPr>
                <w:sz w:val="1"/>
                <w:szCs w:val="1"/>
                <w:color w:val="auto"/>
              </w:rPr>
            </w:pPr>
          </w:p>
        </w:tc>
      </w:tr>
      <w:tr>
        <w:trPr>
          <w:trHeight w:val="265"/>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4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(239,144)</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(212,814)</w:t>
            </w:r>
          </w:p>
        </w:tc>
        <w:tc>
          <w:tcPr>
            <w:tcW w:w="0" w:type="dxa"/>
            <w:vAlign w:val="bottom"/>
          </w:tcPr>
          <w:p>
            <w:pPr>
              <w:spacing w:after="0"/>
              <w:rPr>
                <w:sz w:val="1"/>
                <w:szCs w:val="1"/>
                <w:color w:val="auto"/>
              </w:rPr>
            </w:pPr>
          </w:p>
        </w:tc>
      </w:tr>
      <w:tr>
        <w:trPr>
          <w:trHeight w:val="219"/>
        </w:trPr>
        <w:tc>
          <w:tcPr>
            <w:tcW w:w="81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20" w:type="dxa"/>
            <w:vAlign w:val="bottom"/>
            <w:gridSpan w:val="2"/>
          </w:tcPr>
          <w:p>
            <w:pPr>
              <w:jc w:val="right"/>
              <w:ind w:right="11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749,352</w:t>
            </w:r>
          </w:p>
        </w:tc>
        <w:tc>
          <w:tcPr>
            <w:tcW w:w="3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739,310</w:t>
            </w:r>
          </w:p>
        </w:tc>
        <w:tc>
          <w:tcPr>
            <w:tcW w:w="0" w:type="dxa"/>
            <w:vAlign w:val="bottom"/>
          </w:tcPr>
          <w:p>
            <w:pPr>
              <w:spacing w:after="0"/>
              <w:rPr>
                <w:sz w:val="1"/>
                <w:szCs w:val="1"/>
                <w:color w:val="auto"/>
              </w:rPr>
            </w:pPr>
          </w:p>
        </w:tc>
      </w:tr>
      <w:tr>
        <w:trPr>
          <w:trHeight w:val="20"/>
        </w:trPr>
        <w:tc>
          <w:tcPr>
            <w:tcW w:w="8160" w:type="dxa"/>
            <w:vAlign w:val="bottom"/>
            <w:vMerge w:val="restart"/>
          </w:tcPr>
          <w:p>
            <w:pPr>
              <w:spacing w:after="0"/>
              <w:rPr>
                <w:sz w:val="20"/>
                <w:szCs w:val="20"/>
                <w:color w:val="auto"/>
              </w:rPr>
            </w:pPr>
            <w:r>
              <w:rPr>
                <w:rFonts w:ascii="Arial" w:cs="Arial" w:eastAsia="Arial" w:hAnsi="Arial"/>
                <w:sz w:val="18"/>
                <w:szCs w:val="18"/>
                <w:b w:val="1"/>
                <w:bCs w:val="1"/>
                <w:color w:val="auto"/>
              </w:rPr>
              <w:t>Note 9. Accrued and Other Current Liabilities</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81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8160" w:type="dxa"/>
            <w:vAlign w:val="bottom"/>
          </w:tcPr>
          <w:p>
            <w:pPr>
              <w:ind w:left="640"/>
              <w:spacing w:after="0"/>
              <w:rPr>
                <w:sz w:val="20"/>
                <w:szCs w:val="20"/>
                <w:color w:val="auto"/>
              </w:rPr>
            </w:pPr>
            <w:r>
              <w:rPr>
                <w:rFonts w:ascii="Arial" w:cs="Arial" w:eastAsia="Arial" w:hAnsi="Arial"/>
                <w:sz w:val="18"/>
                <w:szCs w:val="18"/>
                <w:color w:val="auto"/>
              </w:rPr>
              <w:t>Accrued and other current liabilities consisted of the following (in thousands):</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8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center"/>
              <w:ind w:right="215"/>
              <w:spacing w:after="0"/>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center"/>
              <w:ind w:right="155"/>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89"/>
        </w:trPr>
        <w:tc>
          <w:tcPr>
            <w:tcW w:w="8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9"/>
              </w:rPr>
              <w:t>2023</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64"/>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Royalties</w:t>
            </w:r>
          </w:p>
        </w:tc>
        <w:tc>
          <w:tcPr>
            <w:tcW w:w="3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321,816</w:t>
            </w:r>
          </w:p>
        </w:tc>
        <w:tc>
          <w:tcPr>
            <w:tcW w:w="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263,466</w:t>
            </w:r>
          </w:p>
        </w:tc>
        <w:tc>
          <w:tcPr>
            <w:tcW w:w="0" w:type="dxa"/>
            <w:vAlign w:val="bottom"/>
          </w:tcPr>
          <w:p>
            <w:pPr>
              <w:spacing w:after="0"/>
              <w:rPr>
                <w:sz w:val="1"/>
                <w:szCs w:val="1"/>
                <w:color w:val="auto"/>
              </w:rPr>
            </w:pPr>
          </w:p>
        </w:tc>
      </w:tr>
      <w:tr>
        <w:trPr>
          <w:trHeight w:val="258"/>
        </w:trPr>
        <w:tc>
          <w:tcPr>
            <w:tcW w:w="8160" w:type="dxa"/>
            <w:vAlign w:val="bottom"/>
          </w:tcPr>
          <w:p>
            <w:pPr>
              <w:ind w:left="20"/>
              <w:spacing w:after="0"/>
              <w:rPr>
                <w:sz w:val="20"/>
                <w:szCs w:val="20"/>
                <w:color w:val="auto"/>
              </w:rPr>
            </w:pPr>
            <w:r>
              <w:rPr>
                <w:rFonts w:ascii="Arial" w:cs="Arial" w:eastAsia="Arial" w:hAnsi="Arial"/>
                <w:sz w:val="18"/>
                <w:szCs w:val="18"/>
                <w:color w:val="auto"/>
              </w:rPr>
              <w:t>Clinical related costs</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137,780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130,570</w:t>
            </w:r>
          </w:p>
        </w:tc>
        <w:tc>
          <w:tcPr>
            <w:tcW w:w="0" w:type="dxa"/>
            <w:vAlign w:val="bottom"/>
          </w:tcPr>
          <w:p>
            <w:pPr>
              <w:spacing w:after="0"/>
              <w:rPr>
                <w:sz w:val="1"/>
                <w:szCs w:val="1"/>
                <w:color w:val="auto"/>
              </w:rPr>
            </w:pPr>
          </w:p>
        </w:tc>
      </w:tr>
      <w:tr>
        <w:trPr>
          <w:trHeight w:val="25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allowances</w:t>
            </w: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224,474</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192,133</w:t>
            </w:r>
          </w:p>
        </w:tc>
        <w:tc>
          <w:tcPr>
            <w:tcW w:w="0" w:type="dxa"/>
            <w:vAlign w:val="bottom"/>
          </w:tcPr>
          <w:p>
            <w:pPr>
              <w:spacing w:after="0"/>
              <w:rPr>
                <w:sz w:val="1"/>
                <w:szCs w:val="1"/>
                <w:color w:val="auto"/>
              </w:rPr>
            </w:pPr>
          </w:p>
        </w:tc>
      </w:tr>
      <w:tr>
        <w:trPr>
          <w:trHeight w:val="258"/>
        </w:trPr>
        <w:tc>
          <w:tcPr>
            <w:tcW w:w="816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29,006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31,149</w:t>
            </w:r>
          </w:p>
        </w:tc>
        <w:tc>
          <w:tcPr>
            <w:tcW w:w="0" w:type="dxa"/>
            <w:vAlign w:val="bottom"/>
          </w:tcPr>
          <w:p>
            <w:pPr>
              <w:spacing w:after="0"/>
              <w:rPr>
                <w:sz w:val="1"/>
                <w:szCs w:val="1"/>
                <w:color w:val="auto"/>
              </w:rPr>
            </w:pPr>
          </w:p>
        </w:tc>
      </w:tr>
      <w:tr>
        <w:trPr>
          <w:trHeight w:val="272"/>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4,420</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w:t>
            </w:r>
          </w:p>
        </w:tc>
        <w:tc>
          <w:tcPr>
            <w:tcW w:w="0" w:type="dxa"/>
            <w:vAlign w:val="bottom"/>
          </w:tcPr>
          <w:p>
            <w:pPr>
              <w:spacing w:after="0"/>
              <w:rPr>
                <w:sz w:val="1"/>
                <w:szCs w:val="1"/>
                <w:color w:val="auto"/>
              </w:rPr>
            </w:pPr>
          </w:p>
        </w:tc>
      </w:tr>
      <w:tr>
        <w:trPr>
          <w:trHeight w:val="245"/>
        </w:trPr>
        <w:tc>
          <w:tcPr>
            <w:tcW w:w="816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7,084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8,195</w:t>
            </w:r>
          </w:p>
        </w:tc>
        <w:tc>
          <w:tcPr>
            <w:tcW w:w="0" w:type="dxa"/>
            <w:vAlign w:val="bottom"/>
          </w:tcPr>
          <w:p>
            <w:pPr>
              <w:spacing w:after="0"/>
              <w:rPr>
                <w:sz w:val="1"/>
                <w:szCs w:val="1"/>
                <w:color w:val="auto"/>
              </w:rPr>
            </w:pPr>
          </w:p>
        </w:tc>
      </w:tr>
      <w:tr>
        <w:trPr>
          <w:trHeight w:val="272"/>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86,272</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72,047</w:t>
            </w:r>
          </w:p>
        </w:tc>
        <w:tc>
          <w:tcPr>
            <w:tcW w:w="0" w:type="dxa"/>
            <w:vAlign w:val="bottom"/>
          </w:tcPr>
          <w:p>
            <w:pPr>
              <w:spacing w:after="0"/>
              <w:rPr>
                <w:sz w:val="1"/>
                <w:szCs w:val="1"/>
                <w:color w:val="auto"/>
              </w:rPr>
            </w:pPr>
          </w:p>
        </w:tc>
      </w:tr>
      <w:tr>
        <w:trPr>
          <w:trHeight w:val="245"/>
        </w:trPr>
        <w:tc>
          <w:tcPr>
            <w:tcW w:w="8160" w:type="dxa"/>
            <w:vAlign w:val="bottom"/>
          </w:tcPr>
          <w:p>
            <w:pPr>
              <w:ind w:left="20"/>
              <w:spacing w:after="0"/>
              <w:rPr>
                <w:sz w:val="20"/>
                <w:szCs w:val="20"/>
                <w:color w:val="auto"/>
              </w:rPr>
            </w:pPr>
            <w:r>
              <w:rPr>
                <w:rFonts w:ascii="Arial" w:cs="Arial" w:eastAsia="Arial" w:hAnsi="Arial"/>
                <w:sz w:val="18"/>
                <w:szCs w:val="18"/>
                <w:color w:val="auto"/>
              </w:rPr>
              <w:t>Total accrued and other current liabilities</w:t>
            </w:r>
          </w:p>
        </w:tc>
        <w:tc>
          <w:tcPr>
            <w:tcW w:w="4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810,852</w:t>
            </w: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701,053</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79375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 Compensation</w:t>
      </w:r>
    </w:p>
    <w:p>
      <w:pPr>
        <w:spacing w:after="0" w:line="223"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7"/>
          <w:szCs w:val="17"/>
          <w:color w:val="auto"/>
        </w:rPr>
        <w:t>We recorded $54.5 million and $107.9 million of stock compensation expense on our condensed consolidated statements of operations for the three and six months ended June 30, 2023, respectively. We recorded $46.5 million and $90.3 million of stock compensation expense on our condensed consolidated statements of operations for the three and six months ended June 30, 2022, respectively. Stock compensation expense included within our condensed consolidated statements of operations included research and development expense of $32.8 million, $63.8 million, $28.1 million and $54.4 million for the three and six months ended June 30, 2023 and 2022, respectively. Stock compensation expense included within our condensed consolidated statements of operations also included selling, general and administrative expense of $20.9 million, $42.5 million, $17.7 million and $34.6 million for the three and six months ended June 30, 2023 and 2022, respectively. Stock compensation expense included within our condensed consolidated statements of operations also included cost of product revenues of $0.8 million, $1.6 million, $0.7 million and $1.3 million, respectively, for the three and six months ended June 30, 2023 and 2022.</w:t>
      </w:r>
    </w:p>
    <w:p>
      <w:pPr>
        <w:spacing w:after="0" w:line="185"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We utilized the Black-Scholes valuation model for estimating the fair value of the stock compensation granted, with the following weighted-average assumptions:</w:t>
      </w:r>
    </w:p>
    <w:p>
      <w:pPr>
        <w:sectPr>
          <w:pgSz w:w="11900" w:h="16838" w:orient="portrait"/>
          <w:cols w:equalWidth="0" w:num="1">
            <w:col w:w="11240"/>
          </w:cols>
          <w:pgMar w:left="320" w:top="127" w:right="339" w:bottom="1440" w:gutter="0" w:footer="0" w:header="0"/>
        </w:sectPr>
      </w:pPr>
    </w:p>
    <w:p>
      <w:pPr>
        <w:spacing w:after="0" w:line="210"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auto"/>
        </w:rPr>
        <w:t>Employee Stock Options</w:t>
      </w:r>
    </w:p>
    <w:p>
      <w:pPr>
        <w:spacing w:after="0" w:line="27" w:lineRule="exact"/>
        <w:rPr>
          <w:sz w:val="20"/>
          <w:szCs w:val="20"/>
          <w:color w:val="auto"/>
        </w:rPr>
      </w:pPr>
    </w:p>
    <w:tbl>
      <w:tblPr>
        <w:tblLayout w:type="fixed"/>
        <w:tblInd w:w="2440" w:type="dxa"/>
        <w:tblCellMar>
          <w:top w:w="0" w:type="dxa"/>
          <w:left w:w="0" w:type="dxa"/>
          <w:bottom w:w="0" w:type="dxa"/>
          <w:right w:w="0" w:type="dxa"/>
        </w:tblCellMar>
      </w:tblPr>
      <w:tr>
        <w:trPr>
          <w:trHeight w:val="198"/>
        </w:trPr>
        <w:tc>
          <w:tcPr>
            <w:tcW w:w="2440" w:type="dxa"/>
            <w:vAlign w:val="bottom"/>
            <w:tcBorders>
              <w:top w:val="single" w:sz="8" w:color="auto"/>
              <w:bottom w:val="single" w:sz="8" w:color="auto"/>
            </w:tcBorders>
            <w:gridSpan w:val="2"/>
          </w:tcPr>
          <w:p>
            <w:pPr>
              <w:jc w:val="right"/>
              <w:ind w:right="429"/>
              <w:spacing w:after="0"/>
              <w:rPr>
                <w:sz w:val="20"/>
                <w:szCs w:val="20"/>
                <w:color w:val="auto"/>
              </w:rPr>
            </w:pPr>
            <w:r>
              <w:rPr>
                <w:rFonts w:ascii="Arial" w:cs="Arial" w:eastAsia="Arial" w:hAnsi="Arial"/>
                <w:sz w:val="14"/>
                <w:szCs w:val="14"/>
                <w:b w:val="1"/>
                <w:bCs w:val="1"/>
                <w:color w:val="auto"/>
              </w:rPr>
              <w:t>For the Three Months Ended</w:t>
            </w:r>
          </w:p>
        </w:tc>
        <w:tc>
          <w:tcPr>
            <w:tcW w:w="1900" w:type="dxa"/>
            <w:vAlign w:val="bottom"/>
            <w:tcBorders>
              <w:top w:val="single" w:sz="8" w:color="auto"/>
              <w:bottom w:val="single" w:sz="8" w:color="auto"/>
            </w:tcBorders>
            <w:gridSpan w:val="2"/>
          </w:tcPr>
          <w:p>
            <w:pPr>
              <w:jc w:val="right"/>
              <w:ind w:right="209"/>
              <w:spacing w:after="0"/>
              <w:rPr>
                <w:sz w:val="20"/>
                <w:szCs w:val="20"/>
                <w:color w:val="auto"/>
              </w:rPr>
            </w:pPr>
            <w:r>
              <w:rPr>
                <w:rFonts w:ascii="Arial" w:cs="Arial" w:eastAsia="Arial" w:hAnsi="Arial"/>
                <w:sz w:val="14"/>
                <w:szCs w:val="14"/>
                <w:b w:val="1"/>
                <w:bCs w:val="1"/>
                <w:color w:val="auto"/>
                <w:w w:val="92"/>
              </w:rPr>
              <w:t>For the Six Months Ended</w:t>
            </w:r>
          </w:p>
        </w:tc>
      </w:tr>
      <w:tr>
        <w:trPr>
          <w:trHeight w:val="186"/>
        </w:trPr>
        <w:tc>
          <w:tcPr>
            <w:tcW w:w="10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84"/>
        </w:trPr>
        <w:tc>
          <w:tcPr>
            <w:tcW w:w="1060" w:type="dxa"/>
            <w:vAlign w:val="bottom"/>
          </w:tcPr>
          <w:p>
            <w:pPr>
              <w:jc w:val="right"/>
              <w:ind w:right="349"/>
              <w:spacing w:after="0"/>
              <w:rPr>
                <w:sz w:val="20"/>
                <w:szCs w:val="20"/>
                <w:color w:val="auto"/>
              </w:rPr>
            </w:pPr>
            <w:r>
              <w:rPr>
                <w:rFonts w:ascii="Arial" w:cs="Arial" w:eastAsia="Arial" w:hAnsi="Arial"/>
                <w:sz w:val="14"/>
                <w:szCs w:val="14"/>
                <w:b w:val="1"/>
                <w:bCs w:val="1"/>
                <w:color w:val="auto"/>
              </w:rPr>
              <w:t>2023</w:t>
            </w:r>
          </w:p>
        </w:tc>
        <w:tc>
          <w:tcPr>
            <w:tcW w:w="1380" w:type="dxa"/>
            <w:vAlign w:val="bottom"/>
          </w:tcPr>
          <w:p>
            <w:pPr>
              <w:jc w:val="right"/>
              <w:ind w:right="629"/>
              <w:spacing w:after="0"/>
              <w:rPr>
                <w:sz w:val="20"/>
                <w:szCs w:val="20"/>
                <w:color w:val="auto"/>
              </w:rPr>
            </w:pPr>
            <w:r>
              <w:rPr>
                <w:rFonts w:ascii="Arial" w:cs="Arial" w:eastAsia="Arial" w:hAnsi="Arial"/>
                <w:sz w:val="14"/>
                <w:szCs w:val="14"/>
                <w:b w:val="1"/>
                <w:bCs w:val="1"/>
                <w:color w:val="auto"/>
              </w:rPr>
              <w:t>2022</w:t>
            </w:r>
          </w:p>
        </w:tc>
        <w:tc>
          <w:tcPr>
            <w:tcW w:w="840" w:type="dxa"/>
            <w:vAlign w:val="bottom"/>
          </w:tcPr>
          <w:p>
            <w:pPr>
              <w:jc w:val="right"/>
              <w:ind w:right="349"/>
              <w:spacing w:after="0"/>
              <w:rPr>
                <w:sz w:val="20"/>
                <w:szCs w:val="20"/>
                <w:color w:val="auto"/>
              </w:rPr>
            </w:pPr>
            <w:r>
              <w:rPr>
                <w:rFonts w:ascii="Arial" w:cs="Arial" w:eastAsia="Arial" w:hAnsi="Arial"/>
                <w:sz w:val="14"/>
                <w:szCs w:val="14"/>
                <w:b w:val="1"/>
                <w:bCs w:val="1"/>
                <w:color w:val="auto"/>
              </w:rPr>
              <w:t>2023</w:t>
            </w:r>
          </w:p>
        </w:tc>
        <w:tc>
          <w:tcPr>
            <w:tcW w:w="1060" w:type="dxa"/>
            <w:vAlign w:val="bottom"/>
          </w:tcPr>
          <w:p>
            <w:pPr>
              <w:jc w:val="right"/>
              <w:ind w:right="289"/>
              <w:spacing w:after="0"/>
              <w:rPr>
                <w:sz w:val="20"/>
                <w:szCs w:val="20"/>
                <w:color w:val="auto"/>
              </w:rPr>
            </w:pPr>
            <w:r>
              <w:rPr>
                <w:rFonts w:ascii="Arial" w:cs="Arial" w:eastAsia="Arial" w:hAnsi="Arial"/>
                <w:sz w:val="14"/>
                <w:szCs w:val="14"/>
                <w:b w:val="1"/>
                <w:bCs w:val="1"/>
                <w:color w:val="auto"/>
              </w:rPr>
              <w:t>2022</w:t>
            </w:r>
          </w:p>
        </w:tc>
      </w:tr>
    </w:tbl>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Employee Stock Purchase Plan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480" w:type="dxa"/>
            <w:vAlign w:val="bottom"/>
            <w:tcBorders>
              <w:top w:val="single" w:sz="8" w:color="auto"/>
              <w:bottom w:val="single" w:sz="8" w:color="auto"/>
            </w:tcBorders>
            <w:gridSpan w:val="2"/>
          </w:tcPr>
          <w:p>
            <w:pPr>
              <w:jc w:val="right"/>
              <w:ind w:right="449"/>
              <w:spacing w:after="0"/>
              <w:rPr>
                <w:sz w:val="20"/>
                <w:szCs w:val="20"/>
                <w:color w:val="auto"/>
              </w:rPr>
            </w:pPr>
            <w:r>
              <w:rPr>
                <w:rFonts w:ascii="Arial" w:cs="Arial" w:eastAsia="Arial" w:hAnsi="Arial"/>
                <w:sz w:val="14"/>
                <w:szCs w:val="14"/>
                <w:b w:val="1"/>
                <w:bCs w:val="1"/>
                <w:color w:val="auto"/>
              </w:rPr>
              <w:t>For the Three Months Ended</w:t>
            </w:r>
          </w:p>
        </w:tc>
        <w:tc>
          <w:tcPr>
            <w:tcW w:w="1880" w:type="dxa"/>
            <w:vAlign w:val="bottom"/>
            <w:tcBorders>
              <w:top w:val="single" w:sz="8" w:color="auto"/>
              <w:bottom w:val="single" w:sz="8" w:color="auto"/>
            </w:tcBorders>
            <w:gridSpan w:val="2"/>
          </w:tcPr>
          <w:p>
            <w:pPr>
              <w:jc w:val="right"/>
              <w:ind w:right="189"/>
              <w:spacing w:after="0"/>
              <w:rPr>
                <w:sz w:val="20"/>
                <w:szCs w:val="20"/>
                <w:color w:val="auto"/>
              </w:rPr>
            </w:pPr>
            <w:r>
              <w:rPr>
                <w:rFonts w:ascii="Arial" w:cs="Arial" w:eastAsia="Arial" w:hAnsi="Arial"/>
                <w:sz w:val="14"/>
                <w:szCs w:val="14"/>
                <w:b w:val="1"/>
                <w:bCs w:val="1"/>
                <w:color w:val="auto"/>
                <w:w w:val="92"/>
              </w:rPr>
              <w:t>For the Six Months Ended</w:t>
            </w:r>
          </w:p>
        </w:tc>
      </w:tr>
      <w:tr>
        <w:trPr>
          <w:trHeight w:val="186"/>
        </w:trPr>
        <w:tc>
          <w:tcPr>
            <w:tcW w:w="10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84"/>
        </w:trPr>
        <w:tc>
          <w:tcPr>
            <w:tcW w:w="1080" w:type="dxa"/>
            <w:vAlign w:val="bottom"/>
          </w:tcPr>
          <w:p>
            <w:pPr>
              <w:jc w:val="right"/>
              <w:ind w:right="349"/>
              <w:spacing w:after="0"/>
              <w:rPr>
                <w:sz w:val="20"/>
                <w:szCs w:val="20"/>
                <w:color w:val="auto"/>
              </w:rPr>
            </w:pPr>
            <w:r>
              <w:rPr>
                <w:rFonts w:ascii="Arial" w:cs="Arial" w:eastAsia="Arial" w:hAnsi="Arial"/>
                <w:sz w:val="14"/>
                <w:szCs w:val="14"/>
                <w:b w:val="1"/>
                <w:bCs w:val="1"/>
                <w:color w:val="auto"/>
              </w:rPr>
              <w:t>2023</w:t>
            </w:r>
          </w:p>
        </w:tc>
        <w:tc>
          <w:tcPr>
            <w:tcW w:w="1400" w:type="dxa"/>
            <w:vAlign w:val="bottom"/>
          </w:tcPr>
          <w:p>
            <w:pPr>
              <w:jc w:val="right"/>
              <w:ind w:right="629"/>
              <w:spacing w:after="0"/>
              <w:rPr>
                <w:sz w:val="20"/>
                <w:szCs w:val="20"/>
                <w:color w:val="auto"/>
              </w:rPr>
            </w:pPr>
            <w:r>
              <w:rPr>
                <w:rFonts w:ascii="Arial" w:cs="Arial" w:eastAsia="Arial" w:hAnsi="Arial"/>
                <w:sz w:val="14"/>
                <w:szCs w:val="14"/>
                <w:b w:val="1"/>
                <w:bCs w:val="1"/>
                <w:color w:val="auto"/>
              </w:rPr>
              <w:t>2022</w:t>
            </w:r>
          </w:p>
        </w:tc>
        <w:tc>
          <w:tcPr>
            <w:tcW w:w="820" w:type="dxa"/>
            <w:vAlign w:val="bottom"/>
          </w:tcPr>
          <w:p>
            <w:pPr>
              <w:jc w:val="right"/>
              <w:ind w:right="349"/>
              <w:spacing w:after="0"/>
              <w:rPr>
                <w:sz w:val="20"/>
                <w:szCs w:val="20"/>
                <w:color w:val="auto"/>
              </w:rPr>
            </w:pPr>
            <w:r>
              <w:rPr>
                <w:rFonts w:ascii="Arial" w:cs="Arial" w:eastAsia="Arial" w:hAnsi="Arial"/>
                <w:sz w:val="14"/>
                <w:szCs w:val="14"/>
                <w:b w:val="1"/>
                <w:bCs w:val="1"/>
                <w:color w:val="auto"/>
              </w:rPr>
              <w:t>2023</w:t>
            </w:r>
          </w:p>
        </w:tc>
        <w:tc>
          <w:tcPr>
            <w:tcW w:w="1060" w:type="dxa"/>
            <w:vAlign w:val="bottom"/>
          </w:tcPr>
          <w:p>
            <w:pPr>
              <w:jc w:val="right"/>
              <w:ind w:right="289"/>
              <w:spacing w:after="0"/>
              <w:rPr>
                <w:sz w:val="20"/>
                <w:szCs w:val="20"/>
                <w:color w:val="auto"/>
              </w:rPr>
            </w:pPr>
            <w:r>
              <w:rPr>
                <w:rFonts w:ascii="Arial" w:cs="Arial" w:eastAsia="Arial" w:hAnsi="Arial"/>
                <w:sz w:val="14"/>
                <w:szCs w:val="14"/>
                <w:b w:val="1"/>
                <w:bCs w:val="1"/>
                <w:color w:val="auto"/>
              </w:rPr>
              <w:t>2022</w:t>
            </w:r>
          </w:p>
        </w:tc>
      </w:tr>
    </w:tbl>
    <w:p>
      <w:pPr>
        <w:spacing w:after="0" w:line="1" w:lineRule="exact"/>
        <w:rPr>
          <w:sz w:val="20"/>
          <w:szCs w:val="20"/>
          <w:color w:val="auto"/>
        </w:rPr>
      </w:pPr>
    </w:p>
    <w:p>
      <w:pPr>
        <w:sectPr>
          <w:pgSz w:w="11900" w:h="16838" w:orient="portrait"/>
          <w:cols w:equalWidth="0" w:num="2">
            <w:col w:w="6780" w:space="80"/>
            <w:col w:w="4380"/>
          </w:cols>
          <w:pgMar w:left="320" w:top="127" w:right="339" w:bottom="1440" w:gutter="0" w:footer="0" w:header="0"/>
          <w:type w:val="continuous"/>
        </w:sectPr>
      </w:pPr>
    </w:p>
    <w:tbl>
      <w:tblPr>
        <w:tblLayout w:type="fixed"/>
        <w:tblInd w:w="0" w:type="dxa"/>
        <w:tblCellMar>
          <w:top w:w="0" w:type="dxa"/>
          <w:left w:w="0" w:type="dxa"/>
          <w:bottom w:w="0" w:type="dxa"/>
          <w:right w:w="0" w:type="dxa"/>
        </w:tblCellMar>
      </w:tblPr>
      <w:tr>
        <w:trPr>
          <w:trHeight w:val="233"/>
        </w:trPr>
        <w:tc>
          <w:tcPr>
            <w:tcW w:w="2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Average risk-free interest rates</w:t>
            </w:r>
          </w:p>
        </w:tc>
        <w:tc>
          <w:tcPr>
            <w:tcW w:w="24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3.88 %</w:t>
            </w: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3.04 %</w:t>
            </w: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3.76 %</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1.67 %</w:t>
            </w:r>
          </w:p>
        </w:tc>
        <w:tc>
          <w:tcPr>
            <w:tcW w:w="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4.87 %</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2.92 %</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4.27 %</w:t>
            </w: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2.77 %</w:t>
            </w:r>
          </w:p>
        </w:tc>
        <w:tc>
          <w:tcPr>
            <w:tcW w:w="0" w:type="dxa"/>
            <w:vAlign w:val="bottom"/>
          </w:tcPr>
          <w:p>
            <w:pPr>
              <w:spacing w:after="0"/>
              <w:rPr>
                <w:sz w:val="1"/>
                <w:szCs w:val="1"/>
                <w:color w:val="auto"/>
              </w:rPr>
            </w:pPr>
          </w:p>
        </w:tc>
      </w:tr>
      <w:tr>
        <w:trPr>
          <w:trHeight w:val="225"/>
        </w:trPr>
        <w:tc>
          <w:tcPr>
            <w:tcW w:w="2440" w:type="dxa"/>
            <w:vAlign w:val="bottom"/>
          </w:tcPr>
          <w:p>
            <w:pPr>
              <w:ind w:left="20"/>
              <w:spacing w:after="0"/>
              <w:rPr>
                <w:sz w:val="20"/>
                <w:szCs w:val="20"/>
                <w:color w:val="auto"/>
              </w:rPr>
            </w:pPr>
            <w:r>
              <w:rPr>
                <w:rFonts w:ascii="Arial" w:cs="Arial" w:eastAsia="Arial" w:hAnsi="Arial"/>
                <w:sz w:val="18"/>
                <w:szCs w:val="18"/>
                <w:color w:val="auto"/>
                <w:w w:val="94"/>
              </w:rPr>
              <w:t>Average expected life (in years)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0.50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39"/>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173"/>
        </w:trPr>
        <w:tc>
          <w:tcPr>
            <w:tcW w:w="2440" w:type="dxa"/>
            <w:vAlign w:val="bottom"/>
          </w:tcPr>
          <w:p>
            <w:pPr>
              <w:ind w:left="20"/>
              <w:spacing w:after="0" w:line="173" w:lineRule="exact"/>
              <w:rPr>
                <w:sz w:val="20"/>
                <w:szCs w:val="20"/>
                <w:color w:val="auto"/>
              </w:rPr>
            </w:pPr>
            <w:r>
              <w:rPr>
                <w:rFonts w:ascii="Arial" w:cs="Arial" w:eastAsia="Arial" w:hAnsi="Arial"/>
                <w:sz w:val="18"/>
                <w:szCs w:val="18"/>
                <w:color w:val="auto"/>
                <w:w w:val="95"/>
              </w:rPr>
              <w:t>Weighted-average fair value (in</w:t>
            </w:r>
          </w:p>
        </w:tc>
        <w:tc>
          <w:tcPr>
            <w:tcW w:w="240" w:type="dxa"/>
            <w:vAlign w:val="bottom"/>
            <w:vMerge w:val="restart"/>
          </w:tcPr>
          <w:p>
            <w:pPr>
              <w:jc w:val="right"/>
              <w:ind w:right="52"/>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ind w:right="132"/>
              <w:spacing w:after="0"/>
              <w:rPr>
                <w:sz w:val="20"/>
                <w:szCs w:val="20"/>
                <w:color w:val="auto"/>
              </w:rPr>
            </w:pPr>
            <w:r>
              <w:rPr>
                <w:rFonts w:ascii="Arial" w:cs="Arial" w:eastAsia="Arial" w:hAnsi="Arial"/>
                <w:sz w:val="18"/>
                <w:szCs w:val="18"/>
                <w:color w:val="auto"/>
              </w:rPr>
              <w:t>22.57</w:t>
            </w:r>
          </w:p>
        </w:tc>
        <w:tc>
          <w:tcPr>
            <w:tcW w:w="3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ind w:right="132"/>
              <w:spacing w:after="0"/>
              <w:rPr>
                <w:sz w:val="20"/>
                <w:szCs w:val="20"/>
                <w:color w:val="auto"/>
              </w:rPr>
            </w:pPr>
            <w:r>
              <w:rPr>
                <w:rFonts w:ascii="Arial" w:cs="Arial" w:eastAsia="Arial" w:hAnsi="Arial"/>
                <w:sz w:val="18"/>
                <w:szCs w:val="18"/>
                <w:color w:val="auto"/>
              </w:rPr>
              <w:t>26.35</w:t>
            </w: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ind w:right="112"/>
              <w:spacing w:after="0"/>
              <w:rPr>
                <w:sz w:val="20"/>
                <w:szCs w:val="20"/>
                <w:color w:val="auto"/>
              </w:rPr>
            </w:pPr>
            <w:r>
              <w:rPr>
                <w:rFonts w:ascii="Arial" w:cs="Arial" w:eastAsia="Arial" w:hAnsi="Arial"/>
                <w:sz w:val="18"/>
                <w:szCs w:val="18"/>
                <w:color w:val="auto"/>
              </w:rPr>
              <w:t>26.78</w:t>
            </w: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ind w:right="132"/>
              <w:spacing w:after="0"/>
              <w:rPr>
                <w:sz w:val="20"/>
                <w:szCs w:val="20"/>
                <w:color w:val="auto"/>
              </w:rPr>
            </w:pPr>
            <w:r>
              <w:rPr>
                <w:rFonts w:ascii="Arial" w:cs="Arial" w:eastAsia="Arial" w:hAnsi="Arial"/>
                <w:sz w:val="18"/>
                <w:szCs w:val="18"/>
                <w:color w:val="auto"/>
              </w:rPr>
              <w:t>25.30</w:t>
            </w: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112"/>
              <w:spacing w:after="0"/>
              <w:rPr>
                <w:sz w:val="20"/>
                <w:szCs w:val="20"/>
                <w:color w:val="auto"/>
              </w:rPr>
            </w:pPr>
            <w:r>
              <w:rPr>
                <w:rFonts w:ascii="Arial" w:cs="Arial" w:eastAsia="Arial" w:hAnsi="Arial"/>
                <w:sz w:val="18"/>
                <w:szCs w:val="18"/>
                <w:color w:val="auto"/>
              </w:rPr>
              <w:t>13.82</w:t>
            </w: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ind w:right="112"/>
              <w:spacing w:after="0"/>
              <w:rPr>
                <w:sz w:val="20"/>
                <w:szCs w:val="20"/>
                <w:color w:val="auto"/>
              </w:rPr>
            </w:pPr>
            <w:r>
              <w:rPr>
                <w:rFonts w:ascii="Arial" w:cs="Arial" w:eastAsia="Arial" w:hAnsi="Arial"/>
                <w:sz w:val="18"/>
                <w:szCs w:val="18"/>
                <w:color w:val="auto"/>
              </w:rPr>
              <w:t>14.91</w:t>
            </w: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ind w:right="132"/>
              <w:spacing w:after="0"/>
              <w:rPr>
                <w:sz w:val="20"/>
                <w:szCs w:val="20"/>
                <w:color w:val="auto"/>
              </w:rPr>
            </w:pPr>
            <w:r>
              <w:rPr>
                <w:rFonts w:ascii="Arial" w:cs="Arial" w:eastAsia="Arial" w:hAnsi="Arial"/>
                <w:sz w:val="18"/>
                <w:szCs w:val="18"/>
                <w:color w:val="auto"/>
              </w:rPr>
              <w:t>14.08</w:t>
            </w: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ind w:right="112"/>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23"/>
        </w:trPr>
        <w:tc>
          <w:tcPr>
            <w:tcW w:w="2440" w:type="dxa"/>
            <w:vAlign w:val="bottom"/>
          </w:tcPr>
          <w:p>
            <w:pPr>
              <w:ind w:left="20"/>
              <w:spacing w:after="0"/>
              <w:rPr>
                <w:sz w:val="20"/>
                <w:szCs w:val="20"/>
                <w:color w:val="auto"/>
              </w:rPr>
            </w:pPr>
            <w:r>
              <w:rPr>
                <w:rFonts w:ascii="Arial" w:cs="Arial" w:eastAsia="Arial" w:hAnsi="Arial"/>
                <w:sz w:val="18"/>
                <w:szCs w:val="18"/>
                <w:color w:val="auto"/>
              </w:rPr>
              <w:t>dollars)</w:t>
            </w:r>
          </w:p>
        </w:tc>
        <w:tc>
          <w:tcPr>
            <w:tcW w:w="24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340" w:type="dxa"/>
            <w:vAlign w:val="bottom"/>
            <w:gridSpan w:val="2"/>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340" w:type="dxa"/>
            <w:vAlign w:val="bottom"/>
            <w:gridSpan w:val="2"/>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360" w:type="dxa"/>
            <w:vAlign w:val="bottom"/>
            <w:gridSpan w:val="2"/>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360" w:type="dxa"/>
            <w:vAlign w:val="bottom"/>
            <w:gridSpan w:val="2"/>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360" w:type="dxa"/>
            <w:vAlign w:val="bottom"/>
            <w:gridSpan w:val="2"/>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360" w:type="dxa"/>
            <w:vAlign w:val="bottom"/>
            <w:gridSpan w:val="2"/>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340" w:type="dxa"/>
            <w:vAlign w:val="bottom"/>
            <w:gridSpan w:val="2"/>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jc w:val="both"/>
        <w:ind w:firstLine="636"/>
        <w:spacing w:after="0" w:line="312" w:lineRule="auto"/>
        <w:rPr>
          <w:sz w:val="20"/>
          <w:szCs w:val="20"/>
          <w:color w:val="auto"/>
        </w:rPr>
      </w:pPr>
      <w:r>
        <w:rPr>
          <w:rFonts w:ascii="Arial" w:cs="Arial" w:eastAsia="Arial" w:hAnsi="Arial"/>
          <w:sz w:val="15"/>
          <w:szCs w:val="15"/>
          <w:color w:val="auto"/>
        </w:rPr>
        <w:t>The risk-free interest rate is derived from the U.S. Federal Reserve rate in effect at the time of grant. The expected life calculation is based on the observed and expected time to the exercise of options by our employees based on historical exercise patterns for similar type options. Expected volatility is based on the historical volatility of our common stock over the period commensurate with the expected life of the options. A dividend yield of zero is assumed based on the fact that we have never paid cash dividends and have no present intention to pay cash dividends. Nonemployee awards are measured on the grant date by estimating the fair value of the equity instruments to be issued using the expected term, similar to our employee awards.</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Option activity under our 2010 Stock Incentive Plan (the “2010 Stock Plan”) was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3080" w:type="dxa"/>
            <w:vAlign w:val="bottom"/>
            <w:gridSpan w:val="4"/>
          </w:tcPr>
          <w:p>
            <w:pPr>
              <w:jc w:val="right"/>
              <w:ind w:right="937"/>
              <w:spacing w:after="0"/>
              <w:rPr>
                <w:sz w:val="20"/>
                <w:szCs w:val="20"/>
                <w:color w:val="auto"/>
              </w:rPr>
            </w:pPr>
            <w:r>
              <w:rPr>
                <w:rFonts w:ascii="Arial" w:cs="Arial" w:eastAsia="Arial" w:hAnsi="Arial"/>
                <w:sz w:val="14"/>
                <w:szCs w:val="14"/>
                <w:b w:val="1"/>
                <w:bCs w:val="1"/>
                <w:color w:val="auto"/>
              </w:rPr>
              <w:t>Shares Subject to</w:t>
            </w:r>
          </w:p>
        </w:tc>
        <w:tc>
          <w:tcPr>
            <w:tcW w:w="0" w:type="dxa"/>
            <w:vAlign w:val="bottom"/>
          </w:tcPr>
          <w:p>
            <w:pPr>
              <w:spacing w:after="0"/>
              <w:rPr>
                <w:sz w:val="1"/>
                <w:szCs w:val="1"/>
                <w:color w:val="auto"/>
              </w:rPr>
            </w:pPr>
          </w:p>
        </w:tc>
      </w:tr>
      <w:tr>
        <w:trPr>
          <w:trHeight w:val="189"/>
        </w:trPr>
        <w:tc>
          <w:tcPr>
            <w:tcW w:w="8160" w:type="dxa"/>
            <w:vAlign w:val="bottom"/>
          </w:tcPr>
          <w:p>
            <w:pPr>
              <w:spacing w:after="0"/>
              <w:rPr>
                <w:sz w:val="16"/>
                <w:szCs w:val="16"/>
                <w:color w:val="auto"/>
              </w:rPr>
            </w:pPr>
          </w:p>
        </w:tc>
        <w:tc>
          <w:tcPr>
            <w:tcW w:w="3080" w:type="dxa"/>
            <w:vAlign w:val="bottom"/>
            <w:tcBorders>
              <w:bottom w:val="single" w:sz="8" w:color="auto"/>
            </w:tcBorders>
            <w:gridSpan w:val="4"/>
          </w:tcPr>
          <w:p>
            <w:pPr>
              <w:jc w:val="right"/>
              <w:ind w:right="817"/>
              <w:spacing w:after="0"/>
              <w:rPr>
                <w:sz w:val="20"/>
                <w:szCs w:val="20"/>
                <w:color w:val="auto"/>
              </w:rPr>
            </w:pPr>
            <w:r>
              <w:rPr>
                <w:rFonts w:ascii="Arial" w:cs="Arial" w:eastAsia="Arial" w:hAnsi="Arial"/>
                <w:sz w:val="14"/>
                <w:szCs w:val="14"/>
                <w:b w:val="1"/>
                <w:bCs w:val="1"/>
                <w:color w:val="auto"/>
              </w:rPr>
              <w:t>Outstanding Options</w:t>
            </w:r>
          </w:p>
        </w:tc>
        <w:tc>
          <w:tcPr>
            <w:tcW w:w="0" w:type="dxa"/>
            <w:vAlign w:val="bottom"/>
          </w:tcPr>
          <w:p>
            <w:pPr>
              <w:spacing w:after="0"/>
              <w:rPr>
                <w:sz w:val="1"/>
                <w:szCs w:val="1"/>
                <w:color w:val="auto"/>
              </w:rPr>
            </w:pPr>
          </w:p>
        </w:tc>
      </w:tr>
      <w:tr>
        <w:trPr>
          <w:trHeight w:val="135"/>
        </w:trPr>
        <w:tc>
          <w:tcPr>
            <w:tcW w:w="8160" w:type="dxa"/>
            <w:vAlign w:val="bottom"/>
          </w:tcPr>
          <w:p>
            <w:pPr>
              <w:spacing w:after="0"/>
              <w:rPr>
                <w:sz w:val="11"/>
                <w:szCs w:val="11"/>
                <w:color w:val="auto"/>
              </w:rPr>
            </w:pPr>
          </w:p>
        </w:tc>
        <w:tc>
          <w:tcPr>
            <w:tcW w:w="1500" w:type="dxa"/>
            <w:vAlign w:val="bottom"/>
            <w:vMerge w:val="restart"/>
          </w:tcPr>
          <w:p>
            <w:pPr>
              <w:jc w:val="right"/>
              <w:ind w:right="47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jc w:val="right"/>
              <w:ind w:right="117"/>
              <w:spacing w:after="0" w:line="135"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84"/>
        </w:trPr>
        <w:tc>
          <w:tcPr>
            <w:tcW w:w="816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ind w:right="237"/>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4"/>
        </w:trPr>
        <w:tc>
          <w:tcPr>
            <w:tcW w:w="8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12,650,359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87.25</w:t>
            </w:r>
          </w:p>
        </w:tc>
        <w:tc>
          <w:tcPr>
            <w:tcW w:w="0" w:type="dxa"/>
            <w:vAlign w:val="bottom"/>
          </w:tcPr>
          <w:p>
            <w:pPr>
              <w:spacing w:after="0"/>
              <w:rPr>
                <w:sz w:val="1"/>
                <w:szCs w:val="1"/>
                <w:color w:val="auto"/>
              </w:rPr>
            </w:pPr>
          </w:p>
        </w:tc>
      </w:tr>
      <w:tr>
        <w:trPr>
          <w:trHeight w:val="225"/>
        </w:trPr>
        <w:tc>
          <w:tcPr>
            <w:tcW w:w="8160" w:type="dxa"/>
            <w:vAlign w:val="bottom"/>
          </w:tcPr>
          <w:p>
            <w:pPr>
              <w:ind w:left="20"/>
              <w:spacing w:after="0"/>
              <w:rPr>
                <w:sz w:val="20"/>
                <w:szCs w:val="20"/>
                <w:color w:val="auto"/>
              </w:rPr>
            </w:pPr>
            <w:r>
              <w:rPr>
                <w:rFonts w:ascii="Arial" w:cs="Arial" w:eastAsia="Arial" w:hAnsi="Arial"/>
                <w:sz w:val="18"/>
                <w:szCs w:val="18"/>
                <w:color w:val="auto"/>
              </w:rPr>
              <w:t>Options 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702,470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78.53</w:t>
            </w:r>
          </w:p>
        </w:tc>
        <w:tc>
          <w:tcPr>
            <w:tcW w:w="0" w:type="dxa"/>
            <w:vAlign w:val="bottom"/>
          </w:tcPr>
          <w:p>
            <w:pPr>
              <w:spacing w:after="0"/>
              <w:rPr>
                <w:sz w:val="1"/>
                <w:szCs w:val="1"/>
                <w:color w:val="auto"/>
              </w:rPr>
            </w:pPr>
          </w:p>
        </w:tc>
      </w:tr>
      <w:tr>
        <w:trPr>
          <w:trHeight w:val="23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(231,417)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67.05</w:t>
            </w:r>
          </w:p>
        </w:tc>
        <w:tc>
          <w:tcPr>
            <w:tcW w:w="0" w:type="dxa"/>
            <w:vAlign w:val="bottom"/>
          </w:tcPr>
          <w:p>
            <w:pPr>
              <w:spacing w:after="0"/>
              <w:rPr>
                <w:sz w:val="1"/>
                <w:szCs w:val="1"/>
                <w:color w:val="auto"/>
              </w:rPr>
            </w:pPr>
          </w:p>
        </w:tc>
      </w:tr>
      <w:tr>
        <w:trPr>
          <w:trHeight w:val="225"/>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Options cancelled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(755,507)</w:t>
            </w:r>
          </w:p>
        </w:tc>
        <w:tc>
          <w:tcPr>
            <w:tcW w:w="24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94.07</w:t>
            </w:r>
          </w:p>
        </w:tc>
        <w:tc>
          <w:tcPr>
            <w:tcW w:w="0" w:type="dxa"/>
            <w:vAlign w:val="bottom"/>
          </w:tcPr>
          <w:p>
            <w:pPr>
              <w:spacing w:after="0"/>
              <w:rPr>
                <w:sz w:val="1"/>
                <w:szCs w:val="1"/>
                <w:color w:val="auto"/>
              </w:rPr>
            </w:pPr>
          </w:p>
        </w:tc>
      </w:tr>
      <w:tr>
        <w:trPr>
          <w:trHeight w:val="244"/>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2023</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12,365,905</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86.72</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Our annual stock option grants generally have a 10-year term and vest over four years, with 25% vesting after one year and the remainder vesting in 36 equal monthly installments.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Restricted stock unit (“RSU”) and performance share (“PSU”) award activity under the 2010 Stock Plan was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3080" w:type="dxa"/>
            <w:vAlign w:val="bottom"/>
            <w:gridSpan w:val="4"/>
          </w:tcPr>
          <w:p>
            <w:pPr>
              <w:jc w:val="right"/>
              <w:ind w:right="934"/>
              <w:spacing w:after="0"/>
              <w:rPr>
                <w:sz w:val="20"/>
                <w:szCs w:val="20"/>
                <w:color w:val="auto"/>
              </w:rPr>
            </w:pPr>
            <w:r>
              <w:rPr>
                <w:rFonts w:ascii="Arial" w:cs="Arial" w:eastAsia="Arial" w:hAnsi="Arial"/>
                <w:sz w:val="14"/>
                <w:szCs w:val="14"/>
                <w:b w:val="1"/>
                <w:bCs w:val="1"/>
                <w:color w:val="auto"/>
              </w:rPr>
              <w:t>Shares Subject to</w:t>
            </w:r>
          </w:p>
        </w:tc>
      </w:tr>
      <w:tr>
        <w:trPr>
          <w:trHeight w:val="189"/>
        </w:trPr>
        <w:tc>
          <w:tcPr>
            <w:tcW w:w="8160" w:type="dxa"/>
            <w:vAlign w:val="bottom"/>
          </w:tcPr>
          <w:p>
            <w:pPr>
              <w:spacing w:after="0"/>
              <w:rPr>
                <w:sz w:val="16"/>
                <w:szCs w:val="16"/>
                <w:color w:val="auto"/>
              </w:rPr>
            </w:pPr>
          </w:p>
        </w:tc>
        <w:tc>
          <w:tcPr>
            <w:tcW w:w="3080" w:type="dxa"/>
            <w:vAlign w:val="bottom"/>
            <w:tcBorders>
              <w:bottom w:val="single" w:sz="8" w:color="auto"/>
            </w:tcBorders>
            <w:gridSpan w:val="4"/>
          </w:tcPr>
          <w:p>
            <w:pPr>
              <w:jc w:val="right"/>
              <w:ind w:right="834"/>
              <w:spacing w:after="0"/>
              <w:rPr>
                <w:sz w:val="20"/>
                <w:szCs w:val="20"/>
                <w:color w:val="auto"/>
              </w:rPr>
            </w:pPr>
            <w:r>
              <w:rPr>
                <w:rFonts w:ascii="Arial" w:cs="Arial" w:eastAsia="Arial" w:hAnsi="Arial"/>
                <w:sz w:val="14"/>
                <w:szCs w:val="14"/>
                <w:b w:val="1"/>
                <w:bCs w:val="1"/>
                <w:color w:val="auto"/>
              </w:rPr>
              <w:t>Outstanding Awards</w:t>
            </w:r>
          </w:p>
        </w:tc>
      </w:tr>
      <w:tr>
        <w:trPr>
          <w:trHeight w:val="191"/>
        </w:trPr>
        <w:tc>
          <w:tcPr>
            <w:tcW w:w="816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5"/>
              </w:rPr>
              <w:t>Grant Date Value</w:t>
            </w:r>
          </w:p>
        </w:tc>
      </w:tr>
      <w:tr>
        <w:trPr>
          <w:trHeight w:val="225"/>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5,187,592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81.24</w:t>
            </w:r>
          </w:p>
        </w:tc>
      </w:tr>
      <w:tr>
        <w:trPr>
          <w:trHeight w:val="231"/>
        </w:trPr>
        <w:tc>
          <w:tcPr>
            <w:tcW w:w="8160" w:type="dxa"/>
            <w:vAlign w:val="bottom"/>
          </w:tcPr>
          <w:p>
            <w:pPr>
              <w:ind w:left="20"/>
              <w:spacing w:after="0"/>
              <w:rPr>
                <w:sz w:val="20"/>
                <w:szCs w:val="20"/>
                <w:color w:val="auto"/>
              </w:rPr>
            </w:pPr>
            <w:r>
              <w:rPr>
                <w:rFonts w:ascii="Arial" w:cs="Arial" w:eastAsia="Arial" w:hAnsi="Arial"/>
                <w:sz w:val="18"/>
                <w:szCs w:val="18"/>
                <w:color w:val="auto"/>
              </w:rPr>
              <w:t>RSUs 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829,206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77.15</w:t>
            </w:r>
          </w:p>
        </w:tc>
      </w:tr>
      <w:tr>
        <w:trPr>
          <w:trHeight w:val="232"/>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 released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(186,167)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77.96</w:t>
            </w:r>
          </w:p>
        </w:tc>
      </w:tr>
      <w:tr>
        <w:trPr>
          <w:trHeight w:val="225"/>
        </w:trPr>
        <w:tc>
          <w:tcPr>
            <w:tcW w:w="8160" w:type="dxa"/>
            <w:vAlign w:val="bottom"/>
          </w:tcPr>
          <w:p>
            <w:pPr>
              <w:ind w:left="20"/>
              <w:spacing w:after="0"/>
              <w:rPr>
                <w:sz w:val="20"/>
                <w:szCs w:val="20"/>
                <w:color w:val="auto"/>
              </w:rPr>
            </w:pPr>
            <w:r>
              <w:rPr>
                <w:rFonts w:ascii="Arial" w:cs="Arial" w:eastAsia="Arial" w:hAnsi="Arial"/>
                <w:sz w:val="18"/>
                <w:szCs w:val="18"/>
                <w:color w:val="auto"/>
              </w:rPr>
              <w:t>RSUs cancelled</w:t>
            </w:r>
          </w:p>
        </w:tc>
        <w:tc>
          <w:tcPr>
            <w:tcW w:w="1500" w:type="dxa"/>
            <w:vAlign w:val="bottom"/>
          </w:tcPr>
          <w:p>
            <w:pPr>
              <w:jc w:val="right"/>
              <w:spacing w:after="0"/>
              <w:rPr>
                <w:sz w:val="20"/>
                <w:szCs w:val="20"/>
                <w:color w:val="auto"/>
              </w:rPr>
            </w:pPr>
            <w:r>
              <w:rPr>
                <w:rFonts w:ascii="Arial" w:cs="Arial" w:eastAsia="Arial" w:hAnsi="Arial"/>
                <w:sz w:val="18"/>
                <w:szCs w:val="18"/>
                <w:color w:val="auto"/>
              </w:rPr>
              <w:t>(125,325)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80.67</w:t>
            </w:r>
          </w:p>
        </w:tc>
      </w:tr>
      <w:tr>
        <w:trPr>
          <w:trHeight w:val="23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PSUs cancelled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106.47</w:t>
            </w:r>
          </w:p>
        </w:tc>
      </w:tr>
      <w:tr>
        <w:trPr>
          <w:trHeight w:val="219"/>
        </w:trPr>
        <w:tc>
          <w:tcPr>
            <w:tcW w:w="8160" w:type="dxa"/>
            <w:vAlign w:val="bottom"/>
          </w:tcPr>
          <w:p>
            <w:pPr>
              <w:ind w:left="20"/>
              <w:spacing w:after="0"/>
              <w:rPr>
                <w:sz w:val="20"/>
                <w:szCs w:val="20"/>
                <w:color w:val="auto"/>
              </w:rPr>
            </w:pPr>
            <w:r>
              <w:rPr>
                <w:rFonts w:ascii="Arial" w:cs="Arial" w:eastAsia="Arial" w:hAnsi="Arial"/>
                <w:sz w:val="18"/>
                <w:szCs w:val="18"/>
                <w:color w:val="auto"/>
              </w:rPr>
              <w:t>Balance at June 30, 2023</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5,704,335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80.77</w:t>
            </w:r>
          </w:p>
        </w:tc>
      </w:tr>
      <w:tr>
        <w:trPr>
          <w:trHeight w:val="20"/>
        </w:trPr>
        <w:tc>
          <w:tcPr>
            <w:tcW w:w="8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636"/>
        <w:spacing w:after="0" w:line="277" w:lineRule="auto"/>
        <w:rPr>
          <w:sz w:val="20"/>
          <w:szCs w:val="20"/>
          <w:color w:val="auto"/>
        </w:rPr>
      </w:pPr>
      <w:r>
        <w:rPr>
          <w:rFonts w:ascii="Arial" w:cs="Arial" w:eastAsia="Arial" w:hAnsi="Arial"/>
          <w:sz w:val="17"/>
          <w:szCs w:val="17"/>
          <w:color w:val="auto"/>
        </w:rPr>
        <w:t>RSUs and PSUs are granted to our employees at the share price on the date of grant. Each RSU represents the right to acquire one share of our common stock. Each RSU granted in connection with our annual equity awards will vest 25% annually over four years, while each RSU granted as outstanding merit awards or as part of retention award programs will vest in a single installment at the end of four years.</w:t>
      </w:r>
    </w:p>
    <w:p>
      <w:pPr>
        <w:spacing w:after="0" w:line="171"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7"/>
          <w:szCs w:val="17"/>
          <w:color w:val="auto"/>
        </w:rPr>
        <w:t>We grant PSUs with performance and/or service-based milestones with graded and/or cliff vesting over three to four years. The shares of our common stock into which each PSU may convert is subject to a multiplier based on the level at which the financial, developmental and market performance conditions are achieved over the service period. Compensation expense for PSUs with financial and developmental performance conditions is recorded over the estimated service period for each milestone when the performance conditions are deemed probable of achievement. For PSUs containing performance conditions which were not deemed probable of achievement, no stock compensation expense is recorded. Compensation expense for PSUs with market performance conditions is calculated using a Monte Carlo simulation model as of the date of grant and recorded over the requisite service period. For the three and six months ended June 30, 2023 we recorded $2.7 million and $9.2 million, respectively, of stock compensation expense for PSUs on our condensed consolidated statements of operations. For the three and six months ended June 30, 2022 we recorded $0.1 million and $1.9 million of stock compensation expense for PSUs on our condensed consolidated statements of operations.</w:t>
      </w:r>
    </w:p>
    <w:p>
      <w:pPr>
        <w:spacing w:after="0" w:line="185"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The following table summarizes our shares available for grant under the 2010 Stock Plan. Each RSU and PSU grant reduces the available share pool by 2 shares.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-147955</wp:posOffset>
            </wp:positionV>
            <wp:extent cx="7134860" cy="168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Additional 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7134860" cy="1600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Arial" w:cs="Arial" w:eastAsia="Arial" w:hAnsi="Arial"/>
          <w:sz w:val="15"/>
          <w:szCs w:val="15"/>
          <w:color w:val="auto"/>
        </w:rPr>
        <w:t>Options, RSUs and PSUs granted</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5"/>
          <w:szCs w:val="15"/>
          <w:color w:val="auto"/>
        </w:rPr>
        <w:t>Options, RSUs and PSUs cancelled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41275</wp:posOffset>
            </wp:positionV>
            <wp:extent cx="7134860" cy="1854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860" cy="185420"/>
                    </a:xfrm>
                    <a:prstGeom prst="rect">
                      <a:avLst/>
                    </a:prstGeom>
                    <a:noFill/>
                  </pic:spPr>
                </pic:pic>
              </a:graphicData>
            </a:graphic>
          </wp:anchor>
        </w:drawing>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June 30, 2023</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jc w:val="center"/>
        <w:ind w:right="260"/>
        <w:spacing w:after="0"/>
        <w:rPr>
          <w:sz w:val="20"/>
          <w:szCs w:val="20"/>
          <w:color w:val="auto"/>
        </w:rPr>
      </w:pPr>
      <w:r>
        <w:rPr>
          <w:rFonts w:ascii="Arial" w:cs="Arial" w:eastAsia="Arial" w:hAnsi="Arial"/>
          <w:sz w:val="12"/>
          <w:szCs w:val="12"/>
          <w:b w:val="1"/>
          <w:bCs w:val="1"/>
          <w:color w:val="auto"/>
        </w:rPr>
        <w:t>Shares Available</w:t>
      </w:r>
    </w:p>
    <w:p>
      <w:pPr>
        <w:spacing w:after="0" w:line="37"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for Grant</w:t>
      </w:r>
    </w:p>
    <w:p>
      <w:pPr>
        <w:spacing w:after="0" w:line="58"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5,056,370</w:t>
      </w:r>
    </w:p>
    <w:p>
      <w:pPr>
        <w:spacing w:after="0" w:line="45"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12,500,000</w:t>
      </w:r>
    </w:p>
    <w:p>
      <w:pPr>
        <w:spacing w:after="0" w:line="45"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(2,360,882)</w:t>
      </w:r>
    </w:p>
    <w:p>
      <w:pPr>
        <w:spacing w:after="0" w:line="45"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1,006,844</w:t>
      </w:r>
    </w:p>
    <w:p>
      <w:pPr>
        <w:spacing w:after="0" w:line="71" w:lineRule="exact"/>
        <w:rPr>
          <w:sz w:val="20"/>
          <w:szCs w:val="20"/>
          <w:color w:val="auto"/>
        </w:rPr>
      </w:pPr>
    </w:p>
    <w:p>
      <w:pPr>
        <w:ind w:left="420"/>
        <w:spacing w:after="0"/>
        <w:rPr>
          <w:sz w:val="20"/>
          <w:szCs w:val="20"/>
          <w:color w:val="auto"/>
        </w:rPr>
      </w:pPr>
      <w:r>
        <w:rPr>
          <w:rFonts w:ascii="Arial" w:cs="Arial" w:eastAsia="Arial" w:hAnsi="Arial"/>
          <w:sz w:val="15"/>
          <w:szCs w:val="15"/>
          <w:color w:val="auto"/>
        </w:rPr>
        <w:t>16,202,332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66675</wp:posOffset>
            </wp:positionV>
            <wp:extent cx="9505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61" w:lineRule="exact"/>
        <w:rPr>
          <w:sz w:val="20"/>
          <w:szCs w:val="20"/>
          <w:color w:val="auto"/>
        </w:rPr>
      </w:pPr>
    </w:p>
    <w:p>
      <w:pPr>
        <w:sectPr>
          <w:pgSz w:w="11900" w:h="16838" w:orient="portrait"/>
          <w:cols w:equalWidth="0" w:num="2">
            <w:col w:w="9280" w:space="720"/>
            <w:col w:w="1240"/>
          </w:cols>
          <w:pgMar w:left="320" w:top="127" w:right="339" w:bottom="1440" w:gutter="0" w:footer="0" w:header="0"/>
          <w:type w:val="continuous"/>
        </w:sectPr>
      </w:pPr>
    </w:p>
    <w:p>
      <w:pPr>
        <w:spacing w:after="0" w:line="150"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Based on our historical experience of employee turnover, we have assumed an annualized forfeiture rate of 5% for our options, RSUs and PSUs. Under the true-up provisions of the stock compensation guidance, we will record additional expense if the actual forfeiture rate is lower than we estimated, and will record a recovery of prior expense if the actual forfeiture is higher than we estimated.</w:t>
      </w:r>
    </w:p>
    <w:p>
      <w:pPr>
        <w:spacing w:after="0" w:line="188"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Total compensation cost of options granted but not yet vested, as of June 30, 2023, was $34.5 million, which is expected to be recognized over the weighted average period of approximately 1.1 years. Total compensation cost of RSUs granted but not yet vested, as of June 30, 2023, was $175.0 million, which is expected to be recognized over the weighted average period of approximately 1.6 years. Total compensation cost of PSUs granted but not yet vested, as of June 30, 2023, was $28.2 million, which is expected to be recognized over the weighted average period of 1.4 years, should the underlying performance conditions be deemed probable of achievement.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23" w:lineRule="exact"/>
        <w:rPr>
          <w:sz w:val="20"/>
          <w:szCs w:val="20"/>
          <w:color w:val="auto"/>
        </w:rPr>
      </w:pPr>
    </w:p>
    <w:p>
      <w:pPr>
        <w:ind w:right="660" w:firstLine="636"/>
        <w:spacing w:after="0" w:line="264" w:lineRule="auto"/>
        <w:rPr>
          <w:sz w:val="20"/>
          <w:szCs w:val="20"/>
          <w:color w:val="auto"/>
        </w:rPr>
      </w:pPr>
      <w:r>
        <w:rPr>
          <w:rFonts w:ascii="Arial" w:cs="Arial" w:eastAsia="Arial" w:hAnsi="Arial"/>
          <w:sz w:val="18"/>
          <w:szCs w:val="18"/>
          <w:color w:val="auto"/>
        </w:rPr>
        <w:t>For the three and six months ended June 30, 2023 and 2022, we recorded the following provisions for income taxes and effective tax rates as compared to our income before provision for income taxes: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center"/>
              <w:ind w:left="461"/>
              <w:spacing w:after="0"/>
              <w:rPr>
                <w:sz w:val="20"/>
                <w:szCs w:val="20"/>
                <w:color w:val="auto"/>
              </w:rPr>
            </w:pPr>
            <w:r>
              <w:rPr>
                <w:rFonts w:ascii="Arial" w:cs="Arial" w:eastAsia="Arial" w:hAnsi="Arial"/>
                <w:sz w:val="14"/>
                <w:szCs w:val="14"/>
                <w:b w:val="1"/>
                <w:bCs w:val="1"/>
                <w:color w:val="auto"/>
                <w:w w:val="92"/>
              </w:rPr>
              <w:t>Three Months Ended</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center"/>
              <w:ind w:left="521"/>
              <w:spacing w:after="0"/>
              <w:rPr>
                <w:sz w:val="20"/>
                <w:szCs w:val="20"/>
                <w:color w:val="auto"/>
              </w:rPr>
            </w:pPr>
            <w:r>
              <w:rPr>
                <w:rFonts w:ascii="Arial" w:cs="Arial" w:eastAsia="Arial" w:hAnsi="Arial"/>
                <w:sz w:val="14"/>
                <w:szCs w:val="14"/>
                <w:b w:val="1"/>
                <w:bCs w:val="1"/>
                <w:color w:val="auto"/>
                <w:w w:val="90"/>
              </w:rPr>
              <w:t>Six Months Ended</w:t>
            </w:r>
          </w:p>
        </w:tc>
        <w:tc>
          <w:tcPr>
            <w:tcW w:w="940" w:type="dxa"/>
            <w:vAlign w:val="bottom"/>
          </w:tcPr>
          <w:p>
            <w:pPr>
              <w:spacing w:after="0"/>
              <w:rPr>
                <w:sz w:val="14"/>
                <w:szCs w:val="14"/>
                <w:color w:val="auto"/>
              </w:rPr>
            </w:pPr>
          </w:p>
        </w:tc>
      </w:tr>
      <w:tr>
        <w:trPr>
          <w:trHeight w:val="189"/>
        </w:trPr>
        <w:tc>
          <w:tcPr>
            <w:tcW w:w="48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4"/>
                <w:szCs w:val="14"/>
                <w:b w:val="1"/>
                <w:bCs w:val="1"/>
                <w:color w:val="auto"/>
                <w:w w:val="89"/>
              </w:rPr>
              <w:t>June 30,</w:t>
            </w:r>
          </w:p>
        </w:tc>
        <w:tc>
          <w:tcPr>
            <w:tcW w:w="8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521"/>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tcBorders>
              <w:bottom w:val="single" w:sz="8" w:color="auto"/>
            </w:tcBorders>
          </w:tcPr>
          <w:p>
            <w:pPr>
              <w:spacing w:after="0"/>
              <w:rPr>
                <w:sz w:val="16"/>
                <w:szCs w:val="16"/>
                <w:color w:val="auto"/>
              </w:rPr>
            </w:pPr>
          </w:p>
        </w:tc>
      </w:tr>
      <w:tr>
        <w:trPr>
          <w:trHeight w:val="191"/>
        </w:trPr>
        <w:tc>
          <w:tcPr>
            <w:tcW w:w="48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w w:val="83"/>
              </w:rPr>
              <w:t>2022</w:t>
            </w:r>
          </w:p>
        </w:tc>
        <w:tc>
          <w:tcPr>
            <w:tcW w:w="1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r>
      <w:tr>
        <w:trPr>
          <w:trHeight w:val="252"/>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277,604</w:t>
            </w:r>
          </w:p>
        </w:tc>
        <w:tc>
          <w:tcPr>
            <w:tcW w:w="7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229,378</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329,460</w:t>
            </w:r>
          </w:p>
        </w:tc>
        <w:tc>
          <w:tcPr>
            <w:tcW w:w="6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299,913</w:t>
            </w:r>
          </w:p>
        </w:tc>
      </w:tr>
      <w:tr>
        <w:trPr>
          <w:trHeight w:val="245"/>
        </w:trPr>
        <w:tc>
          <w:tcPr>
            <w:tcW w:w="48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rPr>
                <w:sz w:val="21"/>
                <w:szCs w:val="21"/>
                <w:color w:val="auto"/>
              </w:rPr>
            </w:pPr>
          </w:p>
        </w:tc>
        <w:tc>
          <w:tcPr>
            <w:tcW w:w="1120" w:type="dxa"/>
            <w:vAlign w:val="bottom"/>
          </w:tcPr>
          <w:p>
            <w:pPr>
              <w:jc w:val="right"/>
              <w:ind w:right="1"/>
              <w:spacing w:after="0"/>
              <w:rPr>
                <w:sz w:val="20"/>
                <w:szCs w:val="20"/>
                <w:color w:val="auto"/>
              </w:rPr>
            </w:pPr>
            <w:r>
              <w:rPr>
                <w:rFonts w:ascii="Arial" w:cs="Arial" w:eastAsia="Arial" w:hAnsi="Arial"/>
                <w:sz w:val="18"/>
                <w:szCs w:val="18"/>
                <w:color w:val="auto"/>
              </w:rPr>
              <w:t>74,056</w:t>
            </w: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67,946</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
              <w:spacing w:after="0"/>
              <w:rPr>
                <w:sz w:val="20"/>
                <w:szCs w:val="20"/>
                <w:color w:val="auto"/>
              </w:rPr>
            </w:pPr>
            <w:r>
              <w:rPr>
                <w:rFonts w:ascii="Arial" w:cs="Arial" w:eastAsia="Arial" w:hAnsi="Arial"/>
                <w:sz w:val="18"/>
                <w:szCs w:val="18"/>
                <w:color w:val="auto"/>
              </w:rPr>
              <w:t>104,209</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100,489</w:t>
            </w:r>
          </w:p>
        </w:tc>
      </w:tr>
      <w:tr>
        <w:trPr>
          <w:trHeight w:val="272"/>
        </w:trPr>
        <w:tc>
          <w:tcPr>
            <w:tcW w:w="48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38"/>
        </w:trPr>
        <w:tc>
          <w:tcPr>
            <w:tcW w:w="488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26.7%</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29.6%</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31.6%</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33.5%</w:t>
            </w:r>
          </w:p>
        </w:tc>
      </w:tr>
    </w:tbl>
    <w:p>
      <w:pPr>
        <w:spacing w:after="0" w:line="307"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Our effective tax rate for each of the three and six months ended June 30, 2023 and 2022 was higher than the U.S. statutory rate primarily due to foreign losses with no associated tax benefit (i.e., full valuation allowance) and an increase in our valuation allowance against certain U.S. federal and state deferred tax assets offset to a lesser extent by tax rate benefits associated with research and development and orphan drug tax credit generations and foreign derived intangible income deductions.</w:t>
      </w:r>
    </w:p>
    <w:p>
      <w:pPr>
        <w:spacing w:after="0" w:line="191"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The effective tax rate for the three and six months ended June 30, 2023 decreased as compared to that for the prior year periods due to a greater tax benefit recognized in 2023 associated with research and development and orphan drug tax credit generations.</w:t>
      </w:r>
    </w:p>
    <w:p>
      <w:pPr>
        <w:spacing w:after="0" w:line="181"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The balance of our unrecognized tax benefits (including penalties and interest) decreased marginally during the six months ended June 30, 2023. This movement was primarily driven by additions to current and prior period tax positions of $4.2 million, as well as $2.8 million of interest and penalties, offset by reductions related to prior period tax positions of $7.1 million. We accrue interest and penalties related to unrecognized tax benefits as a component of its provision for income taxes.</w:t>
      </w:r>
    </w:p>
    <w:p>
      <w:pPr>
        <w:spacing w:after="0" w:line="191" w:lineRule="exact"/>
        <w:rPr>
          <w:sz w:val="20"/>
          <w:szCs w:val="20"/>
          <w:color w:val="auto"/>
        </w:rPr>
      </w:pPr>
    </w:p>
    <w:p>
      <w:pPr>
        <w:jc w:val="both"/>
        <w:ind w:firstLine="636"/>
        <w:spacing w:after="0" w:line="294" w:lineRule="auto"/>
        <w:rPr>
          <w:sz w:val="20"/>
          <w:szCs w:val="20"/>
          <w:color w:val="auto"/>
        </w:rPr>
      </w:pPr>
      <w:r>
        <w:rPr>
          <w:rFonts w:ascii="Arial" w:cs="Arial" w:eastAsia="Arial" w:hAnsi="Arial"/>
          <w:sz w:val="17"/>
          <w:szCs w:val="17"/>
          <w:color w:val="auto"/>
        </w:rPr>
        <w:t>In August 2022, the Inflation Reduction Act of 2022 (“IRA”) was enacted into law. The IRA includes a 15% corporate alternative minimum tax and a 1% excise tax on share repurchases. We do not expect the IRA to have a material impact on our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Net Income Per Share</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Net income per share was calculated as follows for the periods indicated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89"/>
        </w:trPr>
        <w:tc>
          <w:tcPr>
            <w:tcW w:w="5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91"/>
        </w:trPr>
        <w:tc>
          <w:tcPr>
            <w:tcW w:w="5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96"/>
              </w:rPr>
              <w:t>2022</w:t>
            </w:r>
          </w:p>
        </w:tc>
      </w:tr>
      <w:tr>
        <w:trPr>
          <w:trHeight w:val="252"/>
        </w:trPr>
        <w:tc>
          <w:tcPr>
            <w:tcW w:w="5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 net income</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203,548</w:t>
            </w:r>
          </w:p>
        </w:tc>
        <w:tc>
          <w:tcPr>
            <w:tcW w:w="6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161,432</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225,251</w:t>
            </w:r>
          </w:p>
        </w:tc>
        <w:tc>
          <w:tcPr>
            <w:tcW w:w="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199,424</w:t>
            </w:r>
          </w:p>
        </w:tc>
      </w:tr>
      <w:tr>
        <w:trPr>
          <w:trHeight w:val="265"/>
        </w:trPr>
        <w:tc>
          <w:tcPr>
            <w:tcW w:w="5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65"/>
        </w:trPr>
        <w:tc>
          <w:tcPr>
            <w:tcW w:w="5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Weighted average common shares outstanding</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223,248</w:t>
            </w: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221,660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223,104</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221,493</w:t>
            </w:r>
          </w:p>
        </w:tc>
      </w:tr>
      <w:tr>
        <w:trPr>
          <w:trHeight w:val="265"/>
        </w:trPr>
        <w:tc>
          <w:tcPr>
            <w:tcW w:w="50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r>
      <w:tr>
        <w:trPr>
          <w:trHeight w:val="238"/>
        </w:trPr>
        <w:tc>
          <w:tcPr>
            <w:tcW w:w="5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 net income per share</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6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12"/>
        </w:trPr>
        <w:tc>
          <w:tcPr>
            <w:tcW w:w="50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18"/>
        </w:trPr>
        <w:tc>
          <w:tcPr>
            <w:tcW w:w="5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 net income</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203,548</w:t>
            </w:r>
          </w:p>
        </w:tc>
        <w:tc>
          <w:tcPr>
            <w:tcW w:w="6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161,432</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225,251</w:t>
            </w:r>
          </w:p>
        </w:tc>
        <w:tc>
          <w:tcPr>
            <w:tcW w:w="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199,424</w:t>
            </w:r>
          </w:p>
        </w:tc>
      </w:tr>
      <w:tr>
        <w:trPr>
          <w:trHeight w:val="265"/>
        </w:trPr>
        <w:tc>
          <w:tcPr>
            <w:tcW w:w="5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25"/>
        </w:trPr>
        <w:tc>
          <w:tcPr>
            <w:tcW w:w="5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Weighted average common shares outstanding</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223,248</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223,104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221,493</w:t>
            </w:r>
          </w:p>
        </w:tc>
      </w:tr>
      <w:tr>
        <w:trPr>
          <w:trHeight w:val="238"/>
        </w:trPr>
        <w:tc>
          <w:tcPr>
            <w:tcW w:w="50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Dilutive stock options and awards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2,401</w:t>
            </w:r>
          </w:p>
        </w:tc>
        <w:tc>
          <w:tcPr>
            <w:tcW w:w="8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2,001</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2,437</w:t>
            </w: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1,784</w:t>
            </w:r>
          </w:p>
        </w:tc>
      </w:tr>
      <w:tr>
        <w:trPr>
          <w:trHeight w:val="207"/>
        </w:trPr>
        <w:tc>
          <w:tcPr>
            <w:tcW w:w="50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Weighted average shares used to compute diluted net income per</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51"/>
        </w:trPr>
        <w:tc>
          <w:tcPr>
            <w:tcW w:w="5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225,649</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223,661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225,541</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223,277</w:t>
            </w:r>
          </w:p>
        </w:tc>
      </w:tr>
      <w:tr>
        <w:trPr>
          <w:trHeight w:val="265"/>
        </w:trPr>
        <w:tc>
          <w:tcPr>
            <w:tcW w:w="50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r>
      <w:tr>
        <w:trPr>
          <w:trHeight w:val="238"/>
        </w:trPr>
        <w:tc>
          <w:tcPr>
            <w:tcW w:w="5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 net income per share</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6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potential common shares that were excluded from the diluted net income per share computation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180" w:type="dxa"/>
            <w:vAlign w:val="bottom"/>
            <w:gridSpan w:val="3"/>
          </w:tcPr>
          <w:p>
            <w:pPr>
              <w:jc w:val="center"/>
              <w:ind w:left="785"/>
              <w:spacing w:after="0"/>
              <w:rPr>
                <w:sz w:val="20"/>
                <w:szCs w:val="20"/>
                <w:color w:val="auto"/>
              </w:rPr>
            </w:pPr>
            <w:r>
              <w:rPr>
                <w:rFonts w:ascii="Arial" w:cs="Arial" w:eastAsia="Arial" w:hAnsi="Arial"/>
                <w:sz w:val="14"/>
                <w:szCs w:val="14"/>
                <w:b w:val="1"/>
                <w:bCs w:val="1"/>
                <w:color w:val="auto"/>
                <w:w w:val="92"/>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3"/>
          </w:tcPr>
          <w:p>
            <w:pPr>
              <w:jc w:val="center"/>
              <w:ind w:left="849"/>
              <w:spacing w:after="0"/>
              <w:rPr>
                <w:sz w:val="20"/>
                <w:szCs w:val="20"/>
                <w:color w:val="auto"/>
              </w:rPr>
            </w:pPr>
            <w:r>
              <w:rPr>
                <w:rFonts w:ascii="Arial" w:cs="Arial" w:eastAsia="Arial" w:hAnsi="Arial"/>
                <w:sz w:val="14"/>
                <w:szCs w:val="14"/>
                <w:b w:val="1"/>
                <w:bCs w:val="1"/>
                <w:color w:val="auto"/>
                <w:w w:val="90"/>
              </w:rPr>
              <w:t>Six Months Ended</w:t>
            </w:r>
          </w:p>
        </w:tc>
        <w:tc>
          <w:tcPr>
            <w:tcW w:w="920" w:type="dxa"/>
            <w:vAlign w:val="bottom"/>
          </w:tcPr>
          <w:p>
            <w:pPr>
              <w:spacing w:after="0"/>
              <w:rPr>
                <w:sz w:val="14"/>
                <w:szCs w:val="14"/>
                <w:color w:val="auto"/>
              </w:rPr>
            </w:pPr>
          </w:p>
        </w:tc>
      </w:tr>
      <w:tr>
        <w:trPr>
          <w:trHeight w:val="189"/>
        </w:trPr>
        <w:tc>
          <w:tcPr>
            <w:tcW w:w="5020" w:type="dxa"/>
            <w:vAlign w:val="bottom"/>
          </w:tcPr>
          <w:p>
            <w:pPr>
              <w:spacing w:after="0"/>
              <w:rPr>
                <w:sz w:val="16"/>
                <w:szCs w:val="16"/>
                <w:color w:val="auto"/>
              </w:rPr>
            </w:pPr>
          </w:p>
        </w:tc>
        <w:tc>
          <w:tcPr>
            <w:tcW w:w="2180" w:type="dxa"/>
            <w:vAlign w:val="bottom"/>
            <w:tcBorders>
              <w:bottom w:val="single" w:sz="8" w:color="auto"/>
            </w:tcBorders>
            <w:gridSpan w:val="3"/>
          </w:tcPr>
          <w:p>
            <w:pPr>
              <w:jc w:val="center"/>
              <w:ind w:left="805"/>
              <w:spacing w:after="0"/>
              <w:rPr>
                <w:sz w:val="20"/>
                <w:szCs w:val="20"/>
                <w:color w:val="auto"/>
              </w:rPr>
            </w:pPr>
            <w:r>
              <w:rPr>
                <w:rFonts w:ascii="Arial" w:cs="Arial" w:eastAsia="Arial" w:hAnsi="Arial"/>
                <w:sz w:val="14"/>
                <w:szCs w:val="14"/>
                <w:b w:val="1"/>
                <w:bCs w:val="1"/>
                <w:color w:val="auto"/>
                <w:w w:val="89"/>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Borders>
              <w:bottom w:val="single" w:sz="8" w:color="auto"/>
            </w:tcBorders>
            <w:gridSpan w:val="3"/>
          </w:tcPr>
          <w:p>
            <w:pPr>
              <w:jc w:val="center"/>
              <w:ind w:left="849"/>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Borders>
              <w:bottom w:val="single" w:sz="8" w:color="auto"/>
            </w:tcBorders>
          </w:tcPr>
          <w:p>
            <w:pPr>
              <w:spacing w:after="0"/>
              <w:rPr>
                <w:sz w:val="16"/>
                <w:szCs w:val="16"/>
                <w:color w:val="auto"/>
              </w:rPr>
            </w:pPr>
          </w:p>
        </w:tc>
      </w:tr>
      <w:tr>
        <w:trPr>
          <w:trHeight w:val="191"/>
        </w:trPr>
        <w:tc>
          <w:tcPr>
            <w:tcW w:w="50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2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w w:val="83"/>
              </w:rPr>
              <w:t>2022</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w w:val="96"/>
              </w:rPr>
              <w:t>2022</w:t>
            </w:r>
          </w:p>
        </w:tc>
      </w:tr>
      <w:tr>
        <w:trPr>
          <w:trHeight w:val="225"/>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stock options and awards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12,806,418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10,767,335</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10,781,677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10,901,507</w:t>
            </w:r>
          </w:p>
        </w:tc>
      </w:tr>
    </w:tbl>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Employee Benefit Plans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Plans</w:t>
      </w:r>
    </w:p>
    <w:p>
      <w:pPr>
        <w:spacing w:after="0" w:line="217" w:lineRule="exact"/>
        <w:rPr>
          <w:sz w:val="20"/>
          <w:szCs w:val="20"/>
          <w:color w:val="auto"/>
        </w:rPr>
      </w:pPr>
    </w:p>
    <w:p>
      <w:pPr>
        <w:jc w:val="both"/>
        <w:ind w:firstLine="636"/>
        <w:spacing w:after="0" w:line="318" w:lineRule="auto"/>
        <w:rPr>
          <w:sz w:val="20"/>
          <w:szCs w:val="20"/>
          <w:color w:val="auto"/>
        </w:rPr>
      </w:pPr>
      <w:r>
        <w:rPr>
          <w:rFonts w:ascii="Arial" w:cs="Arial" w:eastAsia="Arial" w:hAnsi="Arial"/>
          <w:sz w:val="15"/>
          <w:szCs w:val="15"/>
          <w:color w:val="auto"/>
        </w:rPr>
        <w:t>We have a defined contribution plan qualified under Section 401(k) of the Internal Revenue Code covering all U.S. employees and defined contribution plans for other Incyte employees in Europe and Japan. Employees may contribute a portion of their compensation, which is then matched by us, subject to certain limitations. Defined contribution expense for the three and six months ended June 30, 2023 was $4.0 million and $9.6 million, respectively. Defined contribution expense for the three and six months ended June 30, 2022 was $4.7 million and $9.6 million,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Pension Plans</w:t>
      </w:r>
    </w:p>
    <w:p>
      <w:pPr>
        <w:spacing w:after="0" w:line="217"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We have defined benefit pension plans for our employees in Europe which provide benefits to employees upon retirement, death or disability. The assets of the pension plans are held in collective investment accounts represented by the cash surrender value of an insurance policy and are classified as Level 2 within the fair value hierarchy.</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net periodic benefit cost was as follows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89"/>
        </w:trPr>
        <w:tc>
          <w:tcPr>
            <w:tcW w:w="5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91"/>
        </w:trPr>
        <w:tc>
          <w:tcPr>
            <w:tcW w:w="50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w w:val="83"/>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96"/>
              </w:rPr>
              <w:t>2022</w:t>
            </w:r>
          </w:p>
        </w:tc>
      </w:tr>
      <w:tr>
        <w:trPr>
          <w:trHeight w:val="225"/>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w:t>
            </w: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4,960</w:t>
            </w:r>
          </w:p>
        </w:tc>
      </w:tr>
      <w:tr>
        <w:trPr>
          <w:trHeight w:val="231"/>
        </w:trPr>
        <w:tc>
          <w:tcPr>
            <w:tcW w:w="50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32"/>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w:t>
            </w:r>
          </w:p>
        </w:tc>
      </w:tr>
      <w:tr>
        <w:trPr>
          <w:trHeight w:val="225"/>
        </w:trPr>
        <w:tc>
          <w:tcPr>
            <w:tcW w:w="5040" w:type="dxa"/>
            <w:vAlign w:val="bottom"/>
          </w:tcPr>
          <w:p>
            <w:pPr>
              <w:ind w:left="20"/>
              <w:spacing w:after="0"/>
              <w:rPr>
                <w:sz w:val="20"/>
                <w:szCs w:val="20"/>
                <w:color w:val="auto"/>
              </w:rPr>
            </w:pPr>
            <w:r>
              <w:rPr>
                <w:rFonts w:ascii="Arial" w:cs="Arial" w:eastAsia="Arial" w:hAnsi="Arial"/>
                <w:sz w:val="18"/>
                <w:szCs w:val="18"/>
                <w:color w:val="auto"/>
              </w:rPr>
              <w:t>Amortization of prior service cost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387</w:t>
            </w:r>
          </w:p>
        </w:tc>
      </w:tr>
      <w:tr>
        <w:trPr>
          <w:trHeight w:val="238"/>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actuarial losses</w:t>
            </w: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19"/>
        </w:trPr>
        <w:tc>
          <w:tcPr>
            <w:tcW w:w="5040" w:type="dxa"/>
            <w:vAlign w:val="bottom"/>
          </w:tcPr>
          <w:p>
            <w:pPr>
              <w:ind w:left="20"/>
              <w:spacing w:after="0"/>
              <w:rPr>
                <w:sz w:val="20"/>
                <w:szCs w:val="20"/>
                <w:color w:val="auto"/>
              </w:rPr>
            </w:pPr>
            <w:r>
              <w:rPr>
                <w:rFonts w:ascii="Arial" w:cs="Arial" w:eastAsia="Arial" w:hAnsi="Arial"/>
                <w:sz w:val="18"/>
                <w:szCs w:val="18"/>
                <w:color w:val="auto"/>
              </w:rPr>
              <w:t>Net periodic benefit cost</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1,227</w:t>
            </w:r>
          </w:p>
        </w:tc>
        <w:tc>
          <w:tcPr>
            <w:tcW w:w="7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1,747</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2,585</w:t>
            </w:r>
          </w:p>
        </w:tc>
        <w:tc>
          <w:tcPr>
            <w:tcW w:w="6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3,544</w:t>
            </w:r>
          </w:p>
        </w:tc>
      </w:tr>
      <w:tr>
        <w:trPr>
          <w:trHeight w:val="20"/>
        </w:trPr>
        <w:tc>
          <w:tcPr>
            <w:tcW w:w="50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The components of net periodic benefit cost other than the service cost component are included in Interest income and other, net on the condensed consolidated statements of operations. We expect to contribute a total of $8.0 million to the pension plans in 2023 inclusive of the amounts contributed to the plan during the current period.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223"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We have entered into the collaboration agreements described in Note 7, as well as various other collaboration agreements that are not individually, or in the aggregate, significant to our operating results or financial condition at this time. We may in the future seek to license additional rights relating to technologies or drug development candidates in connection with our drug discovery and development programs. Under these agreements, we may be required to pay upfront fees, milestone payments, and royalties on sales of future products.</w:t>
      </w:r>
    </w:p>
    <w:p>
      <w:pPr>
        <w:spacing w:after="0" w:line="191"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In the ordinary course of our business, we may become involved in lawsuits, proceedings, and other disputes, including commercial, intellectual property, regulatory, employment, and other matters. We record a reserve for these matters when it is both probable that a liability has been incurred and the amount of the loss can be reasonably estimated.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3"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i w:val="1"/>
          <w:iCs w:val="1"/>
          <w:color w:val="auto"/>
        </w:rPr>
        <w:t>The following discussion of our financial condition and results of operations as of and for the three and six months ended June 30, 2023 should be read in conjunction with the unaudited condensed consolidated financial statements and notes to those statements included elsewhere in this Quarterly Report on Form 10-Q and our audited consolidated financial statements as of and for the year ended December 31, 2022 included in our Annual Report on Form 10-K for the year ended December 31, 2022 previously filed with the SEC.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3"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7"/>
          <w:szCs w:val="17"/>
          <w:i w:val="1"/>
          <w:iCs w:val="1"/>
          <w:color w:val="auto"/>
        </w:rPr>
        <w:t>This report contains forward-looking statements that involve risks and uncertainties. These statements relate to future periods, future events or our future operating or financial plans or performance. Often, these statements include the words “believe,” “expect,” “target,” “anticipate,” “intend,” “plan,” “seek,” “estimate,” “potential,” or words of similar meaning, or future or conditional verbs such as “will,” “would,” “should,” “could,” “might,” or “may,” or the negative of these terms, and other similar expressions. These forward-looking statements include statements as to:</w:t>
      </w:r>
    </w:p>
    <w:p>
      <w:pPr>
        <w:spacing w:after="0" w:line="64" w:lineRule="exact"/>
        <w:rPr>
          <w:sz w:val="20"/>
          <w:szCs w:val="20"/>
          <w:color w:val="auto"/>
        </w:rPr>
      </w:pPr>
    </w:p>
    <w:p>
      <w:pPr>
        <w:jc w:val="both"/>
        <w:ind w:left="960" w:hanging="318"/>
        <w:spacing w:after="0" w:line="235"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discovery, development, formulation, manufacturing and commercialization of our compounds, our drug candidates and JAKAFI</w:t>
      </w:r>
      <w:r>
        <w:rPr>
          <w:rFonts w:ascii="Arial" w:cs="Arial" w:eastAsia="Arial" w:hAnsi="Arial"/>
          <w:sz w:val="22"/>
          <w:szCs w:val="22"/>
          <w:i w:val="1"/>
          <w:iCs w:val="1"/>
          <w:color w:val="auto"/>
          <w:vertAlign w:val="superscript"/>
        </w:rPr>
        <w:t>®</w:t>
      </w:r>
      <w:r>
        <w:rPr>
          <w:rFonts w:ascii="Arial" w:cs="Arial" w:eastAsia="Arial" w:hAnsi="Arial"/>
          <w:sz w:val="18"/>
          <w:szCs w:val="18"/>
          <w:i w:val="1"/>
          <w:iCs w:val="1"/>
          <w:color w:val="auto"/>
        </w:rPr>
        <w:t>/JAKAVI</w:t>
      </w:r>
      <w:r>
        <w:rPr>
          <w:rFonts w:ascii="Arial" w:cs="Arial" w:eastAsia="Arial" w:hAnsi="Arial"/>
          <w:sz w:val="22"/>
          <w:szCs w:val="22"/>
          <w:i w:val="1"/>
          <w:iCs w:val="1"/>
          <w:color w:val="auto"/>
          <w:vertAlign w:val="superscript"/>
        </w:rPr>
        <w:t>®</w:t>
      </w:r>
      <w:r>
        <w:rPr>
          <w:rFonts w:ascii="Arial" w:cs="Arial" w:eastAsia="Arial" w:hAnsi="Arial"/>
          <w:sz w:val="18"/>
          <w:szCs w:val="18"/>
          <w:i w:val="1"/>
          <w:iCs w:val="1"/>
          <w:color w:val="auto"/>
        </w:rPr>
        <w:t xml:space="preserve"> (ruxolitinib), PEMAZYRE</w:t>
      </w:r>
      <w:r>
        <w:rPr>
          <w:rFonts w:ascii="Arial" w:cs="Arial" w:eastAsia="Arial" w:hAnsi="Arial"/>
          <w:sz w:val="22"/>
          <w:szCs w:val="22"/>
          <w:i w:val="1"/>
          <w:iCs w:val="1"/>
          <w:color w:val="auto"/>
          <w:vertAlign w:val="superscript"/>
        </w:rPr>
        <w:t>®</w:t>
      </w:r>
      <w:r>
        <w:rPr>
          <w:rFonts w:ascii="Arial" w:cs="Arial" w:eastAsia="Arial" w:hAnsi="Arial"/>
          <w:sz w:val="18"/>
          <w:szCs w:val="18"/>
          <w:i w:val="1"/>
          <w:iCs w:val="1"/>
          <w:color w:val="auto"/>
        </w:rPr>
        <w:t xml:space="preserve"> (pemigatinib), ICLUSIG</w:t>
      </w:r>
      <w:r>
        <w:rPr>
          <w:rFonts w:ascii="Arial" w:cs="Arial" w:eastAsia="Arial" w:hAnsi="Arial"/>
          <w:sz w:val="22"/>
          <w:szCs w:val="22"/>
          <w:i w:val="1"/>
          <w:iCs w:val="1"/>
          <w:color w:val="auto"/>
          <w:vertAlign w:val="superscript"/>
        </w:rPr>
        <w:t>®</w:t>
      </w:r>
      <w:r>
        <w:rPr>
          <w:rFonts w:ascii="Arial" w:cs="Arial" w:eastAsia="Arial" w:hAnsi="Arial"/>
          <w:sz w:val="18"/>
          <w:szCs w:val="18"/>
          <w:i w:val="1"/>
          <w:iCs w:val="1"/>
          <w:color w:val="auto"/>
        </w:rPr>
        <w:t xml:space="preserve"> (ponatinib), MONJUVI</w:t>
      </w:r>
      <w:r>
        <w:rPr>
          <w:rFonts w:ascii="Arial" w:cs="Arial" w:eastAsia="Arial" w:hAnsi="Arial"/>
          <w:sz w:val="22"/>
          <w:szCs w:val="22"/>
          <w:i w:val="1"/>
          <w:iCs w:val="1"/>
          <w:color w:val="auto"/>
          <w:vertAlign w:val="superscript"/>
        </w:rPr>
        <w:t>®</w:t>
      </w:r>
      <w:r>
        <w:rPr>
          <w:rFonts w:ascii="Arial" w:cs="Arial" w:eastAsia="Arial" w:hAnsi="Arial"/>
          <w:sz w:val="18"/>
          <w:szCs w:val="18"/>
          <w:i w:val="1"/>
          <w:iCs w:val="1"/>
          <w:color w:val="auto"/>
        </w:rPr>
        <w:t>(tafasitamab-cxix) /MINJUVI</w:t>
      </w:r>
      <w:r>
        <w:rPr>
          <w:rFonts w:ascii="Arial" w:cs="Arial" w:eastAsia="Arial" w:hAnsi="Arial"/>
          <w:sz w:val="22"/>
          <w:szCs w:val="22"/>
          <w:i w:val="1"/>
          <w:iCs w:val="1"/>
          <w:color w:val="auto"/>
          <w:vertAlign w:val="superscript"/>
        </w:rPr>
        <w:t>®</w:t>
      </w:r>
      <w:r>
        <w:rPr>
          <w:rFonts w:ascii="Arial" w:cs="Arial" w:eastAsia="Arial" w:hAnsi="Arial"/>
          <w:sz w:val="18"/>
          <w:szCs w:val="18"/>
          <w:i w:val="1"/>
          <w:iCs w:val="1"/>
          <w:color w:val="auto"/>
        </w:rPr>
        <w:t xml:space="preserve"> (tafasitamab), OPZELURA™ (ruxolitinib) cream and ZYNYZ™ (retifanlimab-dlwr);</w:t>
      </w:r>
    </w:p>
    <w:p>
      <w:pPr>
        <w:spacing w:after="0" w:line="96" w:lineRule="exact"/>
        <w:rPr>
          <w:rFonts w:ascii="Arial" w:cs="Arial" w:eastAsia="Arial" w:hAnsi="Arial"/>
          <w:sz w:val="18"/>
          <w:szCs w:val="18"/>
          <w:color w:val="auto"/>
        </w:rPr>
      </w:pPr>
    </w:p>
    <w:p>
      <w:pPr>
        <w:ind w:left="960" w:hanging="318"/>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plans to further develop our operations outside of the United States;</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conducting clinical trials internally, with collaborators, or with clinical research organizations;</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our collaboration and strategic relationship strategy, and anticipated benefits and disadvantages of entering into collaboration agreements;</w:t>
      </w:r>
    </w:p>
    <w:p>
      <w:pPr>
        <w:spacing w:after="0" w:line="145" w:lineRule="exact"/>
        <w:rPr>
          <w:rFonts w:ascii="Arial" w:cs="Arial" w:eastAsia="Arial" w:hAnsi="Arial"/>
          <w:sz w:val="15"/>
          <w:szCs w:val="15"/>
          <w:color w:val="auto"/>
        </w:rPr>
      </w:pPr>
    </w:p>
    <w:p>
      <w:pPr>
        <w:ind w:left="960" w:hanging="318"/>
        <w:spacing w:after="0"/>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our licensing, investment and commercialization strategies, including our plans to commercialize our drug products and drug candidates;</w:t>
      </w:r>
    </w:p>
    <w:p>
      <w:pPr>
        <w:spacing w:after="0" w:line="122" w:lineRule="exact"/>
        <w:rPr>
          <w:rFonts w:ascii="Arial" w:cs="Arial" w:eastAsia="Arial" w:hAnsi="Arial"/>
          <w:sz w:val="17"/>
          <w:szCs w:val="17"/>
          <w:color w:val="auto"/>
        </w:rPr>
      </w:pPr>
    </w:p>
    <w:p>
      <w:pPr>
        <w:ind w:left="960" w:hanging="318"/>
        <w:spacing w:after="0" w:line="264"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regulatory approval process, including obtaining U.S. Food and Drug Administration and other international regulatory authorities’ approval for our products in the United States and abroad;</w:t>
      </w:r>
    </w:p>
    <w:p>
      <w:pPr>
        <w:spacing w:after="0" w:line="74" w:lineRule="exact"/>
        <w:rPr>
          <w:rFonts w:ascii="Arial" w:cs="Arial" w:eastAsia="Arial" w:hAnsi="Arial"/>
          <w:sz w:val="18"/>
          <w:szCs w:val="18"/>
          <w:color w:val="auto"/>
        </w:rPr>
      </w:pPr>
    </w:p>
    <w:p>
      <w:pPr>
        <w:ind w:left="960" w:hanging="318"/>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safety, effectiveness and potential benefits and indications of our drug candidates and other compounds under development;</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timing and size of our clinical trials; the compounds expected to enter clinical trials; timing of clinical trial results;</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ability to manage expansion of our drug discovery and development operations;</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future required expertise relating to clinical trials, manufacturing, sales and marketing;</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obtaining and terminating licenses to products, drug candidates or technology, or other intellectual property rights;</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receipt from or payments pursuant to collaboration or license agreements resulting from milestones or royalties;</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plans to develop and commercialize products on our own;</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plans to use third-party manufacturers;</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plans for our manufacturing operations;</w:t>
      </w:r>
    </w:p>
    <w:p>
      <w:pPr>
        <w:spacing w:after="0" w:line="111" w:lineRule="exact"/>
        <w:rPr>
          <w:rFonts w:ascii="Arial" w:cs="Arial" w:eastAsia="Arial" w:hAnsi="Arial"/>
          <w:sz w:val="18"/>
          <w:szCs w:val="18"/>
          <w:color w:val="auto"/>
        </w:rPr>
      </w:pPr>
    </w:p>
    <w:p>
      <w:pPr>
        <w:ind w:left="960" w:hanging="318"/>
        <w:spacing w:after="0" w:line="264"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expected expenses and expenditure levels; expected uses of cash; expected revenues and sources of revenues, including milestone payments; expectations with respect to inventory;</w:t>
      </w:r>
    </w:p>
    <w:p>
      <w:pPr>
        <w:spacing w:after="0" w:line="74" w:lineRule="exact"/>
        <w:rPr>
          <w:rFonts w:ascii="Arial" w:cs="Arial" w:eastAsia="Arial" w:hAnsi="Arial"/>
          <w:sz w:val="18"/>
          <w:szCs w:val="18"/>
          <w:color w:val="auto"/>
        </w:rPr>
      </w:pPr>
    </w:p>
    <w:p>
      <w:pPr>
        <w:ind w:left="960" w:hanging="318"/>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expectations with respect to reimbursement for our products;</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expected impact of recent accounting pronouncements and changes in tax laws;</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expected losses; fluctuation of losses; currency translation impact associated with non-U.S. operations and collaboration royalties;</w:t>
      </w:r>
    </w:p>
    <w:p>
      <w:pPr>
        <w:spacing w:after="0" w:line="122" w:lineRule="exact"/>
        <w:rPr>
          <w:rFonts w:ascii="Arial" w:cs="Arial" w:eastAsia="Arial" w:hAnsi="Arial"/>
          <w:sz w:val="17"/>
          <w:szCs w:val="17"/>
          <w:color w:val="auto"/>
        </w:rPr>
      </w:pPr>
    </w:p>
    <w:p>
      <w:pPr>
        <w:ind w:left="960" w:hanging="318"/>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profitability; the adequacy of our capital resources to continue operations;</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need to raise additional capital;</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960" w:hanging="318"/>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costs associated with resolving matters in litigation and governmental proceedings;</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expectations regarding competition;</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investments, including anticipated expenditures, losses and expenses; and</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patent prosecution and maintenance efforts.</w:t>
      </w:r>
    </w:p>
    <w:p>
      <w:pPr>
        <w:spacing w:after="0" w:line="217" w:lineRule="exact"/>
        <w:rPr>
          <w:sz w:val="20"/>
          <w:szCs w:val="20"/>
          <w:color w:val="auto"/>
        </w:rPr>
      </w:pPr>
    </w:p>
    <w:p>
      <w:pPr>
        <w:ind w:firstLine="636"/>
        <w:spacing w:after="0" w:line="294" w:lineRule="auto"/>
        <w:rPr>
          <w:sz w:val="20"/>
          <w:szCs w:val="20"/>
          <w:color w:val="auto"/>
        </w:rPr>
      </w:pPr>
      <w:r>
        <w:rPr>
          <w:rFonts w:ascii="Arial" w:cs="Arial" w:eastAsia="Arial" w:hAnsi="Arial"/>
          <w:sz w:val="17"/>
          <w:szCs w:val="17"/>
          <w:i w:val="1"/>
          <w:iCs w:val="1"/>
          <w:color w:val="auto"/>
        </w:rPr>
        <w:t>These forward-looking statements reflect our current views with respect to future events, are based on assumptions and are subject to risks and uncertainties. These risks and uncertainties could cause actual results to differ materially from those projected and include, but are not limited to:</w:t>
      </w:r>
    </w:p>
    <w:p>
      <w:pPr>
        <w:spacing w:after="0" w:line="157" w:lineRule="exact"/>
        <w:rPr>
          <w:sz w:val="20"/>
          <w:szCs w:val="20"/>
          <w:color w:val="auto"/>
        </w:rPr>
      </w:pPr>
    </w:p>
    <w:p>
      <w:pPr>
        <w:ind w:left="960" w:hanging="318"/>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successfully commercialize our drug products and drug candidates;</w:t>
      </w:r>
    </w:p>
    <w:p>
      <w:pPr>
        <w:spacing w:after="0" w:line="111" w:lineRule="exact"/>
        <w:rPr>
          <w:rFonts w:ascii="Arial" w:cs="Arial" w:eastAsia="Arial" w:hAnsi="Arial"/>
          <w:sz w:val="18"/>
          <w:szCs w:val="18"/>
          <w:color w:val="auto"/>
        </w:rPr>
      </w:pPr>
    </w:p>
    <w:p>
      <w:pPr>
        <w:ind w:left="960" w:hanging="318"/>
        <w:spacing w:after="0" w:line="264"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obtain, or maintain at anticipated levels, coverage and reimbursement for our products from government health administration authorities, private health insurers and other organizations;</w:t>
      </w:r>
    </w:p>
    <w:p>
      <w:pPr>
        <w:spacing w:after="0" w:line="74" w:lineRule="exact"/>
        <w:rPr>
          <w:rFonts w:ascii="Arial" w:cs="Arial" w:eastAsia="Arial" w:hAnsi="Arial"/>
          <w:sz w:val="18"/>
          <w:szCs w:val="18"/>
          <w:color w:val="auto"/>
        </w:rPr>
      </w:pPr>
    </w:p>
    <w:p>
      <w:pPr>
        <w:ind w:left="960" w:hanging="318"/>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establish and maintain effective sales, marketing and distribution capabilities;</w:t>
      </w:r>
    </w:p>
    <w:p>
      <w:pPr>
        <w:spacing w:after="0" w:line="111" w:lineRule="exact"/>
        <w:rPr>
          <w:rFonts w:ascii="Arial" w:cs="Arial" w:eastAsia="Arial" w:hAnsi="Arial"/>
          <w:sz w:val="18"/>
          <w:szCs w:val="18"/>
          <w:color w:val="auto"/>
        </w:rPr>
      </w:pPr>
    </w:p>
    <w:p>
      <w:pPr>
        <w:ind w:left="960" w:hanging="318"/>
        <w:spacing w:after="0" w:line="264"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risk of reliance on other parties to manufacture our products, which could result in a short supply of our products, increased costs, and withdrawal of regulatory approval;</w:t>
      </w:r>
    </w:p>
    <w:p>
      <w:pPr>
        <w:spacing w:after="0" w:line="74" w:lineRule="exact"/>
        <w:rPr>
          <w:rFonts w:ascii="Arial" w:cs="Arial" w:eastAsia="Arial" w:hAnsi="Arial"/>
          <w:sz w:val="18"/>
          <w:szCs w:val="18"/>
          <w:color w:val="auto"/>
        </w:rPr>
      </w:pPr>
    </w:p>
    <w:p>
      <w:pPr>
        <w:ind w:left="960" w:hanging="318"/>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maintain regulatory approvals to market our products;</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achieve a significant market share in order to achieve or maintain profitability;</w:t>
      </w:r>
    </w:p>
    <w:p>
      <w:pPr>
        <w:spacing w:after="0" w:line="111" w:lineRule="exact"/>
        <w:rPr>
          <w:rFonts w:ascii="Arial" w:cs="Arial" w:eastAsia="Arial" w:hAnsi="Arial"/>
          <w:sz w:val="18"/>
          <w:szCs w:val="18"/>
          <w:color w:val="auto"/>
        </w:rPr>
      </w:pPr>
    </w:p>
    <w:p>
      <w:pPr>
        <w:ind w:left="960" w:hanging="318"/>
        <w:spacing w:after="0" w:line="264"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risk of civil or criminal penalties if we market our products in a manner that violates health care fraud and abuse and other applicable laws, rules and regulations;</w:t>
      </w:r>
    </w:p>
    <w:p>
      <w:pPr>
        <w:spacing w:after="0" w:line="74" w:lineRule="exact"/>
        <w:rPr>
          <w:rFonts w:ascii="Arial" w:cs="Arial" w:eastAsia="Arial" w:hAnsi="Arial"/>
          <w:sz w:val="18"/>
          <w:szCs w:val="18"/>
          <w:color w:val="auto"/>
        </w:rPr>
      </w:pPr>
    </w:p>
    <w:p>
      <w:pPr>
        <w:ind w:left="960" w:hanging="318"/>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discover, develop, formulate, manufacture and commercialize our drug candidates;</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risk of unanticipated delays in, or discontinuations of, research and development efforts;</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risk that previous preclinical testing or clinical trial results are not necessarily indicative of future clinical trial results;</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risks relating to the conduct of our clinical trials, including geopolitical risks;</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changing regulatory requirements;</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risk of adverse safety findings;</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risk that results of our clinical trials do not support submission of a marketing approval application for our drug candidates;</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risk of significant delays or costs in obtaining regulatory approvals;</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risks relating to our reliance on third-party manufacturers, collaborators, and clinical research organizations;</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risks relating to the development of new products and their use by us and our current and potential collaborators;</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risks relating to our inability to control the development of out-licensed compounds or drug candidates;</w:t>
      </w:r>
    </w:p>
    <w:p>
      <w:pPr>
        <w:spacing w:after="0" w:line="111" w:lineRule="exact"/>
        <w:rPr>
          <w:rFonts w:ascii="Arial" w:cs="Arial" w:eastAsia="Arial" w:hAnsi="Arial"/>
          <w:sz w:val="18"/>
          <w:szCs w:val="18"/>
          <w:color w:val="auto"/>
        </w:rPr>
      </w:pPr>
    </w:p>
    <w:p>
      <w:pPr>
        <w:ind w:left="960" w:hanging="318"/>
        <w:spacing w:after="0" w:line="264"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risks relating to our collaborators’ ability to develop and commercialize JAKAVI, OLUMIANT, TABRECTA and the drug candidates licensed from us;</w:t>
      </w:r>
    </w:p>
    <w:p>
      <w:pPr>
        <w:spacing w:after="0" w:line="74" w:lineRule="exact"/>
        <w:rPr>
          <w:rFonts w:ascii="Arial" w:cs="Arial" w:eastAsia="Arial" w:hAnsi="Arial"/>
          <w:sz w:val="18"/>
          <w:szCs w:val="18"/>
          <w:color w:val="auto"/>
        </w:rPr>
      </w:pPr>
    </w:p>
    <w:p>
      <w:pPr>
        <w:ind w:left="960" w:hanging="318"/>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costs associated with prosecuting, maintaining, defending and enforcing patent claims and other intellectual property rights;</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maintain or obtain adequate product liability and other insurance coverage;</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risk that our drug candidates may not obtain or maintain regulatory approval;</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impact of technological advances and competition, including potential generic competition;</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compete against third parties with greater resources than ours;</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risks relating to changes in pricing and reimbursement in the markets in which we may compete;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960" w:hanging="318"/>
        <w:spacing w:after="0" w:line="264"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risks relating to governmental healthcare reform efforts, including efforts to control, set or cap pricing for our commercial drugs in the U.S and abroad;</w:t>
      </w:r>
    </w:p>
    <w:p>
      <w:pPr>
        <w:spacing w:after="0" w:line="74" w:lineRule="exact"/>
        <w:rPr>
          <w:rFonts w:ascii="Arial" w:cs="Arial" w:eastAsia="Arial" w:hAnsi="Arial"/>
          <w:sz w:val="18"/>
          <w:szCs w:val="18"/>
          <w:color w:val="auto"/>
        </w:rPr>
      </w:pPr>
    </w:p>
    <w:p>
      <w:pPr>
        <w:ind w:left="960" w:hanging="318"/>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competition to develop and commercialize similar drug products;</w:t>
      </w:r>
    </w:p>
    <w:p>
      <w:pPr>
        <w:spacing w:after="0" w:line="111" w:lineRule="exact"/>
        <w:rPr>
          <w:rFonts w:ascii="Arial" w:cs="Arial" w:eastAsia="Arial" w:hAnsi="Arial"/>
          <w:sz w:val="18"/>
          <w:szCs w:val="18"/>
          <w:color w:val="auto"/>
        </w:rPr>
      </w:pPr>
    </w:p>
    <w:p>
      <w:pPr>
        <w:ind w:left="960" w:hanging="318"/>
        <w:spacing w:after="0" w:line="264"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our ability to obtain and maintain patent protection and freedom to operate for our discoveries and to continue to be effective in expanding our patent coverage;</w:t>
      </w:r>
    </w:p>
    <w:p>
      <w:pPr>
        <w:spacing w:after="0" w:line="74" w:lineRule="exact"/>
        <w:rPr>
          <w:rFonts w:ascii="Arial" w:cs="Arial" w:eastAsia="Arial" w:hAnsi="Arial"/>
          <w:sz w:val="18"/>
          <w:szCs w:val="18"/>
          <w:color w:val="auto"/>
        </w:rPr>
      </w:pPr>
    </w:p>
    <w:p>
      <w:pPr>
        <w:ind w:left="960" w:hanging="318"/>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the impact of changing laws on our patent portfolio;</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developments in and expenses relating to litigation;</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our ability to in-license drug candidates or other technology;</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7"/>
        </w:numPr>
        <w:rPr>
          <w:rFonts w:ascii="Arial" w:cs="Arial" w:eastAsia="Arial" w:hAnsi="Arial"/>
          <w:sz w:val="15"/>
          <w:szCs w:val="15"/>
          <w:color w:val="auto"/>
        </w:rPr>
      </w:pPr>
      <w:r>
        <w:rPr>
          <w:rFonts w:ascii="Arial" w:cs="Arial" w:eastAsia="Arial" w:hAnsi="Arial"/>
          <w:sz w:val="15"/>
          <w:szCs w:val="15"/>
          <w:i w:val="1"/>
          <w:iCs w:val="1"/>
          <w:color w:val="auto"/>
        </w:rPr>
        <w:t>unanticipated delays or changes in plans or regulatory agency interactions or other issues relating to our large molecule production facility;</w:t>
      </w:r>
    </w:p>
    <w:p>
      <w:pPr>
        <w:spacing w:after="0" w:line="145" w:lineRule="exact"/>
        <w:rPr>
          <w:rFonts w:ascii="Arial" w:cs="Arial" w:eastAsia="Arial" w:hAnsi="Arial"/>
          <w:sz w:val="15"/>
          <w:szCs w:val="15"/>
          <w:color w:val="auto"/>
        </w:rPr>
      </w:pPr>
    </w:p>
    <w:p>
      <w:pPr>
        <w:ind w:left="960" w:hanging="318"/>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our ability to integrate successfully acquired businesses, development programs or technology;</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our ability to obtain additional capital when needed;</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fluctuations in net cash provided and used by operating, financing and investing activities;</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our ability to analyze the effects of new accounting pronouncements and apply new accounting rules;</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risks relating to our ability to sustain profitability;</w:t>
      </w:r>
    </w:p>
    <w:p>
      <w:pPr>
        <w:spacing w:after="0" w:line="111" w:lineRule="exact"/>
        <w:rPr>
          <w:rFonts w:ascii="Arial" w:cs="Arial" w:eastAsia="Arial" w:hAnsi="Arial"/>
          <w:sz w:val="18"/>
          <w:szCs w:val="18"/>
          <w:color w:val="auto"/>
        </w:rPr>
      </w:pPr>
    </w:p>
    <w:p>
      <w:pPr>
        <w:ind w:left="960" w:hanging="318"/>
        <w:spacing w:after="0" w:line="264"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risks related to public health pandemics such as the COVID-19 pandemic, natural disasters, or geopolitical events such as the Russian invasion of Ukraine; and</w:t>
      </w:r>
    </w:p>
    <w:p>
      <w:pPr>
        <w:spacing w:after="0" w:line="74" w:lineRule="exact"/>
        <w:rPr>
          <w:rFonts w:ascii="Arial" w:cs="Arial" w:eastAsia="Arial" w:hAnsi="Arial"/>
          <w:sz w:val="18"/>
          <w:szCs w:val="18"/>
          <w:color w:val="auto"/>
        </w:rPr>
      </w:pPr>
    </w:p>
    <w:p>
      <w:pPr>
        <w:ind w:left="960" w:hanging="318"/>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the risks set forth under “Risk Factors.”</w:t>
      </w:r>
    </w:p>
    <w:p>
      <w:pPr>
        <w:spacing w:after="0" w:line="217"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i w:val="1"/>
          <w:iCs w:val="1"/>
          <w:color w:val="auto"/>
        </w:rPr>
        <w:t>Given these risks and uncertainties, you should not place undue reliance on these forward-looking statements. Except as required by federal securities laws, we undertake no obligation to update any forward-looking statements for any reason, even if new information becomes available or other events occur in the future.</w:t>
      </w:r>
    </w:p>
    <w:p>
      <w:pPr>
        <w:spacing w:after="0" w:line="188"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i w:val="1"/>
          <w:iCs w:val="1"/>
          <w:color w:val="auto"/>
        </w:rPr>
        <w:t>In this report all references to “Incyte,” “we,” “us,” “our” or the “Company” mean Incyte Corporation and our subsidiaries, except where it is made clear that the term means only the parent company.</w:t>
      </w:r>
    </w:p>
    <w:p>
      <w:pPr>
        <w:spacing w:after="0" w:line="181"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i w:val="1"/>
          <w:iCs w:val="1"/>
          <w:color w:val="auto"/>
        </w:rPr>
        <w:t>Incyte, JAKAFI and PEMAZYRE are our registered trademarks and OPZELURA and ZYNYZ are our trademarks. We also refer to trademarks of other corporations and organizations in this Quarterly Report on Form 10-Q.</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223" w:lineRule="exact"/>
        <w:rPr>
          <w:sz w:val="20"/>
          <w:szCs w:val="20"/>
          <w:color w:val="auto"/>
        </w:rPr>
      </w:pPr>
    </w:p>
    <w:p>
      <w:pPr>
        <w:jc w:val="both"/>
        <w:ind w:firstLine="636"/>
        <w:spacing w:after="0" w:line="277" w:lineRule="auto"/>
        <w:rPr>
          <w:sz w:val="20"/>
          <w:szCs w:val="20"/>
          <w:color w:val="auto"/>
        </w:rPr>
      </w:pPr>
      <w:r>
        <w:rPr>
          <w:rFonts w:ascii="Arial" w:cs="Arial" w:eastAsia="Arial" w:hAnsi="Arial"/>
          <w:sz w:val="17"/>
          <w:szCs w:val="17"/>
          <w:color w:val="auto"/>
        </w:rPr>
        <w:t>Our business is subject to numerous risks and uncertainties that could affect our ability to successfully implement our business strategy and affect our financial results. You should carefully consider all of the information in this report and, in particular, the following principal risks and all of the other specific factors described in Item 1A. of this report, “Risk Factors,” before deciding whether to invest in our company.</w:t>
      </w:r>
    </w:p>
    <w:p>
      <w:pPr>
        <w:spacing w:after="0" w:line="171" w:lineRule="exact"/>
        <w:rPr>
          <w:sz w:val="20"/>
          <w:szCs w:val="20"/>
          <w:color w:val="auto"/>
        </w:rPr>
      </w:pPr>
    </w:p>
    <w:p>
      <w:pPr>
        <w:ind w:left="960" w:hanging="318"/>
        <w:spacing w:after="0" w:line="264"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depend heavily on JAKAFI/JAKAVI (ruxolitinib), and if we are not able to maintain revenues from JAKAFI/JAKAVI or those revenues decrease, our business may be materially harmed.</w:t>
      </w:r>
    </w:p>
    <w:p>
      <w:pPr>
        <w:spacing w:after="0" w:line="140" w:lineRule="exact"/>
        <w:rPr>
          <w:rFonts w:ascii="Arial" w:cs="Arial" w:eastAsia="Arial" w:hAnsi="Arial"/>
          <w:sz w:val="18"/>
          <w:szCs w:val="18"/>
          <w:color w:val="auto"/>
        </w:rPr>
      </w:pPr>
    </w:p>
    <w:p>
      <w:pPr>
        <w:ind w:left="960" w:hanging="318"/>
        <w:spacing w:after="0" w:line="264"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or our collaborators are unable to obtain, or maintain at anticipated levels, coverage and reimbursement for our products from government and other third-party payors, our results of operations and financial condition could be harmed.</w:t>
      </w:r>
    </w:p>
    <w:p>
      <w:pPr>
        <w:spacing w:after="0" w:line="154" w:lineRule="exact"/>
        <w:rPr>
          <w:rFonts w:ascii="Arial" w:cs="Arial" w:eastAsia="Arial" w:hAnsi="Arial"/>
          <w:sz w:val="18"/>
          <w:szCs w:val="18"/>
          <w:color w:val="auto"/>
        </w:rPr>
      </w:pPr>
    </w:p>
    <w:p>
      <w:pPr>
        <w:jc w:val="both"/>
        <w:ind w:left="960" w:hanging="318"/>
        <w:spacing w:after="0" w:line="255"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limited number of specialty pharmacies and wholesalers represent a significant portion of revenues from JAKAFI and most of our other products, and the loss of, or significant reduction in sales to, any one of these specialty pharmacies or wholesalers could harm our operations and financial condition.</w:t>
      </w:r>
    </w:p>
    <w:p>
      <w:pPr>
        <w:spacing w:after="0" w:line="148" w:lineRule="exact"/>
        <w:rPr>
          <w:rFonts w:ascii="Arial" w:cs="Arial" w:eastAsia="Arial" w:hAnsi="Arial"/>
          <w:sz w:val="18"/>
          <w:szCs w:val="18"/>
          <w:color w:val="auto"/>
        </w:rPr>
      </w:pPr>
    </w:p>
    <w:p>
      <w:pPr>
        <w:ind w:left="960" w:hanging="318"/>
        <w:spacing w:after="0" w:line="264"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are unable to establish and maintain effective sales, marketing and distribution capabilities, or to enter into agreements with third parties to do so, we will not be able to successfully commercialize our products.</w:t>
      </w:r>
    </w:p>
    <w:p>
      <w:pPr>
        <w:spacing w:after="0" w:line="140" w:lineRule="exact"/>
        <w:rPr>
          <w:rFonts w:ascii="Arial" w:cs="Arial" w:eastAsia="Arial" w:hAnsi="Arial"/>
          <w:sz w:val="18"/>
          <w:szCs w:val="18"/>
          <w:color w:val="auto"/>
        </w:rPr>
      </w:pPr>
    </w:p>
    <w:p>
      <w:pPr>
        <w:ind w:left="960" w:hanging="318"/>
        <w:spacing w:after="0" w:line="264"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fail to comply with applicable laws and regulations, we could lose our approval to market our products or be subject to other governmental enforcement activity.</w:t>
      </w:r>
    </w:p>
    <w:p>
      <w:pPr>
        <w:spacing w:after="0" w:line="154" w:lineRule="exact"/>
        <w:rPr>
          <w:rFonts w:ascii="Arial" w:cs="Arial" w:eastAsia="Arial" w:hAnsi="Arial"/>
          <w:sz w:val="18"/>
          <w:szCs w:val="18"/>
          <w:color w:val="auto"/>
        </w:rPr>
      </w:pPr>
    </w:p>
    <w:p>
      <w:pPr>
        <w:ind w:left="960" w:hanging="318"/>
        <w:spacing w:after="0" w:line="264"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 use of our products harms or is perceived to harm patients, our regulatory approvals could be revoked or otherwise negatively impacted or we could be subject to costly product liability claims.</w:t>
      </w:r>
    </w:p>
    <w:p>
      <w:pPr>
        <w:spacing w:after="0" w:line="140" w:lineRule="exact"/>
        <w:rPr>
          <w:rFonts w:ascii="Arial" w:cs="Arial" w:eastAsia="Arial" w:hAnsi="Arial"/>
          <w:sz w:val="18"/>
          <w:szCs w:val="18"/>
          <w:color w:val="auto"/>
        </w:rPr>
      </w:pPr>
    </w:p>
    <w:p>
      <w:pPr>
        <w:ind w:left="960" w:hanging="318"/>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market our products in a manner that violates various laws and regulations, we may be subject to civil or criminal penalties.</w:t>
      </w:r>
    </w:p>
    <w:p>
      <w:pPr>
        <w:spacing w:after="0" w:line="177" w:lineRule="exact"/>
        <w:rPr>
          <w:rFonts w:ascii="Arial" w:cs="Arial" w:eastAsia="Arial" w:hAnsi="Arial"/>
          <w:sz w:val="18"/>
          <w:szCs w:val="18"/>
          <w:color w:val="auto"/>
        </w:rPr>
      </w:pPr>
    </w:p>
    <w:p>
      <w:pPr>
        <w:ind w:left="960" w:hanging="318"/>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Competition for our products could harm our business and result in a decrease in our revenue.</w:t>
      </w:r>
    </w:p>
    <w:p>
      <w:pPr>
        <w:spacing w:after="0" w:line="190" w:lineRule="exact"/>
        <w:rPr>
          <w:rFonts w:ascii="Arial" w:cs="Arial" w:eastAsia="Arial" w:hAnsi="Arial"/>
          <w:sz w:val="18"/>
          <w:szCs w:val="18"/>
          <w:color w:val="auto"/>
        </w:rPr>
      </w:pPr>
    </w:p>
    <w:p>
      <w:pPr>
        <w:ind w:left="960" w:hanging="318"/>
        <w:spacing w:after="0"/>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Public health pandemics, natural disasters, and other geopolitical events, could adversely affect our business and results of operations.</w:t>
      </w:r>
    </w:p>
    <w:p>
      <w:pPr>
        <w:spacing w:after="0" w:line="188" w:lineRule="exact"/>
        <w:rPr>
          <w:rFonts w:ascii="Arial" w:cs="Arial" w:eastAsia="Arial" w:hAnsi="Arial"/>
          <w:sz w:val="17"/>
          <w:szCs w:val="17"/>
          <w:color w:val="auto"/>
        </w:rPr>
      </w:pPr>
    </w:p>
    <w:p>
      <w:pPr>
        <w:ind w:left="960" w:hanging="318"/>
        <w:spacing w:after="0" w:line="264"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or our collaborators may be unsuccessful in discovering and developing drug candidates, and we may spend significant time and money attempting to do so, in particular with our later stage drug candidates.</w:t>
      </w:r>
    </w:p>
    <w:p>
      <w:pPr>
        <w:spacing w:after="0" w:line="140" w:lineRule="exact"/>
        <w:rPr>
          <w:rFonts w:ascii="Arial" w:cs="Arial" w:eastAsia="Arial" w:hAnsi="Arial"/>
          <w:sz w:val="18"/>
          <w:szCs w:val="18"/>
          <w:color w:val="auto"/>
        </w:rPr>
      </w:pPr>
    </w:p>
    <w:p>
      <w:pPr>
        <w:ind w:left="960" w:hanging="318"/>
        <w:spacing w:after="0" w:line="264"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or our collaborators are unable to obtain regulatory approval in and outside of the United States for drug candidates, we and our collaborators will be unable to commercialize those drug candidates.</w:t>
      </w:r>
    </w:p>
    <w:p>
      <w:pPr>
        <w:spacing w:after="0" w:line="154" w:lineRule="exact"/>
        <w:rPr>
          <w:rFonts w:ascii="Arial" w:cs="Arial" w:eastAsia="Arial" w:hAnsi="Arial"/>
          <w:sz w:val="18"/>
          <w:szCs w:val="18"/>
          <w:color w:val="auto"/>
        </w:rPr>
      </w:pPr>
    </w:p>
    <w:p>
      <w:pPr>
        <w:ind w:left="960" w:hanging="318"/>
        <w:spacing w:after="0" w:line="264"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Health care reform measures could impact the pricing and profitability of pharmaceuticals, and adversely affect the commercial viability of our or our collaborators’ products and drug candidates.</w:t>
      </w:r>
    </w:p>
    <w:p>
      <w:pPr>
        <w:spacing w:after="0" w:line="140" w:lineRule="exact"/>
        <w:rPr>
          <w:rFonts w:ascii="Arial" w:cs="Arial" w:eastAsia="Arial" w:hAnsi="Arial"/>
          <w:sz w:val="18"/>
          <w:szCs w:val="18"/>
          <w:color w:val="auto"/>
        </w:rPr>
      </w:pPr>
    </w:p>
    <w:p>
      <w:pPr>
        <w:ind w:left="960" w:hanging="318"/>
        <w:spacing w:after="0" w:line="264"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Conflicts between us and our collaborators or termination of our collaboration agreements could limit future development and commercialization of our drug candidates and harm our business.</w:t>
      </w:r>
    </w:p>
    <w:p>
      <w:pPr>
        <w:spacing w:after="0" w:line="140" w:lineRule="exact"/>
        <w:rPr>
          <w:rFonts w:ascii="Arial" w:cs="Arial" w:eastAsia="Arial" w:hAnsi="Arial"/>
          <w:sz w:val="18"/>
          <w:szCs w:val="18"/>
          <w:color w:val="auto"/>
        </w:rPr>
      </w:pPr>
    </w:p>
    <w:p>
      <w:pPr>
        <w:ind w:left="960" w:hanging="318"/>
        <w:spacing w:after="0" w:line="264"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are unable to establish collaborations to fully exploit our drug discovery and development capabilities or if future collaborations are unsuccessful, our future revenue prospects could be diminished.</w:t>
      </w:r>
    </w:p>
    <w:p>
      <w:pPr>
        <w:spacing w:after="0" w:line="154" w:lineRule="exact"/>
        <w:rPr>
          <w:rFonts w:ascii="Arial" w:cs="Arial" w:eastAsia="Arial" w:hAnsi="Arial"/>
          <w:sz w:val="18"/>
          <w:szCs w:val="18"/>
          <w:color w:val="auto"/>
        </w:rPr>
      </w:pPr>
    </w:p>
    <w:p>
      <w:pPr>
        <w:ind w:left="960" w:hanging="318"/>
        <w:spacing w:after="0" w:line="264"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fail to enter into additional in-licensing agreements or if these arrangements are unsuccessful, we may be unable to increase our number of successfully marketed products and our revenues.</w:t>
      </w:r>
    </w:p>
    <w:p>
      <w:pPr>
        <w:spacing w:after="0" w:line="140" w:lineRule="exact"/>
        <w:rPr>
          <w:rFonts w:ascii="Arial" w:cs="Arial" w:eastAsia="Arial" w:hAnsi="Arial"/>
          <w:sz w:val="18"/>
          <w:szCs w:val="18"/>
          <w:color w:val="auto"/>
        </w:rPr>
      </w:pPr>
    </w:p>
    <w:p>
      <w:pPr>
        <w:ind w:left="960" w:hanging="318"/>
        <w:spacing w:after="0"/>
        <w:tabs>
          <w:tab w:leader="none" w:pos="960" w:val="left"/>
        </w:tabs>
        <w:numPr>
          <w:ilvl w:val="0"/>
          <w:numId w:val="8"/>
        </w:numPr>
        <w:rPr>
          <w:rFonts w:ascii="Arial" w:cs="Arial" w:eastAsia="Arial" w:hAnsi="Arial"/>
          <w:sz w:val="15"/>
          <w:szCs w:val="15"/>
          <w:color w:val="auto"/>
        </w:rPr>
      </w:pPr>
      <w:r>
        <w:rPr>
          <w:rFonts w:ascii="Arial" w:cs="Arial" w:eastAsia="Arial" w:hAnsi="Arial"/>
          <w:sz w:val="15"/>
          <w:szCs w:val="15"/>
          <w:color w:val="auto"/>
        </w:rPr>
        <w:t>Even if one of our drug candidates receives regulatory approval, we may determine that commercialization would not be worth the investment.</w:t>
      </w:r>
    </w:p>
    <w:p>
      <w:pPr>
        <w:spacing w:after="0" w:line="211" w:lineRule="exact"/>
        <w:rPr>
          <w:rFonts w:ascii="Arial" w:cs="Arial" w:eastAsia="Arial" w:hAnsi="Arial"/>
          <w:sz w:val="15"/>
          <w:szCs w:val="15"/>
          <w:color w:val="auto"/>
        </w:rPr>
      </w:pPr>
    </w:p>
    <w:p>
      <w:pPr>
        <w:ind w:left="960" w:hanging="318"/>
        <w:spacing w:after="0" w:line="264"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approved drug product that we bring to the market may not gain market acceptance by physicians, patients, healthcare payors and others in the medical community.</w:t>
      </w:r>
    </w:p>
    <w:p>
      <w:pPr>
        <w:spacing w:after="0" w:line="154" w:lineRule="exact"/>
        <w:rPr>
          <w:rFonts w:ascii="Arial" w:cs="Arial" w:eastAsia="Arial" w:hAnsi="Arial"/>
          <w:sz w:val="18"/>
          <w:szCs w:val="18"/>
          <w:color w:val="auto"/>
        </w:rPr>
      </w:pPr>
    </w:p>
    <w:p>
      <w:pPr>
        <w:ind w:left="960" w:hanging="318"/>
        <w:spacing w:after="0" w:line="264"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limited capacity to conduct preclinical testing and clinical trials, and our resulting dependence on other parties could result in delays in and additional costs for our drug development efforts.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960" w:right="780" w:hanging="318"/>
        <w:spacing w:after="0" w:line="264"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face significant competition for our drug discovery and development efforts, and if we do not compete effectively, our commercial opportunities will be reduced or eliminated.</w:t>
      </w:r>
    </w:p>
    <w:p>
      <w:pPr>
        <w:spacing w:after="0" w:line="154" w:lineRule="exact"/>
        <w:rPr>
          <w:rFonts w:ascii="Arial" w:cs="Arial" w:eastAsia="Arial" w:hAnsi="Arial"/>
          <w:sz w:val="18"/>
          <w:szCs w:val="18"/>
          <w:color w:val="auto"/>
        </w:rPr>
      </w:pPr>
    </w:p>
    <w:p>
      <w:pPr>
        <w:ind w:left="960" w:hanging="318"/>
        <w:spacing w:after="0" w:line="264"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reliance on others to manufacture our drug products and drug candidates could result in drug supply constraints, delays in clinical trials, increased costs, and withdrawal or denial of regulatory approvals.</w:t>
      </w:r>
    </w:p>
    <w:p>
      <w:pPr>
        <w:spacing w:after="0" w:line="140" w:lineRule="exact"/>
        <w:rPr>
          <w:rFonts w:ascii="Arial" w:cs="Arial" w:eastAsia="Arial" w:hAnsi="Arial"/>
          <w:sz w:val="18"/>
          <w:szCs w:val="18"/>
          <w:color w:val="auto"/>
        </w:rPr>
      </w:pPr>
    </w:p>
    <w:p>
      <w:pPr>
        <w:ind w:left="960" w:hanging="318"/>
        <w:spacing w:after="0" w:line="264"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fail to comply with the extensive legal and regulatory requirements affecting the health care industry, we could face increased costs, penalties and a loss of business.</w:t>
      </w:r>
    </w:p>
    <w:p>
      <w:pPr>
        <w:spacing w:after="0" w:line="140" w:lineRule="exact"/>
        <w:rPr>
          <w:rFonts w:ascii="Arial" w:cs="Arial" w:eastAsia="Arial" w:hAnsi="Arial"/>
          <w:sz w:val="18"/>
          <w:szCs w:val="18"/>
          <w:color w:val="auto"/>
        </w:rPr>
      </w:pPr>
    </w:p>
    <w:p>
      <w:pPr>
        <w:ind w:left="960" w:hanging="318"/>
        <w:spacing w:after="0" w:line="264"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illegal distribution and sale by third parties of counterfeit or unfit versions of our or our collaborators’ products or stolen products could harm our business and reputation.</w:t>
      </w:r>
    </w:p>
    <w:p>
      <w:pPr>
        <w:spacing w:after="0" w:line="154" w:lineRule="exact"/>
        <w:rPr>
          <w:rFonts w:ascii="Arial" w:cs="Arial" w:eastAsia="Arial" w:hAnsi="Arial"/>
          <w:sz w:val="18"/>
          <w:szCs w:val="18"/>
          <w:color w:val="auto"/>
        </w:rPr>
      </w:pPr>
    </w:p>
    <w:p>
      <w:pPr>
        <w:ind w:left="960" w:hanging="318"/>
        <w:spacing w:after="0" w:line="264"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most of our drug discovery and development operations are conducted at our headquarters in Wilmington, Delaware, the loss of access to this facility would negatively impact our business.</w:t>
      </w:r>
    </w:p>
    <w:p>
      <w:pPr>
        <w:spacing w:after="0" w:line="140" w:lineRule="exact"/>
        <w:rPr>
          <w:rFonts w:ascii="Arial" w:cs="Arial" w:eastAsia="Arial" w:hAnsi="Arial"/>
          <w:sz w:val="18"/>
          <w:szCs w:val="18"/>
          <w:color w:val="auto"/>
        </w:rPr>
      </w:pPr>
    </w:p>
    <w:p>
      <w:pPr>
        <w:ind w:left="960" w:hanging="318"/>
        <w:spacing w:after="0" w:line="264"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lose any of our key employees or are unable to attract and retain additional personnel, our business and ability to achieve our objectives could be harmed.</w:t>
      </w:r>
    </w:p>
    <w:p>
      <w:pPr>
        <w:spacing w:after="0" w:line="140" w:lineRule="exact"/>
        <w:rPr>
          <w:rFonts w:ascii="Arial" w:cs="Arial" w:eastAsia="Arial" w:hAnsi="Arial"/>
          <w:sz w:val="18"/>
          <w:szCs w:val="18"/>
          <w:color w:val="auto"/>
        </w:rPr>
      </w:pPr>
    </w:p>
    <w:p>
      <w:pPr>
        <w:ind w:left="960" w:hanging="318"/>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fail to manage our growth effectively, our ability to develop and commercialize products could suffer.</w:t>
      </w:r>
    </w:p>
    <w:p>
      <w:pPr>
        <w:spacing w:after="0" w:line="190" w:lineRule="exact"/>
        <w:rPr>
          <w:rFonts w:ascii="Arial" w:cs="Arial" w:eastAsia="Arial" w:hAnsi="Arial"/>
          <w:sz w:val="18"/>
          <w:szCs w:val="18"/>
          <w:color w:val="auto"/>
        </w:rPr>
      </w:pPr>
    </w:p>
    <w:p>
      <w:pPr>
        <w:ind w:left="960" w:hanging="318"/>
        <w:spacing w:after="0" w:line="264"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acquire businesses or assets, form joint ventures or make investments in other companies that may be unsuccessful, divert our management’s attention and harm our operating results and prospects.</w:t>
      </w:r>
    </w:p>
    <w:p>
      <w:pPr>
        <w:spacing w:after="0" w:line="140" w:lineRule="exact"/>
        <w:rPr>
          <w:rFonts w:ascii="Arial" w:cs="Arial" w:eastAsia="Arial" w:hAnsi="Arial"/>
          <w:sz w:val="18"/>
          <w:szCs w:val="18"/>
          <w:color w:val="auto"/>
        </w:rPr>
      </w:pPr>
    </w:p>
    <w:p>
      <w:pPr>
        <w:ind w:left="960" w:hanging="318"/>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associated with our operations outside of the United States could adversely affect our business.</w:t>
      </w:r>
    </w:p>
    <w:p>
      <w:pPr>
        <w:spacing w:after="0" w:line="177" w:lineRule="exact"/>
        <w:rPr>
          <w:rFonts w:ascii="Arial" w:cs="Arial" w:eastAsia="Arial" w:hAnsi="Arial"/>
          <w:sz w:val="18"/>
          <w:szCs w:val="18"/>
          <w:color w:val="auto"/>
        </w:rPr>
      </w:pPr>
    </w:p>
    <w:p>
      <w:pPr>
        <w:ind w:left="960" w:hanging="318"/>
        <w:spacing w:after="0" w:line="264"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product liability lawsuits are brought against us, we could face substantial liabilities and may be required to limit commercialization of our products, and our results of operations could be harmed.</w:t>
      </w:r>
    </w:p>
    <w:p>
      <w:pPr>
        <w:spacing w:after="0" w:line="154" w:lineRule="exact"/>
        <w:rPr>
          <w:rFonts w:ascii="Arial" w:cs="Arial" w:eastAsia="Arial" w:hAnsi="Arial"/>
          <w:sz w:val="18"/>
          <w:szCs w:val="18"/>
          <w:color w:val="auto"/>
        </w:rPr>
      </w:pPr>
    </w:p>
    <w:p>
      <w:pPr>
        <w:ind w:left="960" w:hanging="318"/>
        <w:spacing w:after="0" w:line="264"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Because our activities involve the use of hazardous materials, we may be subject to claims relating to improper handling, storage or disposal of these materials that could be time consuming and costly.</w:t>
      </w:r>
    </w:p>
    <w:p>
      <w:pPr>
        <w:spacing w:after="0" w:line="140" w:lineRule="exact"/>
        <w:rPr>
          <w:rFonts w:ascii="Arial" w:cs="Arial" w:eastAsia="Arial" w:hAnsi="Arial"/>
          <w:sz w:val="18"/>
          <w:szCs w:val="18"/>
          <w:color w:val="auto"/>
        </w:rPr>
      </w:pPr>
    </w:p>
    <w:p>
      <w:pPr>
        <w:ind w:left="960" w:hanging="318"/>
        <w:spacing w:after="0" w:line="264"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expect to continue to incur significant expenses to discover and develop drugs, which could result in future losses and impair our achievement of and ability to sustain profitability in the future.</w:t>
      </w:r>
    </w:p>
    <w:p>
      <w:pPr>
        <w:spacing w:after="0" w:line="140" w:lineRule="exact"/>
        <w:rPr>
          <w:rFonts w:ascii="Arial" w:cs="Arial" w:eastAsia="Arial" w:hAnsi="Arial"/>
          <w:sz w:val="18"/>
          <w:szCs w:val="18"/>
          <w:color w:val="auto"/>
        </w:rPr>
      </w:pPr>
    </w:p>
    <w:p>
      <w:pPr>
        <w:ind w:left="960" w:hanging="318"/>
        <w:spacing w:after="0" w:line="264"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unable to raise additional capital in the future when we require it, our efforts to broaden our product portfolio or commercialization efforts could be limited.</w:t>
      </w:r>
    </w:p>
    <w:p>
      <w:pPr>
        <w:spacing w:after="0" w:line="154" w:lineRule="exact"/>
        <w:rPr>
          <w:rFonts w:ascii="Arial" w:cs="Arial" w:eastAsia="Arial" w:hAnsi="Arial"/>
          <w:sz w:val="18"/>
          <w:szCs w:val="18"/>
          <w:color w:val="auto"/>
        </w:rPr>
      </w:pPr>
    </w:p>
    <w:p>
      <w:pPr>
        <w:ind w:left="960" w:hanging="318"/>
        <w:spacing w:after="0" w:line="264"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marketable securities and long term investments are subject to risks that could adversely affect our overall financial position, and tax law changes could adversely affect our results of operations and financial condition.</w:t>
      </w:r>
    </w:p>
    <w:p>
      <w:pPr>
        <w:spacing w:after="0" w:line="140" w:lineRule="exact"/>
        <w:rPr>
          <w:rFonts w:ascii="Arial" w:cs="Arial" w:eastAsia="Arial" w:hAnsi="Arial"/>
          <w:sz w:val="18"/>
          <w:szCs w:val="18"/>
          <w:color w:val="auto"/>
        </w:rPr>
      </w:pPr>
    </w:p>
    <w:p>
      <w:pPr>
        <w:ind w:left="960" w:hanging="318"/>
        <w:spacing w:after="0" w:line="264"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unable to achieve milestones, develop product candidates to license or renew or enter into new collaborations, our royalty and milestone revenues and future prospects for those revenues may decrease.</w:t>
      </w:r>
    </w:p>
    <w:p>
      <w:pPr>
        <w:spacing w:after="0" w:line="140" w:lineRule="exact"/>
        <w:rPr>
          <w:rFonts w:ascii="Arial" w:cs="Arial" w:eastAsia="Arial" w:hAnsi="Arial"/>
          <w:sz w:val="18"/>
          <w:szCs w:val="18"/>
          <w:color w:val="auto"/>
        </w:rPr>
      </w:pPr>
    </w:p>
    <w:p>
      <w:pPr>
        <w:ind w:left="960" w:hanging="318"/>
        <w:spacing w:after="0" w:line="264"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arbitration or litigation involving us and regarding intellectual property infringement claims could be costly and disrupt our drug discovery and development efforts.</w:t>
      </w:r>
    </w:p>
    <w:p>
      <w:pPr>
        <w:spacing w:after="0" w:line="154" w:lineRule="exact"/>
        <w:rPr>
          <w:rFonts w:ascii="Arial" w:cs="Arial" w:eastAsia="Arial" w:hAnsi="Arial"/>
          <w:sz w:val="18"/>
          <w:szCs w:val="18"/>
          <w:color w:val="auto"/>
        </w:rPr>
      </w:pPr>
    </w:p>
    <w:p>
      <w:pPr>
        <w:ind w:left="960" w:hanging="318"/>
        <w:spacing w:after="0" w:line="264"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inability to adequately protect or enforce our proprietary information may result in loss of revenues or otherwise reduce our ability to compete.</w:t>
      </w:r>
    </w:p>
    <w:p>
      <w:pPr>
        <w:spacing w:after="0" w:line="140" w:lineRule="exact"/>
        <w:rPr>
          <w:rFonts w:ascii="Arial" w:cs="Arial" w:eastAsia="Arial" w:hAnsi="Arial"/>
          <w:sz w:val="18"/>
          <w:szCs w:val="18"/>
          <w:color w:val="auto"/>
        </w:rPr>
      </w:pPr>
    </w:p>
    <w:p>
      <w:pPr>
        <w:ind w:left="960" w:hanging="318"/>
        <w:spacing w:after="0" w:line="264"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effective term of our patents is decreased or if we need to refile some of our patent applications, the value of our patent portfolio and the revenues we derive from it may be decreased.</w:t>
      </w:r>
    </w:p>
    <w:p>
      <w:pPr>
        <w:spacing w:after="0" w:line="140" w:lineRule="exact"/>
        <w:rPr>
          <w:rFonts w:ascii="Arial" w:cs="Arial" w:eastAsia="Arial" w:hAnsi="Arial"/>
          <w:sz w:val="18"/>
          <w:szCs w:val="18"/>
          <w:color w:val="auto"/>
        </w:rPr>
      </w:pPr>
    </w:p>
    <w:p>
      <w:pPr>
        <w:ind w:left="960" w:hanging="318"/>
        <w:spacing w:after="0" w:line="264"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International patent protection is particularly uncertain and costly, and our involvement in opposition proceedings may result in the expenditure of substantial sums and management resources.</w:t>
      </w:r>
    </w:p>
    <w:p>
      <w:pPr>
        <w:spacing w:after="0" w:line="154" w:lineRule="exact"/>
        <w:rPr>
          <w:rFonts w:ascii="Arial" w:cs="Arial" w:eastAsia="Arial" w:hAnsi="Arial"/>
          <w:sz w:val="18"/>
          <w:szCs w:val="18"/>
          <w:color w:val="auto"/>
        </w:rPr>
      </w:pPr>
    </w:p>
    <w:p>
      <w:pPr>
        <w:ind w:left="960" w:hanging="318"/>
        <w:spacing w:after="0" w:line="264"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 disruptions of information technology systems, breaches of data security, or unauthorized disclosures of sensitive data could harm our business and subject us to liability or reputational damage.</w:t>
      </w:r>
    </w:p>
    <w:p>
      <w:pPr>
        <w:spacing w:after="0" w:line="140" w:lineRule="exact"/>
        <w:rPr>
          <w:rFonts w:ascii="Arial" w:cs="Arial" w:eastAsia="Arial" w:hAnsi="Arial"/>
          <w:sz w:val="18"/>
          <w:szCs w:val="18"/>
          <w:color w:val="auto"/>
        </w:rPr>
      </w:pPr>
    </w:p>
    <w:p>
      <w:pPr>
        <w:ind w:left="960" w:hanging="318"/>
        <w:spacing w:after="0" w:line="264"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use of social media could give rise to liability, breaches of data security, or reputational damage, which could harm our business and results of operations.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79375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3"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Incyte is a biopharmaceutical company focused on the discovery, development and commercialization of proprietary therapeutics. Our global headquarters is located in Wilmington, Delaware, where we conduct global clinical development and commercial operations. We also conduct clinical development and commercial operations from our European headquarters in Morges, Switzerland and our other offices across Europe, as well as our Japanese office in Tokyo and our Canadian headquarters in Montreal.</w:t>
      </w:r>
    </w:p>
    <w:p>
      <w:pPr>
        <w:spacing w:after="0" w:line="191"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As described in more detail below, we operate in two therapeutic areas that are defined by the indications of our approved medicines and the diseases for which our clinical candidates are being developed. One therapeutic area is Hematology/Oncology, which comprises Myeloproliferative Neoplasms (MPNs), Graft-Versus-Host Disease (GVHD), and solid tumors and hematologic malignancies. The other therapeutic area is Inflammation and Autoimmunity (IAI), which includes our Dermatology commercial franchise. We are also eligible to receive milestones and royalties on molecules discovered by us and licensed to third parties.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Hematology and Oncology</w:t>
      </w:r>
    </w:p>
    <w:p>
      <w:pPr>
        <w:spacing w:after="0" w:line="223"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Our hematology and oncology franchise comprises five approved products, which are JAKAFI (ruxolitinib), MONJUVI (tafasitamab-cxix)/MINJUVI (tafasitamab), PEMAZYRE (pemigatinib), ICLUSIG (ponatinib) and ZYNYZ (retifanlimab-dlwr), as well as numerous clinical development programs.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JAKAFI (ruxolitinib)</w:t>
      </w:r>
    </w:p>
    <w:p>
      <w:pPr>
        <w:spacing w:after="0" w:line="217" w:lineRule="exact"/>
        <w:rPr>
          <w:sz w:val="20"/>
          <w:szCs w:val="20"/>
          <w:color w:val="auto"/>
        </w:rPr>
      </w:pPr>
    </w:p>
    <w:p>
      <w:pPr>
        <w:jc w:val="both"/>
        <w:ind w:firstLine="636"/>
        <w:spacing w:after="0" w:line="248" w:lineRule="auto"/>
        <w:rPr>
          <w:sz w:val="20"/>
          <w:szCs w:val="20"/>
          <w:color w:val="auto"/>
        </w:rPr>
      </w:pPr>
      <w:r>
        <w:rPr>
          <w:rFonts w:ascii="Arial" w:cs="Arial" w:eastAsia="Arial" w:hAnsi="Arial"/>
          <w:sz w:val="18"/>
          <w:szCs w:val="18"/>
          <w:color w:val="auto"/>
        </w:rPr>
        <w:t>JAKAFI (ruxolitinib) is our first product to be approved for sale in the United States. It was approved by the U.S. Food and Drug Administration (FDA) in November 2011 for the treatment of adults with intermediate or high-risk myelofibrosis (MF); in December 2014 for the treatment of adults with polycythemia vera (PV) who have had an inadequate response to or are intolerant of hydroxyurea; in May 2019 for the treatment of steroid-refractory acute graft-versus-host disease (GVHD) in adult and pediatric patients 12 years and older; and in September 2021 for the treatment of chronic GVHD after failure of one or two lines of systemic therapy in adult and pediatric patients 12 years and older. MF and PV are both myeloproliferative neoplasms (MPNs), a type of rare blood cancer, and GVHD is an adverse immune response to an allogeneic hematopoietic stem cell transplant (HSCT). Under our collaboration agreement with our collaboration partner Novartis Pharmaceutical International Ltd., Novartis received exclusive development and commercialization rights to ruxolitinib outside of the United States for all hematologic and oncologic indications and sells ruxolitinib outside of the United States under the name JAKAVI.</w:t>
      </w:r>
    </w:p>
    <w:p>
      <w:pPr>
        <w:spacing w:after="0" w:line="195"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In 2003, we initiated a research and development program to explore the inhibition of enzymes called janus associated kinases (JAK). The JAK family is composed of four tyrosine kinases—JAK1, JAK2, JAK3 and Tyk2—that are involved in the signaling of a number of cytokines and growth factors. JAKs are central to a number of biologic processes, including the formation and development of blood cells and the regulation of immune functions. Dysregulation of the JAK-STAT signaling pathway has been associated with a number of diseases, including myeloproliferative neoplasms, other hematological malignancies, rheumatoid arthritis and other chronic inflammatory diseases.</w:t>
      </w:r>
    </w:p>
    <w:p>
      <w:pPr>
        <w:spacing w:after="0" w:line="194"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We have discovered multiple potent, selective and orally bioavailable JAK inhibitors that are selective for JAK1 or JAK1 and JAK2. JAKAFI is the most advanced compound in our JAK program. It is an oral JAK1 and JAK2 inhibitor.</w:t>
      </w:r>
    </w:p>
    <w:p>
      <w:pPr>
        <w:spacing w:after="0" w:line="181"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JAKAFI is marketed in the United States through our own specialty sales force and commercial team. JAKAFI was the first FDA-approved JAK inhibitor for any indication, was the first FDA-approved product in MF, PV and steroid-refractory acute GVHD, and was recently approved in steroid-refractory chronic GVHD. JAKAFI remains the first-line standard of care in MF and remains the only FDA-approved product for steroid-refractory acute GVHD. The FDA has granted JAKAFI orphan drug status for MF, PV and GVHD.</w:t>
      </w:r>
    </w:p>
    <w:p>
      <w:pPr>
        <w:spacing w:after="0" w:line="191" w:lineRule="exact"/>
        <w:rPr>
          <w:sz w:val="20"/>
          <w:szCs w:val="20"/>
          <w:color w:val="auto"/>
        </w:rPr>
      </w:pPr>
    </w:p>
    <w:p>
      <w:pPr>
        <w:ind w:right="120" w:firstLine="636"/>
        <w:spacing w:after="0" w:line="255" w:lineRule="auto"/>
        <w:rPr>
          <w:sz w:val="20"/>
          <w:szCs w:val="20"/>
          <w:color w:val="auto"/>
        </w:rPr>
      </w:pPr>
      <w:r>
        <w:rPr>
          <w:rFonts w:ascii="Arial" w:cs="Arial" w:eastAsia="Arial" w:hAnsi="Arial"/>
          <w:sz w:val="18"/>
          <w:szCs w:val="18"/>
          <w:color w:val="auto"/>
        </w:rPr>
        <w:t>JAKAFI is distributed primarily through a network of specialty pharmacy providers and wholesalers that allow for efficient delivery of the medication by mail directly to patients or direct delivery to the patient’s pharmacy. Our distribution process uses a model that is well-established and familiar to physicians who practice within the oncology field.</w:t>
      </w:r>
    </w:p>
    <w:p>
      <w:pPr>
        <w:spacing w:after="0" w:line="188"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To further support appropriate use and future development of JAKAFI, our U.S. Medical Affairs department is responsible for providing appropriate scientific and medical education and information to physicians, preparing scientific presentations and publications, and overseeing the process for supporting investigator sponsored trials.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309" w:lineRule="auto"/>
        <w:rPr>
          <w:sz w:val="20"/>
          <w:szCs w:val="20"/>
          <w:color w:val="auto"/>
        </w:rPr>
      </w:pPr>
      <w:r>
        <w:rPr>
          <w:rFonts w:ascii="Arial" w:cs="Arial" w:eastAsia="Arial" w:hAnsi="Arial"/>
          <w:sz w:val="15"/>
          <w:szCs w:val="15"/>
          <w:i w:val="1"/>
          <w:iCs w:val="1"/>
          <w:color w:val="auto"/>
        </w:rPr>
        <w:t xml:space="preserve">Myelofibrosis. </w:t>
      </w:r>
      <w:r>
        <w:rPr>
          <w:rFonts w:ascii="Arial" w:cs="Arial" w:eastAsia="Arial" w:hAnsi="Arial"/>
          <w:sz w:val="15"/>
          <w:szCs w:val="15"/>
          <w:color w:val="auto"/>
        </w:rPr>
        <w:t>MF is a rare, life-threatening condition. MF, considered the most serious of the myeloproliferative neoplasms, can occur either as</w:t>
      </w:r>
      <w:r>
        <w:rPr>
          <w:rFonts w:ascii="Arial" w:cs="Arial" w:eastAsia="Arial" w:hAnsi="Arial"/>
          <w:sz w:val="15"/>
          <w:szCs w:val="15"/>
          <w:i w:val="1"/>
          <w:iCs w:val="1"/>
          <w:color w:val="auto"/>
        </w:rPr>
        <w:t xml:space="preserve"> </w:t>
      </w:r>
      <w:r>
        <w:rPr>
          <w:rFonts w:ascii="Arial" w:cs="Arial" w:eastAsia="Arial" w:hAnsi="Arial"/>
          <w:sz w:val="15"/>
          <w:szCs w:val="15"/>
          <w:color w:val="auto"/>
        </w:rPr>
        <w:t>primary MF, or as secondary MF that develops in some patients who previously had polycythemia vera or essential thrombocythemia. We estimate there are between 16,000 and 18,500 patients with MF in the United States. Based on the modern prognostic scoring systems referred to as International Prognostic Scoring System and Dynamic International Prognostic Scoring System, we believe intermediate and high-risk patients represent 80% to 90% of all patients with MF in the United States and encompass patients over the age of 65, or patients who have or have ever had any of the following: anemia, constitutional symptoms, elevated white blood cell or blast counts, or platelet counts less than 100,000 per microliter of blood.</w:t>
      </w:r>
    </w:p>
    <w:p>
      <w:pPr>
        <w:spacing w:after="0" w:line="152"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Most MF patients have enlarged spleens and many suffer from debilitating symptoms, including abdominal discomfort, pruritus (itching), night sweats and cachexia (involuntary weight loss). There were no FDA approved therapies for MF until the approval of JAKAFI.</w:t>
      </w:r>
    </w:p>
    <w:p>
      <w:pPr>
        <w:spacing w:after="0" w:line="181"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7"/>
          <w:szCs w:val="17"/>
          <w:color w:val="auto"/>
        </w:rPr>
        <w:t>The FDA approval was based on results from two randomized Phase III trials (COMFORT-I and COMFORT-II), which demonstrated that patients treated with JAKAFI experienced significant reductions in splenomegaly (enlarged spleen). COMFORT-I also demonstrated improvements in symptoms. The most common hematologic adverse reactions in both trials were thrombocytopenia and anemia. These events rarely led to discontinuation of JAKAFI treatment. The most common non-hematologic adverse reactions were bruising, dizziness and headache.</w:t>
      </w:r>
    </w:p>
    <w:p>
      <w:pPr>
        <w:spacing w:after="0" w:line="177" w:lineRule="exact"/>
        <w:rPr>
          <w:sz w:val="20"/>
          <w:szCs w:val="20"/>
          <w:color w:val="auto"/>
        </w:rPr>
      </w:pPr>
    </w:p>
    <w:p>
      <w:pPr>
        <w:jc w:val="both"/>
        <w:ind w:firstLine="636"/>
        <w:spacing w:after="0" w:line="267" w:lineRule="auto"/>
        <w:rPr>
          <w:sz w:val="20"/>
          <w:szCs w:val="20"/>
          <w:color w:val="auto"/>
        </w:rPr>
      </w:pPr>
      <w:r>
        <w:rPr>
          <w:rFonts w:ascii="Arial" w:cs="Arial" w:eastAsia="Arial" w:hAnsi="Arial"/>
          <w:sz w:val="17"/>
          <w:szCs w:val="17"/>
          <w:color w:val="auto"/>
        </w:rPr>
        <w:t>In August 2014, the FDA approved supplemental labeling for JAKAFI to include Kaplan-Meier overall survival curves as well as additional safety and dosing information. The overall survival information is based on three-year data from COMFORT-I and II, and shows that at three years the probability of survival for patients treated with JAKAFI in COMFORT-I was 70% and for those patients originally randomized to placebo it was 61%. In COMFORT-II, at three years the probability of survival for patients treated with JAKAFI was 79% and for patients originally randomized to best available therapy it was 59%. In December 2016, we announced an exploratory pooled analysis of data from the five-year follow-up of the COMFORT-I and COMFORT-II trials of patients treated with JAKAFI, which further supported previously published overall survival findings.</w:t>
      </w:r>
    </w:p>
    <w:p>
      <w:pPr>
        <w:spacing w:after="0" w:line="179"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In September 2016, we announced that JAKAFI had been included as a recommended treatment in the latest National Comprehensive Cancer Network (NCCN) Clinical Practice Guidelines in Oncology for myelofibrosis, underscoring the important and long term clinical benefits seen in patients treated with JAKAFI.</w:t>
      </w:r>
    </w:p>
    <w:p>
      <w:pPr>
        <w:spacing w:after="0" w:line="188"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8"/>
          <w:szCs w:val="18"/>
          <w:color w:val="auto"/>
        </w:rPr>
        <w:t>In October 2017, the FDA approved updated labeling for JAKAFI to include the addition of new patient-reported outcome (PRO) data from the COMFORT-I study, as well as updating the warning related to progressive multifocal leukoencephalopathy. An exploratory analysis of PRO data of patients with myelofibrosis receiving JAKAFI showed improvement in fatigue-related symptoms at Week 24. Fatigue response (defined as a reduction of 4.5 points or more from baseline in the PROMIS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Fatigue total score) was reported in 35% of patients treated with JAKAFI versus 14% of the patients treated with placebo.</w:t>
      </w:r>
    </w:p>
    <w:p>
      <w:pPr>
        <w:spacing w:after="0" w:line="205"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i w:val="1"/>
          <w:iCs w:val="1"/>
          <w:color w:val="auto"/>
        </w:rPr>
        <w:t xml:space="preserve">Polycythemia Vera. </w:t>
      </w:r>
      <w:r>
        <w:rPr>
          <w:rFonts w:ascii="Arial" w:cs="Arial" w:eastAsia="Arial" w:hAnsi="Arial"/>
          <w:sz w:val="18"/>
          <w:szCs w:val="18"/>
          <w:color w:val="auto"/>
        </w:rPr>
        <w:t>PV is a myeloproliferative neoplasm typically characterized by elevated hematocrit, the volume percentage of red blood cells in</w:t>
      </w:r>
      <w:r>
        <w:rPr>
          <w:rFonts w:ascii="Arial" w:cs="Arial" w:eastAsia="Arial" w:hAnsi="Arial"/>
          <w:sz w:val="18"/>
          <w:szCs w:val="18"/>
          <w:i w:val="1"/>
          <w:iCs w:val="1"/>
          <w:color w:val="auto"/>
        </w:rPr>
        <w:t xml:space="preserve"> </w:t>
      </w:r>
      <w:r>
        <w:rPr>
          <w:rFonts w:ascii="Arial" w:cs="Arial" w:eastAsia="Arial" w:hAnsi="Arial"/>
          <w:sz w:val="18"/>
          <w:szCs w:val="18"/>
          <w:color w:val="auto"/>
        </w:rPr>
        <w:t>whole blood, which can lead to a thickening of the blood and an increased risk of blood clots, as well as an elevated white blood cell and platelet count. When phlebotomy can no longer control PV, chemotherapy such as hydroxyurea, or interferon, is utilized. Approximately 25,000 patients with PV in the United States are considered uncontrolled because they have an inadequate response to or are intolerant of hydroxyurea, the most commonly used chemotherapeutic agent for the treatment of PV.</w:t>
      </w:r>
    </w:p>
    <w:p>
      <w:pPr>
        <w:spacing w:after="0" w:line="194" w:lineRule="exact"/>
        <w:rPr>
          <w:sz w:val="20"/>
          <w:szCs w:val="20"/>
          <w:color w:val="auto"/>
        </w:rPr>
      </w:pPr>
    </w:p>
    <w:p>
      <w:pPr>
        <w:jc w:val="both"/>
        <w:ind w:firstLine="636"/>
        <w:spacing w:after="0" w:line="248" w:lineRule="auto"/>
        <w:rPr>
          <w:sz w:val="20"/>
          <w:szCs w:val="20"/>
          <w:color w:val="auto"/>
        </w:rPr>
      </w:pPr>
      <w:r>
        <w:rPr>
          <w:rFonts w:ascii="Arial" w:cs="Arial" w:eastAsia="Arial" w:hAnsi="Arial"/>
          <w:sz w:val="18"/>
          <w:szCs w:val="18"/>
          <w:color w:val="auto"/>
        </w:rPr>
        <w:t>In December 2014, the FDA approved JAKAFI for the treatment of patients with PV who have had an inadequate response to or are intolerant of hydroxyurea. The approval of JAKAFI for PV was based on data from the pivotal Phase III RESPONSE trial. In this trial, patients treated with JAKAFI demonstrated superior hematocrit control and reductions in spleen volume compared to best available therapy. In addition, a greater proportion of patients treated with JAKAFI achieved complete hematologic remission—which was defined as achieving hematocrit control, and lowering platelet and white blood cell counts. In the RESPONSE trial, the most common hematologic adverse reactions (incidence &gt; 20%) were thrombocytopenia and anemia. The most common non-hematologic adverse events (incidence &gt;10%) were headache, abdominal pain, diarrhea, dizziness, fatigue, pruritus, dyspnea and muscle spasms.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In March 2016, the FDA approved supplemental labeling for JAKAFI to include additional safety data as well as efficacy analyses from the RESPONSE trial to assess the durability of response in JAKAFI treated patients after 80 weeks. At this time, 83% patients were still on treatment, and 76% of the responders at 32 weeks maintained their response through 80 weeks.</w:t>
      </w:r>
    </w:p>
    <w:p>
      <w:pPr>
        <w:spacing w:after="0" w:line="188"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In June 2016, we announced data from the Phase III RESPONSE-2 study of JAKAFI in patients with inadequately controlled PV that was resistant to or intolerant of hydroxyurea who did not have an enlarged spleen. These data showed that JAKAFI was superior to best available therapy in maintaining hematocrit control (62.2% vs. 18.7%, respectively; P&lt;0.0001) without the need for phlebotomy.</w:t>
      </w:r>
    </w:p>
    <w:p>
      <w:pPr>
        <w:spacing w:after="0" w:line="188"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In August 2017, we announced that JAKAFI had been included as a recommended treatment in the latest NCCN Guidelines for patients with polycythemia vera who have had an inadequate response to first-line therapies, such as hydroxyurea.</w:t>
      </w:r>
    </w:p>
    <w:p>
      <w:pPr>
        <w:spacing w:after="0" w:line="181"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i w:val="1"/>
          <w:iCs w:val="1"/>
          <w:color w:val="auto"/>
        </w:rPr>
        <w:t xml:space="preserve">Graft-versus-host disease. </w:t>
      </w:r>
      <w:r>
        <w:rPr>
          <w:rFonts w:ascii="Arial" w:cs="Arial" w:eastAsia="Arial" w:hAnsi="Arial"/>
          <w:sz w:val="18"/>
          <w:szCs w:val="18"/>
          <w:color w:val="auto"/>
        </w:rPr>
        <w:t>GVHD is a condition that can occur after an allogeneic HSCT (the transfer of genetically dissimilar stem cells or tissue).</w:t>
      </w:r>
      <w:r>
        <w:rPr>
          <w:rFonts w:ascii="Arial" w:cs="Arial" w:eastAsia="Arial" w:hAnsi="Arial"/>
          <w:sz w:val="18"/>
          <w:szCs w:val="18"/>
          <w:i w:val="1"/>
          <w:iCs w:val="1"/>
          <w:color w:val="auto"/>
        </w:rPr>
        <w:t xml:space="preserve"> </w:t>
      </w:r>
      <w:r>
        <w:rPr>
          <w:rFonts w:ascii="Arial" w:cs="Arial" w:eastAsia="Arial" w:hAnsi="Arial"/>
          <w:sz w:val="18"/>
          <w:szCs w:val="18"/>
          <w:color w:val="auto"/>
        </w:rPr>
        <w:t>In GVHD, the donated bone marrow or peripheral blood stem cells view the recipient’s body as foreign and attack various tissues. 12-month survival rates in patients with Grade III or IV steroid-refractory acute GVHD are 50% or less, and the incidence of steroid-refractory acute and chronic GVHD is approximately 3,000 per year in the United States.</w:t>
      </w:r>
    </w:p>
    <w:p>
      <w:pPr>
        <w:spacing w:after="0" w:line="191" w:lineRule="exact"/>
        <w:rPr>
          <w:sz w:val="20"/>
          <w:szCs w:val="20"/>
          <w:color w:val="auto"/>
        </w:rPr>
      </w:pPr>
    </w:p>
    <w:p>
      <w:pPr>
        <w:jc w:val="both"/>
        <w:ind w:firstLine="636"/>
        <w:spacing w:after="0" w:line="267" w:lineRule="auto"/>
        <w:rPr>
          <w:sz w:val="20"/>
          <w:szCs w:val="20"/>
          <w:color w:val="auto"/>
        </w:rPr>
      </w:pPr>
      <w:r>
        <w:rPr>
          <w:rFonts w:ascii="Arial" w:cs="Arial" w:eastAsia="Arial" w:hAnsi="Arial"/>
          <w:sz w:val="17"/>
          <w:szCs w:val="17"/>
          <w:color w:val="auto"/>
        </w:rPr>
        <w:t>In June 2016, we announced that the FDA granted Breakthrough Therapy designation for ruxolitinib in patients with acute GVHD. In May 2019, the FDA approved JAKAFI for the treatment of steroid-refractory acute GVHD in adult and pediatric patients 12 years and older. The approval was based on data from REACH1, an open-label, single-arm, multicenter study of JAKAFI in combination with corticosteroids in patients with steroid-refractory grade II-IV acute GVHD. The overall response rate (ORR) in patients refractory to steroids alone was 57% with a complete response (CR) rate of 31%. The most frequently reported adverse reactions among all study participants were infections (55%) and edema (51%), and the most common laboratory abnormalities were anemia (75%), thrombocytopenia (75%) and neutropenia (58%).</w:t>
      </w:r>
    </w:p>
    <w:p>
      <w:pPr>
        <w:spacing w:after="0" w:line="179" w:lineRule="exact"/>
        <w:rPr>
          <w:sz w:val="20"/>
          <w:szCs w:val="20"/>
          <w:color w:val="auto"/>
        </w:rPr>
      </w:pPr>
    </w:p>
    <w:p>
      <w:pPr>
        <w:jc w:val="both"/>
        <w:ind w:firstLine="636"/>
        <w:spacing w:after="0" w:line="305" w:lineRule="auto"/>
        <w:rPr>
          <w:sz w:val="20"/>
          <w:szCs w:val="20"/>
          <w:color w:val="auto"/>
        </w:rPr>
      </w:pPr>
      <w:r>
        <w:rPr>
          <w:rFonts w:ascii="Arial" w:cs="Arial" w:eastAsia="Arial" w:hAnsi="Arial"/>
          <w:sz w:val="15"/>
          <w:szCs w:val="15"/>
          <w:color w:val="auto"/>
        </w:rPr>
        <w:t>In September 2021, the FDA approved JAKAFI for the treatment of chronic GVHD after failure of one or two lines of systemic therapy in adult and pediatric patients 12 years and older. This approval was based on data from REACH3, a Phase III, randomized, open-label, multicenter study of JAKAFI in comparison to best available therapy for treatment of steroid-refractory chronic GVHD after allogeneic stem cell transplantation. The overall response rate through Cycle 7 Day 1 was 70% for JAKAFI compared to 57% for best available therapy. The most common hematologic adverse reactions (incidence &gt; 35%) were anemia and thrombocytopenia. The most common non-hematologic adverse reactions (incidence ≥ 20%) were infections (pathogen not specified) and viral infection. In addition, the FDA updated labeling for JAKAFI to include warnings of increased risk of major adverse cardiovascular events, thrombosis, and secondary malignancies related to another JAK-inhibitor treating rheumatoid arthritis, a condition for which JAKAFI is not indicated. In patients with MF and PV treated with JAKAFI in clinical trials, the rates of thromboembolic events were similar in JAKAFI and control treated patients.</w:t>
      </w:r>
    </w:p>
    <w:p>
      <w:pPr>
        <w:spacing w:after="0" w:line="154"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We have retained all development and commercialization rights to JAKAFI in the United States and are eligible to receive development and sales milestones as well as royalties from product sales outside the United States. We hold patents that cover the composition of matter and use of ruxolitinib and its salt. These patents, including applicable extensions, currently expire in mid-2028 and late-2028. In December 2022, we were granted pediatric exclusivity, which adds six months to the expiration for all ruxolitinib patents listed in FDA’s Approved Drug Products with Therapeutic Equivalence Evaluations (Orange Book) as of the date of the grant of pediatric exclusivity.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MONJUVI (tafasitamab-cxix) / MINJUVI (tafasitamab)</w:t>
      </w:r>
    </w:p>
    <w:p>
      <w:pPr>
        <w:spacing w:after="0" w:line="217"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7"/>
          <w:szCs w:val="17"/>
          <w:color w:val="auto"/>
        </w:rPr>
        <w:t>In January 2020, we and MorphoSys AG entered into a collaboration and license agreement to further develop and commercialize MorphoSys’ proprietary anti-CD19 antibody tafasitamab (MOR208) globally. The agreement became effective March 2020. Tafasitamab is an Fc-engineered antibody against CD19 currently in clinical development for the treatment of B cell malignancies. We have rights to co-commercialize tafasitamab in the United States with MorphoSys, and we have exclusive development and commercialization rights outside of the United States.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7"/>
          <w:szCs w:val="17"/>
          <w:color w:val="auto"/>
        </w:rPr>
        <w:t>In July 2020, we and MorphoSys announced that the FDA approved MONJUVI (tafasitamab-cxix), which is indicated in combination with lenalidomide for the treatment of adult patients with relapsed or refractory diffuse large B-cell lymphoma (DLBCL) not otherwise specified, including DLBCL arising from low grade lymphoma, and who are not eligible for autologous stem cell transplant (ASCT). MONJUVI was approved under accelerated approval based on overall response rate from the MorphoSys-sponsored Phase II L-MIND study, an open label, multicenter, single arm trial of MONJUVI in combination with lenalidomide as a treatment for adult patients with r/r DLBCL. Results from the study showed an objective response rate (ORR) of 55% (39 out of 71 patients; primary endpoint) and a complete response (CR) rate of 37% (26 out of 71 patients). The median duration of response (mDOR) was 21.7 months. The most frequent serious adverse reactions were infections (26%), including pneumonia (7%) and febrile neutropenia (6%). Updated three-year data from L-MIND were presented at the American Society of Clinical Oncology (ASCO) 2021 and final five-year data were presented at the American Association for Cancer Research (AACR) 2023, which showed that the Monjuvi plus lenalidomide regimen followed by Monjuvi monotherapy provided prolonged, durable responses in adult patients with r/r DLBCL.</w:t>
      </w:r>
    </w:p>
    <w:p>
      <w:pPr>
        <w:spacing w:after="0" w:line="182"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In August 2020, we and MorphoSys announced that MONJUVI in combination with lenalidomide had been included in the latest National Comprehensive Cancer Network (NCCN) Clinical Practice Guidelines in Oncology for B-cell Lymphomas.</w:t>
      </w:r>
    </w:p>
    <w:p>
      <w:pPr>
        <w:spacing w:after="0" w:line="181"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7"/>
          <w:szCs w:val="17"/>
          <w:color w:val="auto"/>
        </w:rPr>
        <w:t>In August 2021, we and MorphoSys announced that the European Commission (EC) granted conditional marketing authorization for MINJUVI (tafasitamab) in combination with lenalidomide, followed by MINJUVI monotherapy, for the treatment of adult patients with relapsed or refractory DLBCL who are not eligible for autologous stem cell transplant (ASCT). The conditional approval was based on the three-year results from the L-MIND study evaluating the safety and efficacy of MINJUVI in combination with lenalidomide as a treatment for patients with r/r DLBCL who are not eligible for ASCT. The results showed best objective response rate (ORR) of 56.8% (primary endpoint), including a complete response (CR) rate of 39.5% and a partial response rate (PR) of 17.3%, as assessed by an independent review committee. The median duration of response (mDOR) was 43.9 months after a minimum follow up of 35 months (secondary endpoint). MINJUVI together with lenalidomide was shown to provide a clinically meaningful response and the side effects were manageable. Warnings and precautions for MINJUVI include infusion-related reactions, myelosuppression, including neutropenia and thrombocytopenia, infections and tumour lysis syndrome.</w:t>
      </w:r>
    </w:p>
    <w:p>
      <w:pPr>
        <w:spacing w:after="0" w:line="185" w:lineRule="exact"/>
        <w:rPr>
          <w:sz w:val="20"/>
          <w:szCs w:val="20"/>
          <w:color w:val="auto"/>
        </w:rPr>
      </w:pPr>
    </w:p>
    <w:p>
      <w:pPr>
        <w:jc w:val="both"/>
        <w:ind w:firstLine="636"/>
        <w:spacing w:after="0" w:line="318" w:lineRule="auto"/>
        <w:rPr>
          <w:sz w:val="20"/>
          <w:szCs w:val="20"/>
          <w:color w:val="auto"/>
        </w:rPr>
      </w:pPr>
      <w:r>
        <w:rPr>
          <w:rFonts w:ascii="Arial" w:cs="Arial" w:eastAsia="Arial" w:hAnsi="Arial"/>
          <w:sz w:val="15"/>
          <w:szCs w:val="15"/>
          <w:color w:val="auto"/>
        </w:rPr>
        <w:t>DLBCL is the most common type of non-Hodgkin lymphoma in adults worldwide, comprising 40% of all cases. DLBCL is characterized by rapidly growing masses of malignant B-cells in the lymph nodes, spleen, liver, bone marrow or other organs. It is an aggressive disease with ~40% of patients not responding to initial therapy or relapsing thereafter. We estimate that there are ~10,000 patients diagnosed in the United States each year with r/r DLBCL who are not eligible for ASCT. In the EU, we estimate there are ~14,000 patients diagnosed each year with r/r DLBCL who are not eligible for ASCT.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PEMAZYRE (pemigatinib)</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PEMAZYRE is the first internally discovered product to be internationally commercialized by us.</w:t>
      </w:r>
    </w:p>
    <w:p>
      <w:pPr>
        <w:spacing w:after="0" w:line="217"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In April 2020, we announced that the FDA approved PEMAZYRE (pemigatinib), a selective fibroblast growth factor receptor (FGFR) kinase inhibitor, for the treatment of adults with previously treated, unresectable locally advanced or metastatic cholangiocarcinoma with an FGFR2 fusion or other rearrangement as detected by an FDA-approved test. PEMAZYRE is the first FDA-approved treatment for this indication, which was approved under accelerated approval based on overall response rate and duration of response (DOR).</w:t>
      </w:r>
    </w:p>
    <w:p>
      <w:pPr>
        <w:spacing w:after="0" w:line="191"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In March 2021, PEMAZYRE was approved by the Japanese Ministry of Health, Labour and Welfare (MHLW) for the treatment of patients with unresectable biliary tract cancer (BTC) with an FGFR2 fusion gene, worsening after cancer chemotherapy. Also in March 2021, PEMAZYRE was approved by the European Commission (EC) for the treatment of adults with locally advanced or metastatic cholangiocarcinoma with an FGFR2 fusion or rearrangement that have progressed after at least one prior line of systemic therapy.</w:t>
      </w:r>
    </w:p>
    <w:p>
      <w:pPr>
        <w:spacing w:after="0" w:line="191" w:lineRule="exact"/>
        <w:rPr>
          <w:sz w:val="20"/>
          <w:szCs w:val="20"/>
          <w:color w:val="auto"/>
        </w:rPr>
      </w:pPr>
    </w:p>
    <w:p>
      <w:pPr>
        <w:jc w:val="both"/>
        <w:ind w:firstLine="636"/>
        <w:spacing w:after="0" w:line="330" w:lineRule="auto"/>
        <w:rPr>
          <w:sz w:val="20"/>
          <w:szCs w:val="20"/>
          <w:color w:val="auto"/>
        </w:rPr>
      </w:pPr>
      <w:r>
        <w:rPr>
          <w:rFonts w:ascii="Arial" w:cs="Arial" w:eastAsia="Arial" w:hAnsi="Arial"/>
          <w:sz w:val="15"/>
          <w:szCs w:val="15"/>
          <w:color w:val="auto"/>
        </w:rPr>
        <w:t>In July 2021, the UK’s National Institute for Health and Care Excellence (NICE) recommended PEMAZYRE for patients with cholangiocarcinoma with a fibroblast growth factor receptor 2 (FGFR2) fusion or rearrangement that have progressed after at least one prior line of systemic therapy. NICE’s guidance enables all eligible patients in England and Wales to have access to PEMAZYRE through the National Health Service (NHS).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In March 2022, PEMAZYRE was approved by the National Medical Products Administration (NMPA) of the People</w:t>
      </w:r>
      <w:r>
        <w:rPr>
          <w:rFonts w:ascii="Arial" w:cs="Arial" w:eastAsia="Arial" w:hAnsi="Arial"/>
          <w:sz w:val="15"/>
          <w:szCs w:val="15"/>
          <w:color w:val="auto"/>
        </w:rPr>
        <w:t>’</w:t>
      </w:r>
      <w:r>
        <w:rPr>
          <w:rFonts w:ascii="Arial" w:cs="Arial" w:eastAsia="Arial" w:hAnsi="Arial"/>
          <w:sz w:val="18"/>
          <w:szCs w:val="18"/>
          <w:color w:val="auto"/>
        </w:rPr>
        <w:t>s Republic of China for the treatment of adults with locally advanced or metastatic cholangiocarcinoma with a fibroblast growth receptor 2 (FGFR2) fusion or rearrangement as confirmed by a validated diagnostic test that have progressed after at least one prior line of systemic therapy.</w:t>
      </w:r>
    </w:p>
    <w:p>
      <w:pPr>
        <w:spacing w:after="0" w:line="188"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Cholangiocarcinoma is a rare cancer that arises from the cells within the bile ducts. It is often diagnosed late (stages III and IV) and the prognosis is poor. The incidence of cholangiocarcinoma with FGFR2 fusions or rearrangements is increasing, and it is currently estimated that there are 2,000-3,000 patients in the United States, Europe and Japan.</w:t>
      </w:r>
    </w:p>
    <w:p>
      <w:pPr>
        <w:spacing w:after="0" w:line="188"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7"/>
          <w:szCs w:val="17"/>
          <w:color w:val="auto"/>
        </w:rPr>
        <w:t>The approval of PEMAZYRE was based on data from FIGHT-202, a multi-center, open-label, single-arm study evaluating PEMAZYRE as a treatment for adults with cholangiocarcinoma. In FIGHT-202, and in patients harboring FGFR2 fusions or rearrangements (Cohort A), PEMAZYRE monotherapy resulted in an overall response rate of 36% (primary endpoint), and median DOR of 9.1 months (secondary endpoint). FIGHT-302, a Phase III trial of pemigatinib for the first-line treatment of patients with cholangiocarcinoma and FGFR2 fusions or rearrangements, is ongoing.</w:t>
      </w:r>
    </w:p>
    <w:p>
      <w:pPr>
        <w:spacing w:after="0" w:line="177"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In August 2022, PEMAZYRE was approved by the FDA as the first and only targeted treatment for myeloid/lymphoid neoplasms (MLNs) with FGFR1 rearrangement. MLNs with FGFR1 rearrangement are extremely rare and aggressive blood cancers.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March 2023, PEMAZYRE was approved by the MHLW for the treatment of MLNs with FGFR1 fusion.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ICLUSIG (ponatinib)</w:t>
      </w:r>
    </w:p>
    <w:p>
      <w:pPr>
        <w:spacing w:after="0" w:line="217" w:lineRule="exact"/>
        <w:rPr>
          <w:sz w:val="20"/>
          <w:szCs w:val="20"/>
          <w:color w:val="auto"/>
        </w:rPr>
      </w:pPr>
    </w:p>
    <w:p>
      <w:pPr>
        <w:jc w:val="both"/>
        <w:ind w:firstLine="636"/>
        <w:spacing w:after="0" w:line="330" w:lineRule="auto"/>
        <w:rPr>
          <w:sz w:val="20"/>
          <w:szCs w:val="20"/>
          <w:color w:val="auto"/>
        </w:rPr>
      </w:pPr>
      <w:r>
        <w:rPr>
          <w:rFonts w:ascii="Arial" w:cs="Arial" w:eastAsia="Arial" w:hAnsi="Arial"/>
          <w:sz w:val="15"/>
          <w:szCs w:val="15"/>
          <w:color w:val="auto"/>
        </w:rPr>
        <w:t>In June 2016, we acquired the European operations of ARIAD Pharmaceuticals, Inc. and obtained an exclusive license to develop and commercialize ICLUSIG (ponatinib) in Europe and other select countries. ICLUSIG is a kinase inhibitor. The primary target for ICLUSIG is BCR-ABL, an abnormal tyrosine kinase that is expressed in chronic myeloid leukemia (CML) and Philadelphia-chromosome positive acute lymphoblastic leukemia (Ph+ ALL).</w:t>
      </w:r>
    </w:p>
    <w:p>
      <w:pPr>
        <w:spacing w:after="0" w:line="137"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In the European Union, ICLUSIG is approved for the treatment of adult patients with chronic phase, accelerated phase or blast phase CML who are resistant to dasatinib or nilotinib; who are intolerant to dasatinib or nilotinib and for whom subsequent treatment with imatinib is not clinically appropriate; or who have the T315I mutation, or the treatment of adult patients with Ph+ ALL who are resistant to dasatinib; who are intolerant to dasatinib and for whom subsequent treatment with imatinib is not clinically appropriate; or who have the T315I mutation.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ZYNYZ (retifanlimab-dlwr)</w:t>
      </w:r>
    </w:p>
    <w:p>
      <w:pPr>
        <w:spacing w:after="0" w:line="217"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In October 2017, we and MacroGenics, Inc. announced an exclusive global collaboration and license agreement for MacroGenics’ retifanlimab (formerly INCMGA0012), an investigational monoclonal antibody that inhibits PD-1. Under this collaboration, we obtained exclusive worldwide rights for the development and commercialization of retifanlimab in all indications. The molecule is currently being evaluated both as monotherapy and in combination therapy across various tumor types. Two Phase III trials evaluating retifanlimab in squamous cell anal cancer (SCAC) and non-small cell lung cancer (NSCLC) are ongoing.</w:t>
      </w:r>
    </w:p>
    <w:p>
      <w:pPr>
        <w:spacing w:after="0" w:line="194"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In March 2023, we announced that the FDA approved ZYNYZ (retifanlimab-dlwr), a humanized monoclonal antibody targeting programmed death receptor-1 (PD-1), under accelerated approval, for the treatment of adults with metastatic or recurrent locally advanced Merkel cell carcinoma (MCC). This represents the first regulatory approval for our PD-1 inhibitor.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Programs in Hematology and Oncology</w:t>
      </w:r>
    </w:p>
    <w:p>
      <w:pPr>
        <w:spacing w:after="0" w:line="217"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In early 2023, as part of our efforts to continuously optimize our R&amp;D portfolio, we prioritized several programs in dermatology and oncology that we determined to have high potential value. As part of this process, we also de-prioritized and discontinued certain programs, including parsaclisib in myelofibrosis and warm hemolytic anemia, as well as certain early stage programs.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Ruxolitinib</w:t>
      </w:r>
    </w:p>
    <w:p>
      <w:pPr>
        <w:spacing w:after="0" w:line="217"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17"/>
          <w:szCs w:val="17"/>
          <w:color w:val="auto"/>
        </w:rPr>
        <w:t>As part of our ongoing LIMBER (Leadership In MPNs BEyond Ruxolitinib) clinical development initiative, which is designed to improve and expand therapeutic options for patients with myeloproliferative neoplasms, we are evaluating combinations of ruxolitinib with other therapeutic modalities, as well as developing a once-a-day formulation of ruxolitinib for potential use as monotherapy and combination therapy. Bioavailability and bioequivalence data were published for ruxolitinib’s once-daily (QD) extended release (XR) formulation at the European Hematology Association (EHA) 2021 Virtual Congress in June 2021. In March 2023, the FDA issued a complete response letter for ruxolitinib extended-release (XR) tablets for once-daily (QD) use in the treatment of certain types of MF, PV and GVHD. The complete response letter stated that the FDA could not approve the application in its present form but acknowledged that the study submitted in the NDA met its objective of bioequivalence based on area under the curve parameters but identified additional requirements for approval. We will work with the FDA to determine the appropriate next steps.</w:t>
      </w:r>
    </w:p>
    <w:p>
      <w:pPr>
        <w:spacing w:after="0" w:line="181" w:lineRule="exact"/>
        <w:rPr>
          <w:sz w:val="20"/>
          <w:szCs w:val="20"/>
          <w:color w:val="auto"/>
        </w:rPr>
      </w:pPr>
    </w:p>
    <w:p>
      <w:pPr>
        <w:jc w:val="both"/>
        <w:ind w:firstLine="636"/>
        <w:spacing w:after="0" w:line="248" w:lineRule="auto"/>
        <w:rPr>
          <w:sz w:val="20"/>
          <w:szCs w:val="20"/>
          <w:color w:val="auto"/>
        </w:rPr>
      </w:pPr>
      <w:r>
        <w:rPr>
          <w:rFonts w:ascii="Arial" w:cs="Arial" w:eastAsia="Arial" w:hAnsi="Arial"/>
          <w:sz w:val="18"/>
          <w:szCs w:val="18"/>
          <w:color w:val="auto"/>
        </w:rPr>
        <w:t>Phase II trials combining ruxolitinib with investigational agents from our portfolio such as INCB57643 (BET) and INCB00928 (ALK2) in patients with MF are ongoing, and in June 2023, at the American Society of Clinical Oncology (ASCO) annual meeting, updated data was presented which demonstrated early signals of clinical activity of both agents in monotherapy and in combination with ruxolitinib. Additional discovery and development initiatives are also ongoing within the LIMBER program, which are evaluating internally-discovered compounds, and candidates from collaboration partners. We recently announced the discontinuation of LIMBER-304 and LIMBER-313, two Phase III studies evaluating ruxolitinib in combination with parsaclisib in MF patients with a suboptimal response to ruxolitinib monotherapy and in first-line MF, respectively. These studies were discontinued as a result of planned interim analyses which indicated that the studies were unlikely to meet their primary endpoint in the intent-to-treat patient population. The recommendation to stop the studies was not due to safety.</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Axatilimab</w:t>
      </w:r>
    </w:p>
    <w:p>
      <w:pPr>
        <w:spacing w:after="0" w:line="217"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7"/>
          <w:szCs w:val="17"/>
          <w:color w:val="auto"/>
        </w:rPr>
        <w:t>In September 2021, we and Syndax Pharmaceuticals, Inc. announced an exclusive worldwide collaboration and license agreement to develop and commercialize axatilimab, Syndax’s anti-CSF-1R monoclonal antibody. Together, we plan to develop axatilimab as a therapy for patients with chronic GVHD as well as in additional immune-mediated diseases where CSF-1R-dependent monocytes and macrophages are believed to contribute to organ fibrosis. In December 2021, updated positive data were presented at ASH from the Phase I/II trial evaluating axatilimab as a monotherapy in patients with recurrent or refractory chronic GVHD after two or more prior lines of therapy. A 68% overall response rate and broad clinical benefit across multiple organs were observed at doses being assessed in AGAVE-201, a global pivotal trial evaluating axatilimab monotherapy in patients with chronic GVHD in the third line setting. Additional trials of axatilimab are planned in patients with chronic GVHD, including a Phase II trial in combination with ruxolitinib in patients with cGVHD. In May 2022, Syndax announced that axatilimab was granted fast-track designation by the FDA for the treatment of patients with chronic GVHD after failure of two or more lines of systemic therapy.</w:t>
      </w:r>
    </w:p>
    <w:p>
      <w:pPr>
        <w:spacing w:after="0" w:line="185"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In July 2023, we and Syndax announced that AGAVE-201 had met its primary endpoint across all cohorts with an overall response rate (ORR) of 74% at the dose of 0.3 mg/kg administered every two weeks. The data highlight the durable response seen at the 0.3 mg/kg dose with 60% of patients who responded to axatilimab still responding at one year.</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INCA033989 (mCALR)</w:t>
      </w:r>
    </w:p>
    <w:p>
      <w:pPr>
        <w:spacing w:after="0" w:line="217"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In December 2022, new research detailing the development and mechanism of action of INCA033989, an Incyte-discovered, investigational novel anti-mutant calreticulin (CALR)-targeted monoclonal antibody, was featured in the Plenary Scientific Session at the 64th American Society of Hematology (ASH) Annual Meeting. INCA033989 binds with high affinity to mutant CALR and inhibits oncogenesis, the process of cells becoming cancerous, in cells expressing this oncoprotein. CALR mutations are responsible for disease development in approximately 25-35% of patients with MF and ET. In July 2023, we initiated a Phase I study evaluating INCA033989.</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Tafasitamab</w:t>
      </w:r>
    </w:p>
    <w:p>
      <w:pPr>
        <w:spacing w:after="0" w:line="21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Tafasitamab is an anti-CD19 antibody and is being investigated as a therapeutic option in B cell malignancies in a number of ongoing and planned combination trials. An open-label Phase II combination trial (L-MIND) is investigating the safety and efficacy of tafasitamab in combination with lenalidomide in patients with relapsed or refractory diffuse large B-cell lymphoma (r/r DLBCL), and the ongoing Phase III B-MIND trial is assessing the combination of tafasitamab and bendamustine versus rituximab and bendamustine in r/r DLBCL. firstMIND is a Phase Ib safety trial of tafasitamab as a first-line therapy for patients with DLBCL, and frontMIND, a placebo-controlled Phase III trial evaluating tafasitamab in combination with lenalidomide added to rituximab plus chemotherapy (R-CHOP) as a first-line therapy for patients with DLBCL, is ongoing.</w:t>
      </w:r>
    </w:p>
    <w:p>
      <w:pPr>
        <w:spacing w:after="0" w:line="179"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A placebo-controlled Phase III trial (inMIND) of tafasitamab added to lenalidomide plus rituximab (R</w:t>
      </w:r>
      <w:r>
        <w:rPr>
          <w:rFonts w:ascii="Arial" w:cs="Arial" w:eastAsia="Arial" w:hAnsi="Arial"/>
          <w:sz w:val="8"/>
          <w:szCs w:val="8"/>
          <w:color w:val="auto"/>
        </w:rPr>
        <w:t>2</w:t>
      </w:r>
      <w:r>
        <w:rPr>
          <w:rFonts w:ascii="Arial" w:cs="Arial" w:eastAsia="Arial" w:hAnsi="Arial"/>
          <w:sz w:val="18"/>
          <w:szCs w:val="18"/>
          <w:color w:val="auto"/>
        </w:rPr>
        <w:t>) in patients with relapsed or refractory follicular or marginal zone lymphomas is ongoing.</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January 2021, the FDA granted orphan drug designation to tafasitamab as a treatment for patients with follicular lymphoma.</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Pemigatinib</w:t>
      </w:r>
    </w:p>
    <w:p>
      <w:pPr>
        <w:spacing w:after="0" w:line="217" w:lineRule="exact"/>
        <w:rPr>
          <w:sz w:val="20"/>
          <w:szCs w:val="20"/>
          <w:color w:val="auto"/>
        </w:rPr>
      </w:pPr>
    </w:p>
    <w:p>
      <w:pPr>
        <w:jc w:val="both"/>
        <w:ind w:firstLine="636"/>
        <w:spacing w:after="0" w:line="294" w:lineRule="auto"/>
        <w:rPr>
          <w:sz w:val="20"/>
          <w:szCs w:val="20"/>
          <w:color w:val="auto"/>
        </w:rPr>
      </w:pPr>
      <w:r>
        <w:rPr>
          <w:rFonts w:ascii="Arial" w:cs="Arial" w:eastAsia="Arial" w:hAnsi="Arial"/>
          <w:sz w:val="17"/>
          <w:szCs w:val="17"/>
          <w:color w:val="auto"/>
        </w:rPr>
        <w:t>Pemigatinib is a potent and selective inhibitor of the fibroblast growth factor receptor (FGFR) isoforms 1, 2 and 3 with demonstrated activity in preclinical studies. The FGFR family of receptor tyrosine kinases can act as oncogenic drivers in a number of liquid and solid tumor types.</w:t>
      </w:r>
    </w:p>
    <w:p>
      <w:pPr>
        <w:spacing w:after="0" w:line="157" w:lineRule="exact"/>
        <w:rPr>
          <w:sz w:val="20"/>
          <w:szCs w:val="20"/>
          <w:color w:val="auto"/>
        </w:rPr>
      </w:pPr>
    </w:p>
    <w:p>
      <w:pPr>
        <w:jc w:val="both"/>
        <w:ind w:firstLine="636"/>
        <w:spacing w:after="0" w:line="267" w:lineRule="auto"/>
        <w:rPr>
          <w:sz w:val="20"/>
          <w:szCs w:val="20"/>
          <w:color w:val="auto"/>
        </w:rPr>
      </w:pPr>
      <w:r>
        <w:rPr>
          <w:rFonts w:ascii="Arial" w:cs="Arial" w:eastAsia="Arial" w:hAnsi="Arial"/>
          <w:sz w:val="17"/>
          <w:szCs w:val="17"/>
          <w:color w:val="auto"/>
        </w:rPr>
        <w:t>We initiated the FIGHT clinical program to evaluate pemigatinib across a spectrum of cancers that are driven by FGF/FGFR alterations. The program initially included three Phase II trials – FIGHT-201 in patients with bladder cancer, FIGHT-202 in patients with cholangiocarcinoma, and FIGHT-203 in patients with myeloid/lymphoid neoplasms with FGFR1 rearrangement. Based on data generated from these trials, we have initiated additional trials including FIGHT-302, a Phase III study in first-line cholangiocarcinoma. FIGHT-207, a solid tumor-agnostic trial evaluating pemigatinib in patients with driver-alterations of FGF/FGFR, is now closed to recruitment. Based on findings from this study, we have identified populations that may potentially benefit from treatment with pemigatinib and a Phase II trial, FIGHT-209, in patients with glioblastoma is ongoing.</w:t>
      </w:r>
    </w:p>
    <w:p>
      <w:pPr>
        <w:spacing w:after="0" w:line="179"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Pemigatinib has Breakthrough Therapy designation as a treatment for patients with myeloid/lymphoid neoplasms (MLN) with FGFR1 rearrangement who have relapsed or are refractory to initial chemotherapy.</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Retifanlimab</w:t>
      </w:r>
    </w:p>
    <w:p>
      <w:pPr>
        <w:spacing w:after="0" w:line="217" w:lineRule="exact"/>
        <w:rPr>
          <w:sz w:val="20"/>
          <w:szCs w:val="20"/>
          <w:color w:val="auto"/>
        </w:rPr>
      </w:pPr>
    </w:p>
    <w:p>
      <w:pPr>
        <w:jc w:val="both"/>
        <w:ind w:firstLine="636"/>
        <w:spacing w:after="0" w:line="330" w:lineRule="auto"/>
        <w:rPr>
          <w:sz w:val="20"/>
          <w:szCs w:val="20"/>
          <w:color w:val="auto"/>
        </w:rPr>
      </w:pPr>
      <w:r>
        <w:rPr>
          <w:rFonts w:ascii="Arial" w:cs="Arial" w:eastAsia="Arial" w:hAnsi="Arial"/>
          <w:sz w:val="15"/>
          <w:szCs w:val="15"/>
          <w:color w:val="auto"/>
        </w:rPr>
        <w:t>The Phase III POD1UM-303 trial of retifanlimab in combination with platinum-based chemotherapy as a first-line treatment for patients with squamous cell carcinoma of the anal canal (SCAC) is ongoing. In July 2021, we announced that the FDA issued a complete response letter (CRL) for the BLA of retifanlimab for the treatment of SCAC. In October 2021, we announced that we withdrew the MAA seeking approval of retifanlimab in SCAC.</w:t>
      </w:r>
    </w:p>
    <w:p>
      <w:pPr>
        <w:spacing w:after="0" w:line="137"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The Phase III POD1UM-304 trial is evaluating retifanlimab in combination with platinum-based chemotherapy as a first-line treatment for patients with non-small cell lung cancer (NSCLC).</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Oral PD-L1</w:t>
      </w:r>
    </w:p>
    <w:p>
      <w:pPr>
        <w:spacing w:after="0" w:line="217" w:lineRule="exact"/>
        <w:rPr>
          <w:sz w:val="20"/>
          <w:szCs w:val="20"/>
          <w:color w:val="auto"/>
        </w:rPr>
      </w:pPr>
    </w:p>
    <w:p>
      <w:pPr>
        <w:jc w:val="both"/>
        <w:ind w:firstLine="636"/>
        <w:spacing w:after="0" w:line="330" w:lineRule="auto"/>
        <w:rPr>
          <w:sz w:val="20"/>
          <w:szCs w:val="20"/>
          <w:color w:val="auto"/>
        </w:rPr>
      </w:pPr>
      <w:r>
        <w:rPr>
          <w:rFonts w:ascii="Arial" w:cs="Arial" w:eastAsia="Arial" w:hAnsi="Arial"/>
          <w:sz w:val="15"/>
          <w:szCs w:val="15"/>
          <w:color w:val="auto"/>
        </w:rPr>
        <w:t>In November 2021, we highlighted Phase I clinical safety and efficacy data for our oral PD-L1 program which included two compounds, INCB99280 and INCB99318. Tumor shrinkage was observed for both oral PD-L1 inhibitors and both were generally well tolerated. We plan to evaluate INCB99280 in Phase II as monotherapy and in combination with other antitumor agents. Further dose escalation and dose expansion trials are ongoing with INCB99318.</w:t>
      </w:r>
    </w:p>
    <w:p>
      <w:pPr>
        <w:spacing w:after="0" w:line="137" w:lineRule="exact"/>
        <w:rPr>
          <w:sz w:val="20"/>
          <w:szCs w:val="20"/>
          <w:color w:val="auto"/>
        </w:rPr>
      </w:pPr>
    </w:p>
    <w:p>
      <w:pPr>
        <w:jc w:val="both"/>
        <w:ind w:firstLine="636"/>
        <w:spacing w:after="0" w:line="277" w:lineRule="auto"/>
        <w:rPr>
          <w:sz w:val="20"/>
          <w:szCs w:val="20"/>
          <w:color w:val="auto"/>
        </w:rPr>
      </w:pPr>
      <w:r>
        <w:rPr>
          <w:rFonts w:ascii="Arial" w:cs="Arial" w:eastAsia="Arial" w:hAnsi="Arial"/>
          <w:sz w:val="17"/>
          <w:szCs w:val="17"/>
          <w:color w:val="auto"/>
        </w:rPr>
        <w:t>In November 2022, (i) updated safety and preliminary efficacy data for INCB99280 and INCB99318 was presented at the Society for Immunotherapy of Cancer, and (ii) we and Mirati Therapeutics, Inc. announced a clinical trial collaboration and supply agreement to investigate the combination of INCB99280 and adagrasib, a KRASG12C selective inhibitor, in patients with KRASG12C-mutated solid tumors.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306" w:lineRule="auto"/>
        <w:rPr>
          <w:sz w:val="20"/>
          <w:szCs w:val="20"/>
          <w:color w:val="auto"/>
        </w:rPr>
      </w:pPr>
      <w:r>
        <w:rPr>
          <w:rFonts w:ascii="Arial" w:cs="Arial" w:eastAsia="Arial" w:hAnsi="Arial"/>
          <w:sz w:val="15"/>
          <w:szCs w:val="15"/>
          <w:color w:val="auto"/>
        </w:rPr>
        <w:t>In July 2023, we initiated two Phase I studies evaluating INCB99280 in combination with axitinib (VEGF) and in combination with ipilimumab (CTLA-4). A Phase II study evaluating INCB99280 in patients with select solid tumors who are checkpoint inhibitor naive was also initiated. Additionally, we initiated a Phase II study evaluating INCB99280 in metastatic cutaneous squamous cell carcinoma (cSCC) or locally advanced cSCC. We and Replimune Group, Inc. announced a clinical trial collaboration and supply agreement to investigate the combination of INCB99280 and RP1 in patients with cutaneous squamous cell carcinoma. RP1 is Replimune’s lead oncolytic immunotherapy product candidate and is based on a proprietary new strain of herpes simplex virus engineered for robust tumor selective replication and genetically armed with a fusogenic protein (GALV-GP R-) and GM-CSF, intended to maximize tumor killing potency, the immunogenicity of tumor cell death, and the activation of a systemic anti-tumor immune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123825</wp:posOffset>
            </wp:positionV>
            <wp:extent cx="71348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00" w:type="dxa"/>
            <w:vAlign w:val="bottom"/>
            <w:tcBorders>
              <w:bottom w:val="single" w:sz="8" w:color="auto"/>
            </w:tcBorders>
          </w:tcPr>
          <w:p>
            <w:pPr>
              <w:spacing w:after="0"/>
              <w:rPr>
                <w:sz w:val="20"/>
                <w:szCs w:val="20"/>
                <w:color w:val="auto"/>
              </w:rPr>
            </w:pPr>
          </w:p>
        </w:tc>
        <w:tc>
          <w:tcPr>
            <w:tcW w:w="73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Indication and status</w:t>
            </w:r>
          </w:p>
        </w:tc>
      </w:tr>
      <w:tr>
        <w:trPr>
          <w:trHeight w:val="245"/>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ruxolitinib XR (QD) (JAK1/JAK2)</w:t>
            </w:r>
          </w:p>
        </w:tc>
        <w:tc>
          <w:tcPr>
            <w:tcW w:w="7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Myelofibrosis, polycythemia vera and GVHD</w:t>
            </w:r>
          </w:p>
        </w:tc>
      </w:tr>
      <w:tr>
        <w:trPr>
          <w:trHeight w:val="234"/>
        </w:trPr>
        <w:tc>
          <w:tcPr>
            <w:tcW w:w="3900" w:type="dxa"/>
            <w:vAlign w:val="bottom"/>
          </w:tcPr>
          <w:p>
            <w:pPr>
              <w:ind w:left="20"/>
              <w:spacing w:after="0"/>
              <w:rPr>
                <w:sz w:val="20"/>
                <w:szCs w:val="20"/>
                <w:color w:val="auto"/>
              </w:rPr>
            </w:pPr>
            <w:r>
              <w:rPr>
                <w:rFonts w:ascii="Arial" w:cs="Arial" w:eastAsia="Arial" w:hAnsi="Arial"/>
                <w:sz w:val="18"/>
                <w:szCs w:val="18"/>
                <w:b w:val="1"/>
                <w:bCs w:val="1"/>
                <w:color w:val="auto"/>
                <w:w w:val="98"/>
              </w:rPr>
              <w:t>ruxolitinib + zilurgisertib (JAK1/JAK2 + ALK2)</w:t>
            </w:r>
          </w:p>
        </w:tc>
        <w:tc>
          <w:tcPr>
            <w:tcW w:w="7340" w:type="dxa"/>
            <w:vAlign w:val="bottom"/>
          </w:tcPr>
          <w:p>
            <w:pPr>
              <w:ind w:left="60"/>
              <w:spacing w:after="0"/>
              <w:rPr>
                <w:sz w:val="20"/>
                <w:szCs w:val="20"/>
                <w:color w:val="auto"/>
              </w:rPr>
            </w:pPr>
            <w:r>
              <w:rPr>
                <w:rFonts w:ascii="Arial" w:cs="Arial" w:eastAsia="Arial" w:hAnsi="Arial"/>
                <w:sz w:val="18"/>
                <w:szCs w:val="18"/>
                <w:color w:val="auto"/>
              </w:rPr>
              <w:t>Myelofibrosis: Phase II</w:t>
            </w:r>
          </w:p>
        </w:tc>
      </w:tr>
      <w:tr>
        <w:trPr>
          <w:trHeight w:val="25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ruxolitinib + INCB57643 (JAK1/JAK2 + BET)</w:t>
            </w:r>
          </w:p>
        </w:tc>
        <w:tc>
          <w:tcPr>
            <w:tcW w:w="7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Myelofibrosis: Phase II</w:t>
            </w:r>
          </w:p>
        </w:tc>
      </w:tr>
      <w:tr>
        <w:trPr>
          <w:trHeight w:val="265"/>
        </w:trPr>
        <w:tc>
          <w:tcPr>
            <w:tcW w:w="3900" w:type="dxa"/>
            <w:vAlign w:val="bottom"/>
          </w:tcPr>
          <w:p>
            <w:pPr>
              <w:ind w:left="20"/>
              <w:spacing w:after="0"/>
              <w:rPr>
                <w:sz w:val="20"/>
                <w:szCs w:val="20"/>
                <w:color w:val="auto"/>
              </w:rPr>
            </w:pPr>
            <w:r>
              <w:rPr>
                <w:rFonts w:ascii="Arial" w:cs="Arial" w:eastAsia="Arial" w:hAnsi="Arial"/>
                <w:sz w:val="18"/>
                <w:szCs w:val="18"/>
                <w:b w:val="1"/>
                <w:bCs w:val="1"/>
                <w:color w:val="auto"/>
                <w:w w:val="97"/>
              </w:rPr>
              <w:t>ruxolitinib + CK0804</w:t>
            </w:r>
            <w:r>
              <w:rPr>
                <w:rFonts w:ascii="Arial" w:cs="Arial" w:eastAsia="Arial" w:hAnsi="Arial"/>
                <w:sz w:val="22"/>
                <w:szCs w:val="22"/>
                <w:b w:val="1"/>
                <w:bCs w:val="1"/>
                <w:color w:val="auto"/>
                <w:w w:val="97"/>
                <w:vertAlign w:val="superscript"/>
              </w:rPr>
              <w:t>1</w:t>
            </w:r>
            <w:r>
              <w:rPr>
                <w:rFonts w:ascii="Arial" w:cs="Arial" w:eastAsia="Arial" w:hAnsi="Arial"/>
                <w:sz w:val="18"/>
                <w:szCs w:val="18"/>
                <w:b w:val="1"/>
                <w:bCs w:val="1"/>
                <w:color w:val="auto"/>
                <w:w w:val="97"/>
              </w:rPr>
              <w:t xml:space="preserve"> (JAK1/JAK2 + CB-Tregs)</w:t>
            </w:r>
          </w:p>
        </w:tc>
        <w:tc>
          <w:tcPr>
            <w:tcW w:w="7340" w:type="dxa"/>
            <w:vAlign w:val="bottom"/>
          </w:tcPr>
          <w:p>
            <w:pPr>
              <w:ind w:left="60"/>
              <w:spacing w:after="0"/>
              <w:rPr>
                <w:sz w:val="20"/>
                <w:szCs w:val="20"/>
                <w:color w:val="auto"/>
              </w:rPr>
            </w:pPr>
            <w:r>
              <w:rPr>
                <w:rFonts w:ascii="Arial" w:cs="Arial" w:eastAsia="Arial" w:hAnsi="Arial"/>
                <w:sz w:val="18"/>
                <w:szCs w:val="18"/>
                <w:color w:val="auto"/>
              </w:rPr>
              <w:t>Myelofibrosis: Phase I (LIMBER-TREG108)</w:t>
            </w:r>
          </w:p>
        </w:tc>
      </w:tr>
      <w:tr>
        <w:trPr>
          <w:trHeight w:val="265"/>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axatilimab (anti-CSF-1R)</w:t>
            </w:r>
            <w:r>
              <w:rPr>
                <w:rFonts w:ascii="Arial" w:cs="Arial" w:eastAsia="Arial" w:hAnsi="Arial"/>
                <w:sz w:val="22"/>
                <w:szCs w:val="22"/>
                <w:color w:val="auto"/>
                <w:vertAlign w:val="superscript"/>
              </w:rPr>
              <w:t>2</w:t>
            </w:r>
          </w:p>
        </w:tc>
        <w:tc>
          <w:tcPr>
            <w:tcW w:w="7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Chronic GVHD: Pivotal Phase II (third-line plus therapy) (AGAVE-201)</w:t>
            </w:r>
          </w:p>
        </w:tc>
      </w:tr>
      <w:tr>
        <w:trPr>
          <w:trHeight w:val="220"/>
        </w:trPr>
        <w:tc>
          <w:tcPr>
            <w:tcW w:w="3900" w:type="dxa"/>
            <w:vAlign w:val="bottom"/>
          </w:tcPr>
          <w:p>
            <w:pPr>
              <w:ind w:left="20"/>
              <w:spacing w:after="0" w:line="220" w:lineRule="exact"/>
              <w:rPr>
                <w:sz w:val="20"/>
                <w:szCs w:val="20"/>
                <w:color w:val="auto"/>
              </w:rPr>
            </w:pPr>
            <w:r>
              <w:rPr>
                <w:rFonts w:ascii="Arial" w:cs="Arial" w:eastAsia="Arial" w:hAnsi="Arial"/>
                <w:sz w:val="18"/>
                <w:szCs w:val="18"/>
                <w:b w:val="1"/>
                <w:bCs w:val="1"/>
                <w:color w:val="auto"/>
                <w:w w:val="93"/>
              </w:rPr>
              <w:t>ruxolitinib + axatilimab</w:t>
            </w:r>
            <w:r>
              <w:rPr>
                <w:rFonts w:ascii="Arial" w:cs="Arial" w:eastAsia="Arial" w:hAnsi="Arial"/>
                <w:sz w:val="22"/>
                <w:szCs w:val="22"/>
                <w:color w:val="auto"/>
                <w:w w:val="93"/>
                <w:vertAlign w:val="superscript"/>
              </w:rPr>
              <w:t>2</w:t>
            </w:r>
            <w:r>
              <w:rPr>
                <w:rFonts w:ascii="Arial" w:cs="Arial" w:eastAsia="Arial" w:hAnsi="Arial"/>
                <w:sz w:val="18"/>
                <w:szCs w:val="18"/>
                <w:b w:val="1"/>
                <w:bCs w:val="1"/>
                <w:color w:val="auto"/>
                <w:w w:val="93"/>
              </w:rPr>
              <w:t xml:space="preserve"> (JAK1/JAK2 + anti-CSF-</w:t>
            </w:r>
          </w:p>
        </w:tc>
        <w:tc>
          <w:tcPr>
            <w:tcW w:w="7340" w:type="dxa"/>
            <w:vAlign w:val="bottom"/>
          </w:tcPr>
          <w:p>
            <w:pPr>
              <w:ind w:left="60"/>
              <w:spacing w:after="0"/>
              <w:rPr>
                <w:sz w:val="20"/>
                <w:szCs w:val="20"/>
                <w:color w:val="auto"/>
              </w:rPr>
            </w:pPr>
            <w:r>
              <w:rPr>
                <w:rFonts w:ascii="Arial" w:cs="Arial" w:eastAsia="Arial" w:hAnsi="Arial"/>
                <w:sz w:val="18"/>
                <w:szCs w:val="18"/>
                <w:color w:val="auto"/>
              </w:rPr>
              <w:t>Chronic GVHD: Phase I/II in preparation</w:t>
            </w: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b w:val="1"/>
                <w:bCs w:val="1"/>
                <w:color w:val="auto"/>
              </w:rPr>
              <w:t>1R)</w:t>
            </w:r>
          </w:p>
        </w:tc>
        <w:tc>
          <w:tcPr>
            <w:tcW w:w="7340" w:type="dxa"/>
            <w:vAlign w:val="bottom"/>
          </w:tcPr>
          <w:p>
            <w:pPr>
              <w:spacing w:after="0"/>
              <w:rPr>
                <w:sz w:val="19"/>
                <w:szCs w:val="19"/>
                <w:color w:val="auto"/>
              </w:rPr>
            </w:pPr>
          </w:p>
        </w:tc>
      </w:tr>
      <w:tr>
        <w:trPr>
          <w:trHeight w:val="28"/>
        </w:trPr>
        <w:tc>
          <w:tcPr>
            <w:tcW w:w="3900" w:type="dxa"/>
            <w:vAlign w:val="bottom"/>
          </w:tcPr>
          <w:p>
            <w:pPr>
              <w:spacing w:after="0"/>
              <w:rPr>
                <w:sz w:val="2"/>
                <w:szCs w:val="2"/>
                <w:color w:val="auto"/>
              </w:rPr>
            </w:pPr>
          </w:p>
        </w:tc>
        <w:tc>
          <w:tcPr>
            <w:tcW w:w="7340" w:type="dxa"/>
            <w:vAlign w:val="bottom"/>
          </w:tcPr>
          <w:p>
            <w:pPr>
              <w:spacing w:after="0"/>
              <w:rPr>
                <w:sz w:val="2"/>
                <w:szCs w:val="2"/>
                <w:color w:val="auto"/>
              </w:rPr>
            </w:pPr>
          </w:p>
        </w:tc>
      </w:tr>
      <w:tr>
        <w:trPr>
          <w:trHeight w:val="245"/>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INCA033989 (mCALR)</w:t>
            </w:r>
          </w:p>
        </w:tc>
        <w:tc>
          <w:tcPr>
            <w:tcW w:w="7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Myelofibrosis, essential thrombocythemia: Phase I</w:t>
            </w:r>
          </w:p>
        </w:tc>
      </w:tr>
      <w:tr>
        <w:trPr>
          <w:trHeight w:val="226"/>
        </w:trPr>
        <w:tc>
          <w:tcPr>
            <w:tcW w:w="3900" w:type="dxa"/>
            <w:vAlign w:val="bottom"/>
          </w:tcPr>
          <w:p>
            <w:pPr>
              <w:ind w:left="20"/>
              <w:spacing w:after="0" w:line="226" w:lineRule="exact"/>
              <w:rPr>
                <w:sz w:val="20"/>
                <w:szCs w:val="20"/>
                <w:color w:val="auto"/>
              </w:rPr>
            </w:pPr>
            <w:r>
              <w:rPr>
                <w:rFonts w:ascii="Arial" w:cs="Arial" w:eastAsia="Arial" w:hAnsi="Arial"/>
                <w:sz w:val="18"/>
                <w:szCs w:val="18"/>
                <w:b w:val="1"/>
                <w:bCs w:val="1"/>
                <w:color w:val="auto"/>
              </w:rPr>
              <w:t>tafasitamab (CD19)</w:t>
            </w:r>
            <w:r>
              <w:rPr>
                <w:rFonts w:ascii="Arial" w:cs="Arial" w:eastAsia="Arial" w:hAnsi="Arial"/>
                <w:sz w:val="22"/>
                <w:szCs w:val="22"/>
                <w:b w:val="1"/>
                <w:bCs w:val="1"/>
                <w:color w:val="auto"/>
                <w:vertAlign w:val="superscript"/>
              </w:rPr>
              <w:t>3</w:t>
            </w:r>
          </w:p>
        </w:tc>
        <w:tc>
          <w:tcPr>
            <w:tcW w:w="7340" w:type="dxa"/>
            <w:vAlign w:val="bottom"/>
          </w:tcPr>
          <w:p>
            <w:pPr>
              <w:ind w:left="60"/>
              <w:spacing w:after="0"/>
              <w:rPr>
                <w:sz w:val="20"/>
                <w:szCs w:val="20"/>
                <w:color w:val="auto"/>
              </w:rPr>
            </w:pPr>
            <w:r>
              <w:rPr>
                <w:rFonts w:ascii="Arial" w:cs="Arial" w:eastAsia="Arial" w:hAnsi="Arial"/>
                <w:sz w:val="18"/>
                <w:szCs w:val="18"/>
                <w:color w:val="auto"/>
              </w:rPr>
              <w:t>r/r DLBCL: Phase III (B-MIND)</w:t>
            </w:r>
          </w:p>
        </w:tc>
      </w:tr>
      <w:tr>
        <w:trPr>
          <w:trHeight w:val="212"/>
        </w:trPr>
        <w:tc>
          <w:tcPr>
            <w:tcW w:w="3900" w:type="dxa"/>
            <w:vAlign w:val="bottom"/>
          </w:tcPr>
          <w:p>
            <w:pPr>
              <w:spacing w:after="0"/>
              <w:rPr>
                <w:sz w:val="18"/>
                <w:szCs w:val="18"/>
                <w:color w:val="auto"/>
              </w:rPr>
            </w:pPr>
          </w:p>
        </w:tc>
        <w:tc>
          <w:tcPr>
            <w:tcW w:w="7340" w:type="dxa"/>
            <w:vAlign w:val="bottom"/>
          </w:tcPr>
          <w:p>
            <w:pPr>
              <w:ind w:left="60"/>
              <w:spacing w:after="0"/>
              <w:rPr>
                <w:sz w:val="20"/>
                <w:szCs w:val="20"/>
                <w:color w:val="auto"/>
              </w:rPr>
            </w:pPr>
            <w:r>
              <w:rPr>
                <w:rFonts w:ascii="Arial" w:cs="Arial" w:eastAsia="Arial" w:hAnsi="Arial"/>
                <w:sz w:val="18"/>
                <w:szCs w:val="18"/>
                <w:color w:val="auto"/>
              </w:rPr>
              <w:t>1L DLBCL: Phase III (frontMIND)</w:t>
            </w:r>
          </w:p>
        </w:tc>
      </w:tr>
      <w:tr>
        <w:trPr>
          <w:trHeight w:val="223"/>
        </w:trPr>
        <w:tc>
          <w:tcPr>
            <w:tcW w:w="3900" w:type="dxa"/>
            <w:vAlign w:val="bottom"/>
          </w:tcPr>
          <w:p>
            <w:pPr>
              <w:spacing w:after="0"/>
              <w:rPr>
                <w:sz w:val="19"/>
                <w:szCs w:val="19"/>
                <w:color w:val="auto"/>
              </w:rPr>
            </w:pPr>
          </w:p>
        </w:tc>
        <w:tc>
          <w:tcPr>
            <w:tcW w:w="7340" w:type="dxa"/>
            <w:vAlign w:val="bottom"/>
          </w:tcPr>
          <w:p>
            <w:pPr>
              <w:ind w:left="60"/>
              <w:spacing w:after="0"/>
              <w:rPr>
                <w:sz w:val="20"/>
                <w:szCs w:val="20"/>
                <w:color w:val="auto"/>
              </w:rPr>
            </w:pPr>
            <w:r>
              <w:rPr>
                <w:rFonts w:ascii="Arial" w:cs="Arial" w:eastAsia="Arial" w:hAnsi="Arial"/>
                <w:sz w:val="18"/>
                <w:szCs w:val="18"/>
                <w:color w:val="auto"/>
              </w:rPr>
              <w:t>r/r follicular &amp; marginal zone lymphomas: Phase III (inMIND)</w:t>
            </w:r>
          </w:p>
        </w:tc>
      </w:tr>
      <w:tr>
        <w:trPr>
          <w:trHeight w:val="28"/>
        </w:trPr>
        <w:tc>
          <w:tcPr>
            <w:tcW w:w="3900" w:type="dxa"/>
            <w:vAlign w:val="bottom"/>
          </w:tcPr>
          <w:p>
            <w:pPr>
              <w:spacing w:after="0"/>
              <w:rPr>
                <w:sz w:val="2"/>
                <w:szCs w:val="2"/>
                <w:color w:val="auto"/>
              </w:rPr>
            </w:pPr>
          </w:p>
        </w:tc>
        <w:tc>
          <w:tcPr>
            <w:tcW w:w="7340" w:type="dxa"/>
            <w:vAlign w:val="bottom"/>
          </w:tcPr>
          <w:p>
            <w:pPr>
              <w:spacing w:after="0"/>
              <w:rPr>
                <w:sz w:val="2"/>
                <w:szCs w:val="2"/>
                <w:color w:val="auto"/>
              </w:rPr>
            </w:pPr>
          </w:p>
        </w:tc>
      </w:tr>
      <w:tr>
        <w:trPr>
          <w:trHeight w:val="226"/>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pemigatinib (FGFR1/2/3)</w:t>
            </w:r>
          </w:p>
        </w:tc>
        <w:tc>
          <w:tcPr>
            <w:tcW w:w="7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Myeloid/lymphoid neoplasms (MLN): approved in the U.S. and Japan</w:t>
            </w:r>
          </w:p>
        </w:tc>
      </w:tr>
      <w:tr>
        <w:trPr>
          <w:trHeight w:val="212"/>
        </w:trPr>
        <w:tc>
          <w:tcPr>
            <w:tcW w:w="3900" w:type="dxa"/>
            <w:vAlign w:val="bottom"/>
            <w:shd w:val="clear" w:color="auto" w:fill="CCEEFF"/>
          </w:tcPr>
          <w:p>
            <w:pPr>
              <w:spacing w:after="0"/>
              <w:rPr>
                <w:sz w:val="18"/>
                <w:szCs w:val="18"/>
                <w:color w:val="auto"/>
              </w:rPr>
            </w:pPr>
          </w:p>
        </w:tc>
        <w:tc>
          <w:tcPr>
            <w:tcW w:w="7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CCA: Phase III (FIGHT-302)</w:t>
            </w:r>
          </w:p>
        </w:tc>
      </w:tr>
      <w:tr>
        <w:trPr>
          <w:trHeight w:val="231"/>
        </w:trPr>
        <w:tc>
          <w:tcPr>
            <w:tcW w:w="3900" w:type="dxa"/>
            <w:vAlign w:val="bottom"/>
            <w:tcBorders>
              <w:bottom w:val="single" w:sz="8" w:color="CCEEFF"/>
            </w:tcBorders>
            <w:shd w:val="clear" w:color="auto" w:fill="CCEEFF"/>
          </w:tcPr>
          <w:p>
            <w:pPr>
              <w:spacing w:after="0"/>
              <w:rPr>
                <w:sz w:val="20"/>
                <w:szCs w:val="20"/>
                <w:color w:val="auto"/>
              </w:rPr>
            </w:pPr>
          </w:p>
        </w:tc>
        <w:tc>
          <w:tcPr>
            <w:tcW w:w="7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Glioblastoma: Phase II (FIGHT-209)</w:t>
            </w:r>
          </w:p>
        </w:tc>
      </w:tr>
      <w:tr>
        <w:trPr>
          <w:trHeight w:val="226"/>
        </w:trPr>
        <w:tc>
          <w:tcPr>
            <w:tcW w:w="3900" w:type="dxa"/>
            <w:vAlign w:val="bottom"/>
          </w:tcPr>
          <w:p>
            <w:pPr>
              <w:ind w:left="20"/>
              <w:spacing w:after="0" w:line="226" w:lineRule="exact"/>
              <w:rPr>
                <w:sz w:val="20"/>
                <w:szCs w:val="20"/>
                <w:color w:val="auto"/>
              </w:rPr>
            </w:pPr>
            <w:r>
              <w:rPr>
                <w:rFonts w:ascii="Arial" w:cs="Arial" w:eastAsia="Arial" w:hAnsi="Arial"/>
                <w:sz w:val="18"/>
                <w:szCs w:val="18"/>
                <w:b w:val="1"/>
                <w:bCs w:val="1"/>
                <w:color w:val="auto"/>
              </w:rPr>
              <w:t>retifanlimab (PD-1)</w:t>
            </w:r>
            <w:r>
              <w:rPr>
                <w:rFonts w:ascii="Arial" w:cs="Arial" w:eastAsia="Arial" w:hAnsi="Arial"/>
                <w:sz w:val="22"/>
                <w:szCs w:val="22"/>
                <w:b w:val="1"/>
                <w:bCs w:val="1"/>
                <w:color w:val="auto"/>
                <w:vertAlign w:val="superscript"/>
              </w:rPr>
              <w:t>4</w:t>
            </w:r>
          </w:p>
        </w:tc>
        <w:tc>
          <w:tcPr>
            <w:tcW w:w="7340" w:type="dxa"/>
            <w:vAlign w:val="bottom"/>
          </w:tcPr>
          <w:p>
            <w:pPr>
              <w:ind w:left="60"/>
              <w:spacing w:after="0"/>
              <w:rPr>
                <w:sz w:val="20"/>
                <w:szCs w:val="20"/>
                <w:color w:val="auto"/>
              </w:rPr>
            </w:pPr>
            <w:r>
              <w:rPr>
                <w:rFonts w:ascii="Arial" w:cs="Arial" w:eastAsia="Arial" w:hAnsi="Arial"/>
                <w:sz w:val="18"/>
                <w:szCs w:val="18"/>
                <w:color w:val="auto"/>
              </w:rPr>
              <w:t>Merkel cell carcinoma: approved in the U.S.</w:t>
            </w:r>
          </w:p>
        </w:tc>
      </w:tr>
      <w:tr>
        <w:trPr>
          <w:trHeight w:val="212"/>
        </w:trPr>
        <w:tc>
          <w:tcPr>
            <w:tcW w:w="3900" w:type="dxa"/>
            <w:vAlign w:val="bottom"/>
          </w:tcPr>
          <w:p>
            <w:pPr>
              <w:spacing w:after="0"/>
              <w:rPr>
                <w:sz w:val="18"/>
                <w:szCs w:val="18"/>
                <w:color w:val="auto"/>
              </w:rPr>
            </w:pPr>
          </w:p>
        </w:tc>
        <w:tc>
          <w:tcPr>
            <w:tcW w:w="7340" w:type="dxa"/>
            <w:vAlign w:val="bottom"/>
          </w:tcPr>
          <w:p>
            <w:pPr>
              <w:ind w:left="60"/>
              <w:spacing w:after="0"/>
              <w:rPr>
                <w:sz w:val="20"/>
                <w:szCs w:val="20"/>
                <w:color w:val="auto"/>
              </w:rPr>
            </w:pPr>
            <w:r>
              <w:rPr>
                <w:rFonts w:ascii="Arial" w:cs="Arial" w:eastAsia="Arial" w:hAnsi="Arial"/>
                <w:sz w:val="18"/>
                <w:szCs w:val="18"/>
                <w:color w:val="auto"/>
              </w:rPr>
              <w:t>SCAC: Phase III (PODIUM-303)</w:t>
            </w:r>
          </w:p>
        </w:tc>
      </w:tr>
      <w:tr>
        <w:trPr>
          <w:trHeight w:val="212"/>
        </w:trPr>
        <w:tc>
          <w:tcPr>
            <w:tcW w:w="3900" w:type="dxa"/>
            <w:vAlign w:val="bottom"/>
          </w:tcPr>
          <w:p>
            <w:pPr>
              <w:spacing w:after="0"/>
              <w:rPr>
                <w:sz w:val="18"/>
                <w:szCs w:val="18"/>
                <w:color w:val="auto"/>
              </w:rPr>
            </w:pPr>
          </w:p>
        </w:tc>
        <w:tc>
          <w:tcPr>
            <w:tcW w:w="7340" w:type="dxa"/>
            <w:vAlign w:val="bottom"/>
          </w:tcPr>
          <w:p>
            <w:pPr>
              <w:ind w:left="60"/>
              <w:spacing w:after="0"/>
              <w:rPr>
                <w:sz w:val="20"/>
                <w:szCs w:val="20"/>
                <w:color w:val="auto"/>
              </w:rPr>
            </w:pPr>
            <w:r>
              <w:rPr>
                <w:rFonts w:ascii="Arial" w:cs="Arial" w:eastAsia="Arial" w:hAnsi="Arial"/>
                <w:sz w:val="18"/>
                <w:szCs w:val="18"/>
                <w:color w:val="auto"/>
              </w:rPr>
              <w:t>NSCLC: Phase III (POD1UM-304)</w:t>
            </w:r>
          </w:p>
        </w:tc>
      </w:tr>
      <w:tr>
        <w:trPr>
          <w:trHeight w:val="223"/>
        </w:trPr>
        <w:tc>
          <w:tcPr>
            <w:tcW w:w="3900" w:type="dxa"/>
            <w:vAlign w:val="bottom"/>
          </w:tcPr>
          <w:p>
            <w:pPr>
              <w:spacing w:after="0"/>
              <w:rPr>
                <w:sz w:val="19"/>
                <w:szCs w:val="19"/>
                <w:color w:val="auto"/>
              </w:rPr>
            </w:pPr>
          </w:p>
        </w:tc>
        <w:tc>
          <w:tcPr>
            <w:tcW w:w="7340" w:type="dxa"/>
            <w:vAlign w:val="bottom"/>
          </w:tcPr>
          <w:p>
            <w:pPr>
              <w:ind w:left="60"/>
              <w:spacing w:after="0"/>
              <w:rPr>
                <w:sz w:val="20"/>
                <w:szCs w:val="20"/>
                <w:color w:val="auto"/>
              </w:rPr>
            </w:pPr>
            <w:r>
              <w:rPr>
                <w:rFonts w:ascii="Arial" w:cs="Arial" w:eastAsia="Arial" w:hAnsi="Arial"/>
                <w:sz w:val="18"/>
                <w:szCs w:val="18"/>
                <w:color w:val="auto"/>
              </w:rPr>
              <w:t>MSI-high endometrial cancer: Phase II (POD1UM-101, POD1UM-204)</w:t>
            </w:r>
          </w:p>
        </w:tc>
      </w:tr>
      <w:tr>
        <w:trPr>
          <w:trHeight w:val="28"/>
        </w:trPr>
        <w:tc>
          <w:tcPr>
            <w:tcW w:w="3900" w:type="dxa"/>
            <w:vAlign w:val="bottom"/>
          </w:tcPr>
          <w:p>
            <w:pPr>
              <w:spacing w:after="0"/>
              <w:rPr>
                <w:sz w:val="2"/>
                <w:szCs w:val="2"/>
                <w:color w:val="auto"/>
              </w:rPr>
            </w:pPr>
          </w:p>
        </w:tc>
        <w:tc>
          <w:tcPr>
            <w:tcW w:w="7340" w:type="dxa"/>
            <w:vAlign w:val="bottom"/>
          </w:tcPr>
          <w:p>
            <w:pPr>
              <w:spacing w:after="0"/>
              <w:rPr>
                <w:sz w:val="2"/>
                <w:szCs w:val="2"/>
                <w:color w:val="auto"/>
              </w:rPr>
            </w:pPr>
          </w:p>
        </w:tc>
      </w:tr>
      <w:tr>
        <w:trPr>
          <w:trHeight w:val="173"/>
        </w:trPr>
        <w:tc>
          <w:tcPr>
            <w:tcW w:w="390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b w:val="1"/>
                <w:bCs w:val="1"/>
                <w:color w:val="auto"/>
              </w:rPr>
              <w:t>INCB99280 (Oral PD-L1)</w:t>
            </w:r>
          </w:p>
        </w:tc>
        <w:tc>
          <w:tcPr>
            <w:tcW w:w="7340" w:type="dxa"/>
            <w:vAlign w:val="bottom"/>
            <w:shd w:val="clear" w:color="auto" w:fill="CCEEFF"/>
          </w:tcPr>
          <w:p>
            <w:pPr>
              <w:ind w:left="60"/>
              <w:spacing w:after="0" w:line="173" w:lineRule="exact"/>
              <w:rPr>
                <w:sz w:val="20"/>
                <w:szCs w:val="20"/>
                <w:color w:val="auto"/>
              </w:rPr>
            </w:pPr>
            <w:r>
              <w:rPr>
                <w:rFonts w:ascii="Arial" w:cs="Arial" w:eastAsia="Arial" w:hAnsi="Arial"/>
                <w:sz w:val="18"/>
                <w:szCs w:val="18"/>
                <w:color w:val="auto"/>
              </w:rPr>
              <w:t>Solid tumors (combination): Phase I</w:t>
            </w:r>
          </w:p>
        </w:tc>
      </w:tr>
      <w:tr>
        <w:trPr>
          <w:trHeight w:val="172"/>
        </w:trPr>
        <w:tc>
          <w:tcPr>
            <w:tcW w:w="3900" w:type="dxa"/>
            <w:vAlign w:val="bottom"/>
            <w:shd w:val="clear" w:color="auto" w:fill="CCEEFF"/>
          </w:tcPr>
          <w:p>
            <w:pPr>
              <w:spacing w:after="0"/>
              <w:rPr>
                <w:sz w:val="14"/>
                <w:szCs w:val="14"/>
                <w:color w:val="auto"/>
              </w:rPr>
            </w:pPr>
          </w:p>
        </w:tc>
        <w:tc>
          <w:tcPr>
            <w:tcW w:w="7340" w:type="dxa"/>
            <w:vAlign w:val="bottom"/>
            <w:shd w:val="clear" w:color="auto" w:fill="CCEEFF"/>
          </w:tcPr>
          <w:p>
            <w:pPr>
              <w:ind w:left="60"/>
              <w:spacing w:after="0" w:line="172" w:lineRule="exact"/>
              <w:rPr>
                <w:sz w:val="20"/>
                <w:szCs w:val="20"/>
                <w:color w:val="auto"/>
              </w:rPr>
            </w:pPr>
            <w:r>
              <w:rPr>
                <w:rFonts w:ascii="Arial" w:cs="Arial" w:eastAsia="Arial" w:hAnsi="Arial"/>
                <w:sz w:val="18"/>
                <w:szCs w:val="18"/>
                <w:color w:val="auto"/>
              </w:rPr>
              <w:t>Solid tumors (monotherapy): Phase II</w:t>
            </w:r>
          </w:p>
        </w:tc>
      </w:tr>
      <w:tr>
        <w:trPr>
          <w:trHeight w:val="238"/>
        </w:trPr>
        <w:tc>
          <w:tcPr>
            <w:tcW w:w="3900" w:type="dxa"/>
            <w:vAlign w:val="bottom"/>
            <w:shd w:val="clear" w:color="auto" w:fill="CCEEFF"/>
          </w:tcPr>
          <w:p>
            <w:pPr>
              <w:spacing w:after="0"/>
              <w:rPr>
                <w:sz w:val="20"/>
                <w:szCs w:val="20"/>
                <w:color w:val="auto"/>
              </w:rPr>
            </w:pPr>
          </w:p>
        </w:tc>
        <w:tc>
          <w:tcPr>
            <w:tcW w:w="7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Cutaneous squamous cell carcinoma (cSCC): Phase II</w:t>
            </w:r>
          </w:p>
        </w:tc>
      </w:tr>
      <w:tr>
        <w:trPr>
          <w:trHeight w:val="225"/>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INCB99318 (Oral PD-L1)</w:t>
            </w:r>
          </w:p>
        </w:tc>
        <w:tc>
          <w:tcPr>
            <w:tcW w:w="73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Solid tumors: Phase I</w:t>
            </w:r>
          </w:p>
        </w:tc>
      </w:tr>
    </w:tbl>
    <w:p>
      <w:pPr>
        <w:spacing w:after="0" w:line="26" w:lineRule="exact"/>
        <w:rPr>
          <w:sz w:val="20"/>
          <w:szCs w:val="20"/>
          <w:color w:val="auto"/>
        </w:rPr>
      </w:pPr>
    </w:p>
    <w:p>
      <w:pPr>
        <w:ind w:left="160" w:hanging="154"/>
        <w:spacing w:after="0"/>
        <w:tabs>
          <w:tab w:leader="none" w:pos="16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Development collaboration with Cellenkos, Inc.</w:t>
      </w:r>
    </w:p>
    <w:p>
      <w:pPr>
        <w:spacing w:after="0" w:line="2" w:lineRule="exact"/>
        <w:rPr>
          <w:rFonts w:ascii="Arial" w:cs="Arial" w:eastAsia="Arial" w:hAnsi="Arial"/>
          <w:sz w:val="23"/>
          <w:szCs w:val="23"/>
          <w:color w:val="auto"/>
          <w:vertAlign w:val="superscript"/>
        </w:rPr>
      </w:pPr>
    </w:p>
    <w:p>
      <w:pPr>
        <w:ind w:left="160" w:hanging="154"/>
        <w:spacing w:after="0" w:line="189" w:lineRule="auto"/>
        <w:tabs>
          <w:tab w:leader="none" w:pos="16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axatilimab development in collaboration with Syndax.</w:t>
      </w:r>
    </w:p>
    <w:p>
      <w:pPr>
        <w:spacing w:after="0" w:line="3" w:lineRule="exact"/>
        <w:rPr>
          <w:rFonts w:ascii="Arial" w:cs="Arial" w:eastAsia="Arial" w:hAnsi="Arial"/>
          <w:sz w:val="23"/>
          <w:szCs w:val="23"/>
          <w:color w:val="auto"/>
          <w:vertAlign w:val="superscript"/>
        </w:rPr>
      </w:pPr>
    </w:p>
    <w:p>
      <w:pPr>
        <w:ind w:left="160" w:hanging="154"/>
        <w:spacing w:after="0" w:line="189" w:lineRule="auto"/>
        <w:tabs>
          <w:tab w:leader="none" w:pos="16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tafasitamab development in collaboration with MorphoSys.</w:t>
      </w:r>
    </w:p>
    <w:p>
      <w:pPr>
        <w:spacing w:after="0" w:line="3" w:lineRule="exact"/>
        <w:rPr>
          <w:rFonts w:ascii="Arial" w:cs="Arial" w:eastAsia="Arial" w:hAnsi="Arial"/>
          <w:sz w:val="23"/>
          <w:szCs w:val="23"/>
          <w:color w:val="auto"/>
          <w:vertAlign w:val="superscript"/>
        </w:rPr>
      </w:pPr>
    </w:p>
    <w:p>
      <w:pPr>
        <w:ind w:left="160" w:hanging="154"/>
        <w:spacing w:after="0" w:line="189" w:lineRule="auto"/>
        <w:tabs>
          <w:tab w:leader="none" w:pos="16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retifanlimab licensed from MacroGenics.</w:t>
      </w:r>
    </w:p>
    <w:p>
      <w:pPr>
        <w:spacing w:after="0" w:line="3" w:lineRule="exact"/>
        <w:rPr>
          <w:rFonts w:ascii="Arial" w:cs="Arial" w:eastAsia="Arial" w:hAnsi="Arial"/>
          <w:sz w:val="23"/>
          <w:szCs w:val="23"/>
          <w:color w:val="auto"/>
          <w:vertAlign w:val="superscript"/>
        </w:rPr>
      </w:pPr>
    </w:p>
    <w:p>
      <w:pPr>
        <w:ind w:left="160" w:hanging="154"/>
        <w:spacing w:after="0" w:line="189" w:lineRule="auto"/>
        <w:tabs>
          <w:tab w:leader="none" w:pos="16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Clinical trial collaboration and supply agreement with Mirati Therapeutics.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Earlier-Stage Development Programs in Hematology and Oncology</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INCB123667 (CDK2)</w:t>
      </w:r>
    </w:p>
    <w:p>
      <w:pPr>
        <w:spacing w:after="0" w:line="217"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In the cell cycle, the serine threonine kinase, CDK2, regulates the transition from the G1 phase (cell growth) to the S-phase (DNA replication). INCB123667 is a novel, potent and selective oral small molecule inhibitor of CDK2 which has been shown to suppress tumor growth as monotherapy and in combination with standard of care, in Cyclin E amplified tumor models, in vivo.</w:t>
      </w:r>
    </w:p>
    <w:p>
      <w:pPr>
        <w:spacing w:after="0" w:line="188" w:lineRule="exact"/>
        <w:rPr>
          <w:sz w:val="20"/>
          <w:szCs w:val="20"/>
          <w:color w:val="auto"/>
        </w:rPr>
      </w:pPr>
    </w:p>
    <w:p>
      <w:pPr>
        <w:jc w:val="both"/>
        <w:ind w:firstLine="636"/>
        <w:spacing w:after="0" w:line="330" w:lineRule="auto"/>
        <w:rPr>
          <w:sz w:val="20"/>
          <w:szCs w:val="20"/>
          <w:color w:val="auto"/>
        </w:rPr>
      </w:pPr>
      <w:r>
        <w:rPr>
          <w:rFonts w:ascii="Arial" w:cs="Arial" w:eastAsia="Arial" w:hAnsi="Arial"/>
          <w:sz w:val="15"/>
          <w:szCs w:val="15"/>
          <w:color w:val="auto"/>
        </w:rPr>
        <w:t>In April 2023, we presented data at the American Association for Cancer Research (AACR) Annual Meeting, demonstrating INCB123667 exhibited significant single-agent activity in vivo, in CCNE1high breast cancer xenograft and patient-derived xenograft models. INCB123667 is currently being evaluated in a Phase I clinical trial in patients with advanced malignancies including CCNE1high TNBC and HR+HER2- tumors post-CDK4/6 inhibitors.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INCA32459 (LAG-3xPD-1)</w:t>
      </w:r>
    </w:p>
    <w:p>
      <w:pPr>
        <w:spacing w:after="0" w:line="217"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In collaboration with Merus N.V. we have developed INCA32459, a novel LAG3xPD-1 bispecific antibody that is currently being evaluated in clinical studies.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INCA33890 (TGFβR2xPD-1)</w:t>
      </w:r>
    </w:p>
    <w:p>
      <w:pPr>
        <w:spacing w:after="0" w:line="217"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INCA33890 is a TGFβR2xPD-1 bispecific antibody which has been engineered to avoid the known toxicity of broad TGFβ pathway blockade. INCA33890 has a 10-fold higher binding affinity for PD-1 relative to TGFβR2, and blocks TGFβ signaling specifically in cells co-expressing PD-1. In April 2023, we presented preclinical data at AACR which showed INCA33890 inhibits tumor growth in PD-1-resistant mouse models. In July 2023, we initiated a Phase I study evaluating INCA33890 in patients with select advanced solid tumors.</w:t>
      </w:r>
    </w:p>
    <w:p>
      <w:pPr>
        <w:spacing w:after="0" w:line="191" w:lineRule="exact"/>
        <w:rPr>
          <w:sz w:val="20"/>
          <w:szCs w:val="20"/>
          <w:color w:val="auto"/>
        </w:rPr>
      </w:pPr>
    </w:p>
    <w:p>
      <w:pPr>
        <w:jc w:val="both"/>
        <w:ind w:firstLine="636"/>
        <w:spacing w:after="0" w:line="294" w:lineRule="auto"/>
        <w:rPr>
          <w:sz w:val="20"/>
          <w:szCs w:val="20"/>
          <w:color w:val="auto"/>
        </w:rPr>
      </w:pPr>
      <w:r>
        <w:rPr>
          <w:rFonts w:ascii="Arial" w:cs="Arial" w:eastAsia="Arial" w:hAnsi="Arial"/>
          <w:sz w:val="17"/>
          <w:szCs w:val="17"/>
          <w:color w:val="auto"/>
        </w:rPr>
        <w:t>Our earlier-stage clinical programs in hematology and oncology, are included in the table below. We intend to describe these programs more fully if we obtain clinical proof-of-concept and establish that a program warrants further development in a specific indication or group of 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124460</wp:posOffset>
            </wp:positionV>
            <wp:extent cx="706755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67550" cy="8255"/>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20" w:type="dxa"/>
            <w:vAlign w:val="bottom"/>
          </w:tcPr>
          <w:p>
            <w:pPr>
              <w:ind w:left="20"/>
              <w:spacing w:after="0"/>
              <w:rPr>
                <w:sz w:val="20"/>
                <w:szCs w:val="20"/>
                <w:color w:val="auto"/>
              </w:rPr>
            </w:pPr>
            <w:r>
              <w:rPr>
                <w:rFonts w:ascii="Arial" w:cs="Arial" w:eastAsia="Arial" w:hAnsi="Arial"/>
                <w:sz w:val="18"/>
                <w:szCs w:val="18"/>
                <w:b w:val="1"/>
                <w:bCs w:val="1"/>
                <w:color w:val="auto"/>
              </w:rPr>
              <w:t>Modality</w:t>
            </w:r>
          </w:p>
        </w:tc>
        <w:tc>
          <w:tcPr>
            <w:tcW w:w="7600" w:type="dxa"/>
            <w:vAlign w:val="bottom"/>
            <w:gridSpan w:val="2"/>
          </w:tcPr>
          <w:p>
            <w:pPr>
              <w:ind w:left="1900"/>
              <w:spacing w:after="0"/>
              <w:rPr>
                <w:sz w:val="20"/>
                <w:szCs w:val="20"/>
                <w:color w:val="auto"/>
              </w:rPr>
            </w:pPr>
            <w:r>
              <w:rPr>
                <w:rFonts w:ascii="Arial" w:cs="Arial" w:eastAsia="Arial" w:hAnsi="Arial"/>
                <w:sz w:val="18"/>
                <w:szCs w:val="18"/>
                <w:b w:val="1"/>
                <w:bCs w:val="1"/>
                <w:color w:val="auto"/>
              </w:rPr>
              <w:t>Candidates</w:t>
            </w:r>
          </w:p>
        </w:tc>
      </w:tr>
      <w:tr>
        <w:trPr>
          <w:trHeight w:val="28"/>
        </w:trPr>
        <w:tc>
          <w:tcPr>
            <w:tcW w:w="3620" w:type="dxa"/>
            <w:vAlign w:val="bottom"/>
          </w:tcPr>
          <w:p>
            <w:pPr>
              <w:spacing w:after="0"/>
              <w:rPr>
                <w:sz w:val="2"/>
                <w:szCs w:val="2"/>
                <w:color w:val="auto"/>
              </w:rPr>
            </w:pPr>
          </w:p>
        </w:tc>
        <w:tc>
          <w:tcPr>
            <w:tcW w:w="7600" w:type="dxa"/>
            <w:vAlign w:val="bottom"/>
            <w:gridSpan w:val="2"/>
          </w:tcPr>
          <w:p>
            <w:pPr>
              <w:spacing w:after="0"/>
              <w:rPr>
                <w:sz w:val="2"/>
                <w:szCs w:val="2"/>
                <w:color w:val="auto"/>
              </w:rPr>
            </w:pPr>
          </w:p>
        </w:tc>
      </w:tr>
      <w:tr>
        <w:trPr>
          <w:trHeight w:val="238"/>
        </w:trPr>
        <w:tc>
          <w:tcPr>
            <w:tcW w:w="36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Small molecules</w:t>
            </w:r>
          </w:p>
        </w:tc>
        <w:tc>
          <w:tcPr>
            <w:tcW w:w="7520" w:type="dxa"/>
            <w:vAlign w:val="bottom"/>
            <w:tcBorders>
              <w:top w:val="single" w:sz="8" w:color="auto"/>
              <w:bottom w:val="single" w:sz="8" w:color="CCEEFF"/>
            </w:tcBorders>
            <w:shd w:val="clear" w:color="auto" w:fill="CCEEFF"/>
          </w:tcPr>
          <w:p>
            <w:pPr>
              <w:ind w:left="1900"/>
              <w:spacing w:after="0"/>
              <w:rPr>
                <w:sz w:val="20"/>
                <w:szCs w:val="20"/>
                <w:color w:val="auto"/>
              </w:rPr>
            </w:pPr>
            <w:r>
              <w:rPr>
                <w:rFonts w:ascii="Arial" w:cs="Arial" w:eastAsia="Arial" w:hAnsi="Arial"/>
                <w:sz w:val="18"/>
                <w:szCs w:val="18"/>
                <w:color w:val="auto"/>
              </w:rPr>
              <w:t>INCB123667 (CDK2)</w:t>
            </w:r>
          </w:p>
        </w:tc>
        <w:tc>
          <w:tcPr>
            <w:tcW w:w="80" w:type="dxa"/>
            <w:vAlign w:val="bottom"/>
          </w:tcPr>
          <w:p>
            <w:pPr>
              <w:spacing w:after="0"/>
              <w:rPr>
                <w:sz w:val="20"/>
                <w:szCs w:val="20"/>
                <w:color w:val="auto"/>
              </w:rPr>
            </w:pPr>
          </w:p>
        </w:tc>
      </w:tr>
      <w:tr>
        <w:trPr>
          <w:trHeight w:val="265"/>
        </w:trPr>
        <w:tc>
          <w:tcPr>
            <w:tcW w:w="3620" w:type="dxa"/>
            <w:vAlign w:val="bottom"/>
          </w:tcPr>
          <w:p>
            <w:pPr>
              <w:ind w:left="20"/>
              <w:spacing w:after="0"/>
              <w:rPr>
                <w:sz w:val="20"/>
                <w:szCs w:val="20"/>
                <w:color w:val="auto"/>
              </w:rPr>
            </w:pPr>
            <w:r>
              <w:rPr>
                <w:rFonts w:ascii="Arial" w:cs="Arial" w:eastAsia="Arial" w:hAnsi="Arial"/>
                <w:sz w:val="18"/>
                <w:szCs w:val="18"/>
                <w:b w:val="1"/>
                <w:bCs w:val="1"/>
                <w:color w:val="auto"/>
              </w:rPr>
              <w:t>Monoclonal antibodies</w:t>
            </w:r>
          </w:p>
        </w:tc>
        <w:tc>
          <w:tcPr>
            <w:tcW w:w="7600" w:type="dxa"/>
            <w:vAlign w:val="bottom"/>
            <w:gridSpan w:val="2"/>
          </w:tcPr>
          <w:p>
            <w:pPr>
              <w:ind w:left="1900"/>
              <w:spacing w:after="0"/>
              <w:rPr>
                <w:sz w:val="20"/>
                <w:szCs w:val="20"/>
                <w:color w:val="auto"/>
              </w:rPr>
            </w:pPr>
            <w:r>
              <w:rPr>
                <w:rFonts w:ascii="Arial" w:cs="Arial" w:eastAsia="Arial" w:hAnsi="Arial"/>
                <w:sz w:val="18"/>
                <w:szCs w:val="18"/>
                <w:color w:val="auto"/>
              </w:rPr>
              <w:t>INCAGN2385 (LAG-3)</w:t>
            </w:r>
            <w:r>
              <w:rPr>
                <w:rFonts w:ascii="Arial" w:cs="Arial" w:eastAsia="Arial" w:hAnsi="Arial"/>
                <w:sz w:val="22"/>
                <w:szCs w:val="22"/>
                <w:color w:val="auto"/>
                <w:vertAlign w:val="superscript"/>
              </w:rPr>
              <w:t>1</w:t>
            </w:r>
            <w:r>
              <w:rPr>
                <w:rFonts w:ascii="Arial" w:cs="Arial" w:eastAsia="Arial" w:hAnsi="Arial"/>
                <w:sz w:val="18"/>
                <w:szCs w:val="18"/>
                <w:color w:val="auto"/>
              </w:rPr>
              <w:t>, INCAGN2390 (TIM-3)</w:t>
            </w:r>
            <w:r>
              <w:rPr>
                <w:rFonts w:ascii="Arial" w:cs="Arial" w:eastAsia="Arial" w:hAnsi="Arial"/>
                <w:sz w:val="22"/>
                <w:szCs w:val="22"/>
                <w:color w:val="auto"/>
                <w:vertAlign w:val="superscript"/>
              </w:rPr>
              <w:t>1</w:t>
            </w:r>
          </w:p>
        </w:tc>
      </w:tr>
      <w:tr>
        <w:trPr>
          <w:trHeight w:val="278"/>
        </w:trPr>
        <w:tc>
          <w:tcPr>
            <w:tcW w:w="3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Bispecific antibodies</w:t>
            </w:r>
          </w:p>
        </w:tc>
        <w:tc>
          <w:tcPr>
            <w:tcW w:w="7520" w:type="dxa"/>
            <w:vAlign w:val="bottom"/>
            <w:tcBorders>
              <w:bottom w:val="single" w:sz="8" w:color="auto"/>
            </w:tcBorders>
            <w:shd w:val="clear" w:color="auto" w:fill="CCEEFF"/>
          </w:tcPr>
          <w:p>
            <w:pPr>
              <w:ind w:left="1900"/>
              <w:spacing w:after="0"/>
              <w:rPr>
                <w:sz w:val="20"/>
                <w:szCs w:val="20"/>
                <w:color w:val="auto"/>
              </w:rPr>
            </w:pPr>
            <w:r>
              <w:rPr>
                <w:rFonts w:ascii="Arial" w:cs="Arial" w:eastAsia="Arial" w:hAnsi="Arial"/>
                <w:sz w:val="18"/>
                <w:szCs w:val="18"/>
                <w:color w:val="auto"/>
              </w:rPr>
              <w:t>INCA32459 (LAG-3xPD-1)</w:t>
            </w:r>
            <w:r>
              <w:rPr>
                <w:rFonts w:ascii="Arial" w:cs="Arial" w:eastAsia="Arial" w:hAnsi="Arial"/>
                <w:sz w:val="22"/>
                <w:szCs w:val="22"/>
                <w:color w:val="auto"/>
                <w:vertAlign w:val="superscript"/>
              </w:rPr>
              <w:t>2</w:t>
            </w:r>
            <w:r>
              <w:rPr>
                <w:rFonts w:ascii="Arial" w:cs="Arial" w:eastAsia="Arial" w:hAnsi="Arial"/>
                <w:sz w:val="18"/>
                <w:szCs w:val="18"/>
                <w:color w:val="auto"/>
              </w:rPr>
              <w:t>, INCA33890 (TGFβR2xPD-1)</w:t>
            </w:r>
            <w:r>
              <w:rPr>
                <w:rFonts w:ascii="Arial" w:cs="Arial" w:eastAsia="Arial" w:hAnsi="Arial"/>
                <w:sz w:val="22"/>
                <w:szCs w:val="22"/>
                <w:color w:val="auto"/>
                <w:vertAlign w:val="superscript"/>
              </w:rPr>
              <w:t>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1.</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Discovery collaboration with Agenus Inc.</w:t>
      </w:r>
    </w:p>
    <w:p>
      <w:pPr>
        <w:ind w:left="140" w:hanging="134"/>
        <w:spacing w:after="0" w:line="207" w:lineRule="auto"/>
        <w:tabs>
          <w:tab w:leader="none" w:pos="14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Development collaboration with Merus.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Inflammation and AutoImmunity (IAI)</w:t>
      </w:r>
    </w:p>
    <w:p>
      <w:pPr>
        <w:spacing w:after="0" w:line="223"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Incyte Dermatology launched its first approved product, OPZELURA (ruxolitinib) cream, in October 2021, following FDA approval for atopic dermatitis in September 2021. OPZELURA was subsequently approved by the FDA and European Commission for vitiligo in July 2022 and April 2023, respectively.</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Incyte’s IAI efforts also include numerous clinical development programs.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OPZELURA (ruxolitinib) cream</w:t>
      </w:r>
    </w:p>
    <w:p>
      <w:pPr>
        <w:spacing w:after="0" w:line="217"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i w:val="1"/>
          <w:iCs w:val="1"/>
          <w:color w:val="auto"/>
        </w:rPr>
        <w:t>Atopic Dermatitis</w:t>
      </w:r>
      <w:r>
        <w:rPr>
          <w:rFonts w:ascii="Arial" w:cs="Arial" w:eastAsia="Arial" w:hAnsi="Arial"/>
          <w:sz w:val="18"/>
          <w:szCs w:val="18"/>
          <w:color w:val="auto"/>
        </w:rPr>
        <w:t>. In September 2021, we announced that the FDA approved OPZELURA (ruxolitinib) cream, a novel cream formulation of Incyte’s</w:t>
      </w:r>
      <w:r>
        <w:rPr>
          <w:rFonts w:ascii="Arial" w:cs="Arial" w:eastAsia="Arial" w:hAnsi="Arial"/>
          <w:sz w:val="18"/>
          <w:szCs w:val="18"/>
          <w:i w:val="1"/>
          <w:iCs w:val="1"/>
          <w:color w:val="auto"/>
        </w:rPr>
        <w:t xml:space="preserve"> </w:t>
      </w:r>
      <w:r>
        <w:rPr>
          <w:rFonts w:ascii="Arial" w:cs="Arial" w:eastAsia="Arial" w:hAnsi="Arial"/>
          <w:sz w:val="18"/>
          <w:szCs w:val="18"/>
          <w:color w:val="auto"/>
        </w:rPr>
        <w:t>selective JAK1/JAK2 inhibitor ruxolitinib, for the topical short-term and non-continuous chronic treatment of mild to moderate atopic dermatitis (AD) in non-immunocompromised patients 12 years of age and older whose disease is not adequately controlled with topical prescription therapies, or when those therapies are not advisable.</w:t>
      </w:r>
    </w:p>
    <w:p>
      <w:pPr>
        <w:spacing w:after="0" w:line="191"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AD is a skin disorder that causes long term inflammation of the skin resulting in itchy, red, swollen and cracked skin. Onset can occur at any age, but is more common in infants and children. In the United States, we estimate that there are approximately 10 million diagnosed adolescent and adult patients with AD.</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approval of OPZELURA was based on data from two randomized, double-blind, vehicle-controlled Phase III studies (TRuE-AD1 and TRuE-AD</w:t>
      </w:r>
    </w:p>
    <w:p>
      <w:pPr>
        <w:spacing w:after="0" w:line="51" w:lineRule="exact"/>
        <w:rPr>
          <w:sz w:val="20"/>
          <w:szCs w:val="20"/>
          <w:color w:val="auto"/>
        </w:rPr>
      </w:pPr>
    </w:p>
    <w:p>
      <w:pPr>
        <w:jc w:val="both"/>
        <w:ind w:firstLine="6"/>
        <w:spacing w:after="0" w:line="246" w:lineRule="auto"/>
        <w:tabs>
          <w:tab w:leader="none" w:pos="236"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evaluating the safety and efficacy of OPZELURA in adolescents and adults with mild to moderate AD. Significantly more patients treated with OPZELURA achieved Investigator’s Global Assessment (IGA) Treatment Success at Week 8 (defined as an IGA score of 0 or 1 with at least a 2-point improvement from baseline, the primary endpoint: 53.8% in TRuE-AD1 and 51.3% in TRuE-AD2, compared to vehicle (15.1% in TRuE-AD1, 7.6% in TRuE-AD2; P&lt;0.0001)). Significantly more patients treated with OPZELURA experienced a clinically meaningful reduction in itch from baseline at Week 8, as measured by a ≥4-point reduction in the itch Numerical Rating Scale (itch NRS4): 52.2% in TRuE-AD1 and 50.7% in TRuE-AD2, compared to vehicle (15.4% in TRuE-AD1, 16.3% in TRuE-AD2; P&lt;0.0001), among patients with an NRS score of at least 4 at baseline. The most common (≥1%) treatment-emergent adverse reactions in patients treated with OPZELURA were nasopharyngitis, diarrhea, bronchitis, ear infection, eosinophil count increased, urticaria, folliculitis, tonsillitis and rhinorrhea.</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365" w:lineRule="auto"/>
        <w:rPr>
          <w:sz w:val="20"/>
          <w:szCs w:val="20"/>
          <w:color w:val="auto"/>
        </w:rPr>
      </w:pPr>
      <w:r>
        <w:rPr>
          <w:rFonts w:ascii="Arial" w:cs="Arial" w:eastAsia="Arial" w:hAnsi="Arial"/>
          <w:sz w:val="15"/>
          <w:szCs w:val="15"/>
          <w:i w:val="1"/>
          <w:iCs w:val="1"/>
          <w:color w:val="auto"/>
        </w:rPr>
        <w:t xml:space="preserve">Vitiligo. </w:t>
      </w:r>
      <w:r>
        <w:rPr>
          <w:rFonts w:ascii="Arial" w:cs="Arial" w:eastAsia="Arial" w:hAnsi="Arial"/>
          <w:sz w:val="15"/>
          <w:szCs w:val="15"/>
          <w:color w:val="auto"/>
        </w:rPr>
        <w:t>In July 2022, we announced that the FDA approved OPZELURA for the topical treatment of nonsegmental vitiligo in adult and pediatric</w:t>
      </w:r>
      <w:r>
        <w:rPr>
          <w:rFonts w:ascii="Arial" w:cs="Arial" w:eastAsia="Arial" w:hAnsi="Arial"/>
          <w:sz w:val="15"/>
          <w:szCs w:val="15"/>
          <w:i w:val="1"/>
          <w:iCs w:val="1"/>
          <w:color w:val="auto"/>
        </w:rPr>
        <w:t xml:space="preserve"> </w:t>
      </w:r>
      <w:r>
        <w:rPr>
          <w:rFonts w:ascii="Arial" w:cs="Arial" w:eastAsia="Arial" w:hAnsi="Arial"/>
          <w:sz w:val="15"/>
          <w:szCs w:val="15"/>
          <w:color w:val="auto"/>
        </w:rPr>
        <w:t>patients 12 years of age and older. OPZELURA was approved for continuous use and no limits to duration as a treatment for nonsegmental vitiligo.</w:t>
      </w:r>
    </w:p>
    <w:p>
      <w:pPr>
        <w:spacing w:after="0" w:line="111"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Vitiligo is a chronic autoimmune depigmenting skin disease characterized by patches of the skin losing their pigment. It is estimated that there are at least 1.5 million patients diagnosed with vitiligo in the United States, with the majority of patients (approximately 85%) suffering from nonsegmental vitiligo. OPZELURA is the first and only FDA approved treatment for repigmentation of vitiligo lesions.</w:t>
      </w:r>
    </w:p>
    <w:p>
      <w:pPr>
        <w:spacing w:after="0" w:line="188" w:lineRule="exact"/>
        <w:rPr>
          <w:sz w:val="20"/>
          <w:szCs w:val="20"/>
          <w:color w:val="auto"/>
        </w:rPr>
      </w:pPr>
    </w:p>
    <w:p>
      <w:pPr>
        <w:jc w:val="both"/>
        <w:ind w:firstLine="636"/>
        <w:spacing w:after="0" w:line="302" w:lineRule="auto"/>
        <w:rPr>
          <w:sz w:val="20"/>
          <w:szCs w:val="20"/>
          <w:color w:val="auto"/>
        </w:rPr>
      </w:pPr>
      <w:r>
        <w:rPr>
          <w:rFonts w:ascii="Arial" w:cs="Arial" w:eastAsia="Arial" w:hAnsi="Arial"/>
          <w:sz w:val="15"/>
          <w:szCs w:val="15"/>
          <w:color w:val="auto"/>
        </w:rPr>
        <w:t>The approval of OPZELURA in vitiligo was based on two randomized, double-blind, vehicle-controlled Phase III studies (TRuE-V1 and TRuE-V2) evaluating the safety and efficacy of OPZELURA in adolescents and adults with nonsegmental vitiligo. Treatment with 1.5% ruxolitinib cream twice daily (BID) resulted in greater improvement versus vehicle for the primary and all key secondary endpoints in both the TRuE-V1 and TRuE-V2 studies. Results, which were consistent across both studies, showed that 29.9% of patients applying ruxolitinib cream achieved &gt;75% improvement from baseline in the facial Vitiligo Area Scoring Index (F-VASI75) at Week 24, the primary endpoint. At Week 52, approximately 50% of patients achieved F-VASI75. The most common (&gt;1%) treatment-emergent adverse reactions in patients treated with OPZELURA were application site acne, application site pruritus, nasopharyngitis, headache, urinary tract infection, application site erythema and pyrexia. In March 2023, at the American Academy of Dermatology (AAD), long-term 104-week safety and efficacy data for ruxolitinib cream in vitiligo were presented, demonstrating that patients who achieved a high level of facial repigmentation (≥F-VASI90) at Week 52 maintained durable response one year following withdrawal of treatment and that those patients who continued treatment with Opzelura for up to two years demonstrated sustained facial repigmentation and further improvements in facial and total body repigmentation.</w:t>
      </w:r>
    </w:p>
    <w:p>
      <w:pPr>
        <w:spacing w:after="0" w:line="162" w:lineRule="exact"/>
        <w:rPr>
          <w:sz w:val="20"/>
          <w:szCs w:val="20"/>
          <w:color w:val="auto"/>
        </w:rPr>
      </w:pPr>
    </w:p>
    <w:p>
      <w:pPr>
        <w:jc w:val="both"/>
        <w:ind w:firstLine="636"/>
        <w:spacing w:after="0" w:line="365" w:lineRule="auto"/>
        <w:rPr>
          <w:sz w:val="20"/>
          <w:szCs w:val="20"/>
          <w:color w:val="auto"/>
        </w:rPr>
      </w:pPr>
      <w:r>
        <w:rPr>
          <w:rFonts w:ascii="Arial" w:cs="Arial" w:eastAsia="Arial" w:hAnsi="Arial"/>
          <w:sz w:val="15"/>
          <w:szCs w:val="15"/>
          <w:color w:val="auto"/>
        </w:rPr>
        <w:t>In April 2023, we announced that the European Commission approved OPZELURA for the topical treatment of nonsegmental vitiligo with facial involvement in adults and adolescents 12 years and older following a positive opinion from the Committee for Medicinal Products for Human Use (CHMP).</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Programs in Dermatology</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Ruxolitinib cream</w:t>
      </w:r>
    </w:p>
    <w:p>
      <w:pPr>
        <w:spacing w:after="0" w:line="217" w:lineRule="exact"/>
        <w:rPr>
          <w:sz w:val="20"/>
          <w:szCs w:val="20"/>
          <w:color w:val="auto"/>
        </w:rPr>
      </w:pPr>
    </w:p>
    <w:p>
      <w:pPr>
        <w:jc w:val="both"/>
        <w:ind w:firstLine="636"/>
        <w:spacing w:after="0" w:line="365" w:lineRule="auto"/>
        <w:rPr>
          <w:sz w:val="20"/>
          <w:szCs w:val="20"/>
          <w:color w:val="auto"/>
        </w:rPr>
      </w:pPr>
      <w:r>
        <w:rPr>
          <w:rFonts w:ascii="Arial" w:cs="Arial" w:eastAsia="Arial" w:hAnsi="Arial"/>
          <w:sz w:val="15"/>
          <w:szCs w:val="15"/>
          <w:color w:val="auto"/>
        </w:rPr>
        <w:t>Ruxolitinib cream is a potent, selective inhibitor of JAK1 and JAK2 that provides the opportunity to directly target diverse pathogenic pathways that underlie certain dermatologic conditions, including atopic dermatitis, vitiligo, lichen planus, lichen sclerosus, hidradenitis suppurativa and prurigo nodularis.</w:t>
      </w:r>
    </w:p>
    <w:p>
      <w:pPr>
        <w:spacing w:after="0" w:line="111"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In October 2021, we announced the validation of the MAA for ruxolitinib cream as a potential treatment for adolescents and adults (age ≥12 years) with nonsegmental vitiligo with facial involvement.</w:t>
      </w:r>
    </w:p>
    <w:p>
      <w:pPr>
        <w:spacing w:after="0" w:line="181" w:lineRule="exact"/>
        <w:rPr>
          <w:sz w:val="20"/>
          <w:szCs w:val="20"/>
          <w:color w:val="auto"/>
        </w:rPr>
      </w:pPr>
    </w:p>
    <w:p>
      <w:pPr>
        <w:jc w:val="both"/>
        <w:ind w:firstLine="636"/>
        <w:spacing w:after="0" w:line="312" w:lineRule="auto"/>
        <w:rPr>
          <w:sz w:val="20"/>
          <w:szCs w:val="20"/>
          <w:color w:val="auto"/>
        </w:rPr>
      </w:pPr>
      <w:r>
        <w:rPr>
          <w:rFonts w:ascii="Arial" w:cs="Arial" w:eastAsia="Arial" w:hAnsi="Arial"/>
          <w:sz w:val="15"/>
          <w:szCs w:val="15"/>
          <w:color w:val="auto"/>
        </w:rPr>
        <w:t>In November 2022, we initiated two Phase II trials evaluating ruxolitinib cream in lichen planus and lichen sclerosus. Lichen planus is a recurrent inflammatory condition affecting the skin and mucosal surfaces and can result in itchy, purple bumps on the skin. Lichen sclerosus is a chronic inflammatory skin disease most commonly affecting women and can result in painful ulcers and intense itching. A Phase II trial evaluating ruxolitinib cream in mild to moderate hidradenitis suppurativa is ongoing and two Phase III trials evaluating ruxolitinib cream in prurigo nodularis were initiated. We continue to expand the development of ruxolitinib cream into new indications as part of our efforts to maximize the potential opportunity with ruxolitinib cream.</w:t>
      </w:r>
    </w:p>
    <w:p>
      <w:pPr>
        <w:spacing w:after="0" w:line="151"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 xml:space="preserve">In July 2023, we announced that the Phase III trial (TRuE-AD3) evaluating ruxolitinib cream in pediatric AD patients (age </w:t>
      </w:r>
      <w:r>
        <w:rPr>
          <w:rFonts w:ascii="Arial" w:cs="Arial" w:eastAsia="Arial" w:hAnsi="Arial"/>
          <w:sz w:val="18"/>
          <w:szCs w:val="18"/>
          <w:u w:val="single" w:color="auto"/>
          <w:color w:val="auto"/>
        </w:rPr>
        <w:t>&gt;</w:t>
      </w:r>
      <w:r>
        <w:rPr>
          <w:rFonts w:ascii="Arial" w:cs="Arial" w:eastAsia="Arial" w:hAnsi="Arial"/>
          <w:sz w:val="18"/>
          <w:szCs w:val="18"/>
          <w:color w:val="auto"/>
        </w:rPr>
        <w:t>2 and &lt;12) had met its primary endpoint. The study showed significantly more patients treated with ruxolitinib cream 0.75% and 1.5% achieved Investigator's Global Assessment Treatment Success (IGA-TS) than patients treated with vehicle control.</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Povorcitinib</w:t>
      </w:r>
    </w:p>
    <w:p>
      <w:pPr>
        <w:spacing w:after="0" w:line="217"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We are also developing povorcitinib (formerly INCB54707), which is an oral small molecule selective JAK1 inhibitor. Povorcitinib is undergoing evaluation in patients with hidradenitis suppurativa (HS), a chronic skin condition where lesions develop as a result of inflammation and infection of the sweat glands. In October 2020, initial results from the clinical program were presented and a randomized Phase IIb trial of povorcitinib is underway in patients with HS.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In March 2021, we initiated a Phase II trial evaluating povorcitinib in patients with vitiligo. A Phase II trial evaluating povorcitinib in patients with prurigo nodularis is ongoing. In August 2022, we presented results from the Phase II trial of povorcitinib in HS. In December 2022, we initiated two Phase III trials (STOP-HS1 and STOP-HS2) in moderate to severe hidradenitis suppurativa.</w:t>
      </w:r>
    </w:p>
    <w:p>
      <w:pPr>
        <w:spacing w:after="0" w:line="188"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In February 2023, 52-week results from the Phase II study evaluating povorcitinib in HS were presented as an oral presentation at the European Hidradenitis Suppurativa Foundation (EHSF) Annual Meeting. The data demonstrated that longer-term treatment with povorcitinib 75 mg resulted in sustained and durable efficacy across all treatment arms and importantly, 22-29% of patients achieved HiSCR100, which is defined as a 100% reduction from baseline in total AN count with no increase from baseline in abscess or draining tunnel count. Povorcitinib is currently in two phase III studies in moderate to severe HS.</w:t>
      </w:r>
    </w:p>
    <w:p>
      <w:pPr>
        <w:spacing w:after="0" w:line="194"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In March 2023, 36-week results from the Phase IIb study evaluating povorcitinib in patients with extensive vitiligo were presented as an oral late-breaking presentation at the American Academy of Dermatology (AAD) Annual Meeting. The data demonstrated that treatment with oral povorcitinib was associated with substantial total body repigmentation in patients with extensive nonsegmental vitiligo, as measured by total Vitiligo Area Scoring Index (T-VASI) scores. Specifically, the study met its primary endpoint and patients receiving povorcitinib experienced statistically superior improvements in T-VASI at Week 24 compared to placebo.</w:t>
      </w:r>
    </w:p>
    <w:p>
      <w:pPr>
        <w:spacing w:after="0" w:line="194"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In July 2023, we initiated two Phase II trials evaluating povorcitinib in patients with moderate to severe uncontrolled asthma and in chronic spontaneous urticaria.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Earlier-Stage Development Programs in Dermatology</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Auremolimab</w:t>
      </w:r>
    </w:p>
    <w:p>
      <w:pPr>
        <w:spacing w:after="0" w:line="217"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In November 2022, we acquired Villaris Therapeutics, Inc., an asset-centric biopharmaceutical company focused on the development of novel antibody therapeutics for vitiligo. Its lead asset, auremolimab (VM6) is a novel, humanized anti-IL-15Rβ monoclonal antibody designed to target and deplete autoreactive tissue resident memory T cells (TRM) that has demonstrated efficacy as a treatment for vitiligo in preclinical models. In July 2023, auremolimab received IND clearance and is expected to enter the clinic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146050</wp:posOffset>
            </wp:positionV>
            <wp:extent cx="71348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580" w:type="dxa"/>
            <w:vAlign w:val="bottom"/>
            <w:tcBorders>
              <w:bottom w:val="single" w:sz="8" w:color="auto"/>
            </w:tcBorders>
          </w:tcPr>
          <w:p>
            <w:pPr>
              <w:spacing w:after="0"/>
              <w:rPr>
                <w:sz w:val="20"/>
                <w:szCs w:val="20"/>
                <w:color w:val="auto"/>
              </w:rPr>
            </w:pPr>
          </w:p>
        </w:tc>
        <w:tc>
          <w:tcPr>
            <w:tcW w:w="86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Indication and status</w:t>
            </w:r>
          </w:p>
        </w:tc>
      </w:tr>
      <w:tr>
        <w:trPr>
          <w:trHeight w:val="220"/>
        </w:trPr>
        <w:tc>
          <w:tcPr>
            <w:tcW w:w="2580" w:type="dxa"/>
            <w:vAlign w:val="bottom"/>
            <w:shd w:val="clear" w:color="auto" w:fill="CCEEFF"/>
          </w:tcPr>
          <w:p>
            <w:pPr>
              <w:ind w:left="20"/>
              <w:spacing w:after="0" w:line="220" w:lineRule="exact"/>
              <w:rPr>
                <w:sz w:val="20"/>
                <w:szCs w:val="20"/>
                <w:color w:val="auto"/>
              </w:rPr>
            </w:pPr>
            <w:r>
              <w:rPr>
                <w:rFonts w:ascii="Arial" w:cs="Arial" w:eastAsia="Arial" w:hAnsi="Arial"/>
                <w:sz w:val="18"/>
                <w:szCs w:val="18"/>
                <w:b w:val="1"/>
                <w:bCs w:val="1"/>
                <w:color w:val="auto"/>
              </w:rPr>
              <w:t>ruxolitinib cream</w:t>
            </w:r>
            <w:r>
              <w:rPr>
                <w:rFonts w:ascii="Arial" w:cs="Arial" w:eastAsia="Arial" w:hAnsi="Arial"/>
                <w:sz w:val="22"/>
                <w:szCs w:val="22"/>
                <w:b w:val="1"/>
                <w:bCs w:val="1"/>
                <w:color w:val="auto"/>
                <w:vertAlign w:val="superscript"/>
              </w:rPr>
              <w:t>1</w:t>
            </w:r>
          </w:p>
        </w:tc>
        <w:tc>
          <w:tcPr>
            <w:tcW w:w="8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Atopic dermatitis: Phase III pediatric study (TRuE-AD3)</w:t>
            </w:r>
          </w:p>
        </w:tc>
      </w:tr>
      <w:tr>
        <w:trPr>
          <w:trHeight w:val="218"/>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(JAK1/JAK2)</w:t>
            </w:r>
          </w:p>
        </w:tc>
        <w:tc>
          <w:tcPr>
            <w:tcW w:w="8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Vitiligo: Phase III (TRuE-V1, TRuE-V2); approved in the U.S. and Europe</w:t>
            </w:r>
          </w:p>
        </w:tc>
      </w:tr>
      <w:tr>
        <w:trPr>
          <w:trHeight w:val="212"/>
        </w:trPr>
        <w:tc>
          <w:tcPr>
            <w:tcW w:w="2580" w:type="dxa"/>
            <w:vAlign w:val="bottom"/>
            <w:shd w:val="clear" w:color="auto" w:fill="CCEEFF"/>
          </w:tcPr>
          <w:p>
            <w:pPr>
              <w:spacing w:after="0"/>
              <w:rPr>
                <w:sz w:val="18"/>
                <w:szCs w:val="18"/>
                <w:color w:val="auto"/>
              </w:rPr>
            </w:pPr>
          </w:p>
        </w:tc>
        <w:tc>
          <w:tcPr>
            <w:tcW w:w="8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Lichen planus: Phase II</w:t>
            </w:r>
          </w:p>
        </w:tc>
      </w:tr>
      <w:tr>
        <w:trPr>
          <w:trHeight w:val="212"/>
        </w:trPr>
        <w:tc>
          <w:tcPr>
            <w:tcW w:w="2580" w:type="dxa"/>
            <w:vAlign w:val="bottom"/>
            <w:shd w:val="clear" w:color="auto" w:fill="CCEEFF"/>
          </w:tcPr>
          <w:p>
            <w:pPr>
              <w:spacing w:after="0"/>
              <w:rPr>
                <w:sz w:val="18"/>
                <w:szCs w:val="18"/>
                <w:color w:val="auto"/>
              </w:rPr>
            </w:pPr>
          </w:p>
        </w:tc>
        <w:tc>
          <w:tcPr>
            <w:tcW w:w="8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Lichen sclerosus: Phase II</w:t>
            </w:r>
          </w:p>
        </w:tc>
      </w:tr>
      <w:tr>
        <w:trPr>
          <w:trHeight w:val="212"/>
        </w:trPr>
        <w:tc>
          <w:tcPr>
            <w:tcW w:w="2580" w:type="dxa"/>
            <w:vAlign w:val="bottom"/>
            <w:shd w:val="clear" w:color="auto" w:fill="CCEEFF"/>
          </w:tcPr>
          <w:p>
            <w:pPr>
              <w:spacing w:after="0"/>
              <w:rPr>
                <w:sz w:val="18"/>
                <w:szCs w:val="18"/>
                <w:color w:val="auto"/>
              </w:rPr>
            </w:pPr>
          </w:p>
        </w:tc>
        <w:tc>
          <w:tcPr>
            <w:tcW w:w="8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Hidradenitis suppurativa: Phase II</w:t>
            </w:r>
          </w:p>
        </w:tc>
      </w:tr>
      <w:tr>
        <w:trPr>
          <w:trHeight w:val="231"/>
        </w:trPr>
        <w:tc>
          <w:tcPr>
            <w:tcW w:w="258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Prurigo nodularis: Phase III initiated (TRuE-PN1, TRuE-PN2)</w:t>
            </w:r>
          </w:p>
        </w:tc>
      </w:tr>
      <w:tr>
        <w:trPr>
          <w:trHeight w:val="220"/>
        </w:trPr>
        <w:tc>
          <w:tcPr>
            <w:tcW w:w="2580" w:type="dxa"/>
            <w:vAlign w:val="bottom"/>
          </w:tcPr>
          <w:p>
            <w:pPr>
              <w:ind w:left="20"/>
              <w:spacing w:after="0"/>
              <w:rPr>
                <w:sz w:val="20"/>
                <w:szCs w:val="20"/>
                <w:color w:val="auto"/>
              </w:rPr>
            </w:pPr>
            <w:r>
              <w:rPr>
                <w:rFonts w:ascii="Arial" w:cs="Arial" w:eastAsia="Arial" w:hAnsi="Arial"/>
                <w:sz w:val="18"/>
                <w:szCs w:val="18"/>
                <w:b w:val="1"/>
                <w:bCs w:val="1"/>
                <w:color w:val="auto"/>
              </w:rPr>
              <w:t>ruxolitinib cream + NB-UVB</w:t>
            </w:r>
          </w:p>
        </w:tc>
        <w:tc>
          <w:tcPr>
            <w:tcW w:w="8660" w:type="dxa"/>
            <w:vAlign w:val="bottom"/>
          </w:tcPr>
          <w:p>
            <w:pPr>
              <w:ind w:left="300"/>
              <w:spacing w:after="0"/>
              <w:rPr>
                <w:sz w:val="20"/>
                <w:szCs w:val="20"/>
                <w:color w:val="auto"/>
              </w:rPr>
            </w:pPr>
            <w:r>
              <w:rPr>
                <w:rFonts w:ascii="Arial" w:cs="Arial" w:eastAsia="Arial" w:hAnsi="Arial"/>
                <w:sz w:val="18"/>
                <w:szCs w:val="18"/>
                <w:color w:val="auto"/>
              </w:rPr>
              <w:t>Vitiligo: Phase II</w:t>
            </w:r>
          </w:p>
        </w:tc>
      </w:tr>
      <w:tr>
        <w:trPr>
          <w:trHeight w:val="229"/>
        </w:trPr>
        <w:tc>
          <w:tcPr>
            <w:tcW w:w="2580" w:type="dxa"/>
            <w:vAlign w:val="bottom"/>
          </w:tcPr>
          <w:p>
            <w:pPr>
              <w:ind w:left="20"/>
              <w:spacing w:after="0"/>
              <w:rPr>
                <w:sz w:val="20"/>
                <w:szCs w:val="20"/>
                <w:color w:val="auto"/>
              </w:rPr>
            </w:pPr>
            <w:r>
              <w:rPr>
                <w:rFonts w:ascii="Arial" w:cs="Arial" w:eastAsia="Arial" w:hAnsi="Arial"/>
                <w:sz w:val="18"/>
                <w:szCs w:val="18"/>
                <w:b w:val="1"/>
                <w:bCs w:val="1"/>
                <w:color w:val="auto"/>
              </w:rPr>
              <w:t>(JAK1/JAK2 + phototherapy)</w:t>
            </w:r>
          </w:p>
        </w:tc>
        <w:tc>
          <w:tcPr>
            <w:tcW w:w="8660" w:type="dxa"/>
            <w:vAlign w:val="bottom"/>
          </w:tcPr>
          <w:p>
            <w:pPr>
              <w:spacing w:after="0"/>
              <w:rPr>
                <w:sz w:val="19"/>
                <w:szCs w:val="19"/>
                <w:color w:val="auto"/>
              </w:rPr>
            </w:pPr>
          </w:p>
        </w:tc>
      </w:tr>
      <w:tr>
        <w:trPr>
          <w:trHeight w:val="28"/>
        </w:trPr>
        <w:tc>
          <w:tcPr>
            <w:tcW w:w="258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0"/>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povorcitinib</w:t>
            </w:r>
          </w:p>
        </w:tc>
        <w:tc>
          <w:tcPr>
            <w:tcW w:w="8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Hidradenitis suppurativa: Phase IIb; Phase III (STOP-HS1, STOP-HS2)</w:t>
            </w:r>
          </w:p>
        </w:tc>
      </w:tr>
      <w:tr>
        <w:trPr>
          <w:trHeight w:val="218"/>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(JAK1)</w:t>
            </w:r>
          </w:p>
        </w:tc>
        <w:tc>
          <w:tcPr>
            <w:tcW w:w="8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Vitiligo: Phase II; Phase III planned</w:t>
            </w:r>
          </w:p>
        </w:tc>
      </w:tr>
      <w:tr>
        <w:trPr>
          <w:trHeight w:val="212"/>
        </w:trPr>
        <w:tc>
          <w:tcPr>
            <w:tcW w:w="2580" w:type="dxa"/>
            <w:vAlign w:val="bottom"/>
            <w:shd w:val="clear" w:color="auto" w:fill="CCEEFF"/>
          </w:tcPr>
          <w:p>
            <w:pPr>
              <w:spacing w:after="0"/>
              <w:rPr>
                <w:sz w:val="18"/>
                <w:szCs w:val="18"/>
                <w:color w:val="auto"/>
              </w:rPr>
            </w:pPr>
          </w:p>
        </w:tc>
        <w:tc>
          <w:tcPr>
            <w:tcW w:w="8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Prurigo nodularis: Phase II</w:t>
            </w:r>
          </w:p>
        </w:tc>
      </w:tr>
      <w:tr>
        <w:trPr>
          <w:trHeight w:val="212"/>
        </w:trPr>
        <w:tc>
          <w:tcPr>
            <w:tcW w:w="2580" w:type="dxa"/>
            <w:vAlign w:val="bottom"/>
            <w:shd w:val="clear" w:color="auto" w:fill="CCEEFF"/>
          </w:tcPr>
          <w:p>
            <w:pPr>
              <w:spacing w:after="0"/>
              <w:rPr>
                <w:sz w:val="18"/>
                <w:szCs w:val="18"/>
                <w:color w:val="auto"/>
              </w:rPr>
            </w:pPr>
          </w:p>
        </w:tc>
        <w:tc>
          <w:tcPr>
            <w:tcW w:w="8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Asthma: Phase II</w:t>
            </w:r>
          </w:p>
        </w:tc>
      </w:tr>
      <w:tr>
        <w:trPr>
          <w:trHeight w:val="231"/>
        </w:trPr>
        <w:tc>
          <w:tcPr>
            <w:tcW w:w="258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Chronic spontaneous urticaria: Phase II</w:t>
            </w:r>
          </w:p>
        </w:tc>
      </w:tr>
      <w:tr>
        <w:trPr>
          <w:trHeight w:val="220"/>
        </w:trPr>
        <w:tc>
          <w:tcPr>
            <w:tcW w:w="2580" w:type="dxa"/>
            <w:vAlign w:val="bottom"/>
          </w:tcPr>
          <w:p>
            <w:pPr>
              <w:ind w:left="20"/>
              <w:spacing w:after="0"/>
              <w:rPr>
                <w:sz w:val="20"/>
                <w:szCs w:val="20"/>
                <w:color w:val="auto"/>
              </w:rPr>
            </w:pPr>
            <w:r>
              <w:rPr>
                <w:rFonts w:ascii="Arial" w:cs="Arial" w:eastAsia="Arial" w:hAnsi="Arial"/>
                <w:sz w:val="18"/>
                <w:szCs w:val="18"/>
                <w:b w:val="1"/>
                <w:bCs w:val="1"/>
                <w:color w:val="auto"/>
              </w:rPr>
              <w:t>auremolimab</w:t>
            </w:r>
          </w:p>
        </w:tc>
        <w:tc>
          <w:tcPr>
            <w:tcW w:w="8660" w:type="dxa"/>
            <w:vAlign w:val="bottom"/>
          </w:tcPr>
          <w:p>
            <w:pPr>
              <w:ind w:left="300"/>
              <w:spacing w:after="0"/>
              <w:rPr>
                <w:sz w:val="20"/>
                <w:szCs w:val="20"/>
                <w:color w:val="auto"/>
              </w:rPr>
            </w:pPr>
            <w:r>
              <w:rPr>
                <w:rFonts w:ascii="Arial" w:cs="Arial" w:eastAsia="Arial" w:hAnsi="Arial"/>
                <w:sz w:val="18"/>
                <w:szCs w:val="18"/>
                <w:color w:val="auto"/>
              </w:rPr>
              <w:t>Vitiligo: Phase I in preparation</w:t>
            </w:r>
          </w:p>
        </w:tc>
      </w:tr>
      <w:tr>
        <w:trPr>
          <w:trHeight w:val="229"/>
        </w:trPr>
        <w:tc>
          <w:tcPr>
            <w:tcW w:w="2580" w:type="dxa"/>
            <w:vAlign w:val="bottom"/>
          </w:tcPr>
          <w:p>
            <w:pPr>
              <w:ind w:left="20"/>
              <w:spacing w:after="0"/>
              <w:rPr>
                <w:sz w:val="20"/>
                <w:szCs w:val="20"/>
                <w:color w:val="auto"/>
              </w:rPr>
            </w:pPr>
            <w:r>
              <w:rPr>
                <w:rFonts w:ascii="Arial" w:cs="Arial" w:eastAsia="Arial" w:hAnsi="Arial"/>
                <w:sz w:val="18"/>
                <w:szCs w:val="18"/>
                <w:b w:val="1"/>
                <w:bCs w:val="1"/>
                <w:color w:val="auto"/>
              </w:rPr>
              <w:t>(anti-IL-15Rβ)</w:t>
            </w:r>
          </w:p>
        </w:tc>
        <w:tc>
          <w:tcPr>
            <w:tcW w:w="8660" w:type="dxa"/>
            <w:vAlign w:val="bottom"/>
          </w:tcPr>
          <w:p>
            <w:pPr>
              <w:spacing w:after="0"/>
              <w:rPr>
                <w:sz w:val="19"/>
                <w:szCs w:val="19"/>
                <w:color w:val="auto"/>
              </w:rPr>
            </w:pPr>
          </w:p>
        </w:tc>
      </w:tr>
      <w:tr>
        <w:trPr>
          <w:trHeight w:val="28"/>
        </w:trPr>
        <w:tc>
          <w:tcPr>
            <w:tcW w:w="2580" w:type="dxa"/>
            <w:vAlign w:val="bottom"/>
            <w:tcBorders>
              <w:bottom w:val="single" w:sz="8" w:color="auto"/>
            </w:tcBorders>
          </w:tcPr>
          <w:p>
            <w:pPr>
              <w:spacing w:after="0"/>
              <w:rPr>
                <w:sz w:val="2"/>
                <w:szCs w:val="2"/>
                <w:color w:val="auto"/>
              </w:rPr>
            </w:pPr>
          </w:p>
        </w:tc>
        <w:tc>
          <w:tcPr>
            <w:tcW w:w="8660" w:type="dxa"/>
            <w:vAlign w:val="bottom"/>
            <w:tcBorders>
              <w:bottom w:val="single" w:sz="8" w:color="auto"/>
            </w:tcBorders>
          </w:tcPr>
          <w:p>
            <w:pPr>
              <w:spacing w:after="0"/>
              <w:rPr>
                <w:sz w:val="2"/>
                <w:szCs w:val="2"/>
                <w:color w:val="auto"/>
              </w:rPr>
            </w:pPr>
          </w:p>
        </w:tc>
      </w:tr>
    </w:tbl>
    <w:p>
      <w:pPr>
        <w:spacing w:after="0" w:line="80" w:lineRule="exact"/>
        <w:rPr>
          <w:sz w:val="20"/>
          <w:szCs w:val="20"/>
          <w:color w:val="auto"/>
        </w:rPr>
      </w:pPr>
    </w:p>
    <w:p>
      <w:pPr>
        <w:ind w:firstLine="6"/>
        <w:spacing w:after="0" w:line="221" w:lineRule="auto"/>
        <w:tabs>
          <w:tab w:leader="none" w:pos="163"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Novartis’ rights for ruxolitinib outside of the United States under our Collaboration and License Agreement with Novartis do not include topical administration.</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Programs in Other IAI</w:t>
      </w:r>
    </w:p>
    <w:p>
      <w:pPr>
        <w:spacing w:after="0" w:line="217"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In May 2022, we initiated a Phase II trial evaluating INCB00928 in patients with fibrodysplasia ossificans progressiva (FOP), a disorder in which muscle tissue and connective tissue are gradually replaced by bone. The FDA has granted Fast Track designation and orphan drug designation to INCB00928 as a treatment for patients with FOP.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71348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28"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Indication and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71348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5" w:lineRule="exact"/>
        <w:rPr>
          <w:sz w:val="20"/>
          <w:szCs w:val="20"/>
          <w:color w:val="auto"/>
        </w:rPr>
      </w:pPr>
    </w:p>
    <w:p>
      <w:pPr>
        <w:ind w:left="20"/>
        <w:spacing w:after="0"/>
        <w:tabs>
          <w:tab w:leader="none" w:pos="2860" w:val="left"/>
        </w:tabs>
        <w:rPr>
          <w:sz w:val="20"/>
          <w:szCs w:val="20"/>
          <w:color w:val="auto"/>
        </w:rPr>
      </w:pPr>
      <w:r>
        <w:rPr>
          <w:rFonts w:ascii="Arial" w:cs="Arial" w:eastAsia="Arial" w:hAnsi="Arial"/>
          <w:sz w:val="18"/>
          <w:szCs w:val="18"/>
          <w:b w:val="1"/>
          <w:bCs w:val="1"/>
          <w:color w:val="auto"/>
        </w:rPr>
        <w:t>INCB00928 (ALK2)</w:t>
      </w:r>
      <w:r>
        <w:rPr>
          <w:sz w:val="20"/>
          <w:szCs w:val="20"/>
          <w:color w:val="auto"/>
        </w:rPr>
        <w:tab/>
      </w:r>
      <w:r>
        <w:rPr>
          <w:rFonts w:ascii="Arial" w:cs="Arial" w:eastAsia="Arial" w:hAnsi="Arial"/>
          <w:sz w:val="15"/>
          <w:szCs w:val="15"/>
          <w:color w:val="auto"/>
        </w:rPr>
        <w:t>Fibrodysplasia ossificans progressiva: Phase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134860" cy="1765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4860" cy="176530"/>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Collaborative Partnered Programs</w:t>
      </w:r>
    </w:p>
    <w:p>
      <w:pPr>
        <w:spacing w:after="0" w:line="223"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As described below under “—License Agreements and Business Relationships,” we are eligible for milestone payments and royalties on certain products that we licensed to third parties. These include OLUMIANT (baricitinib), which is licensed to our collaborative partner Eli Lilly and Company, and JAKAVI (ruxolitinib) and TABRECTA (capmatinib), which are licensed to Novartis.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Baricitinib</w:t>
      </w:r>
    </w:p>
    <w:p>
      <w:pPr>
        <w:spacing w:after="0" w:line="217"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We have a second JAK1 and JAK2 inhibitor, baricitinib, which is subject to our collaboration agreement with Lilly, in which Lilly received exclusive worldwide development and commercialization rights to the compound for inflammatory and autoimmune diseases.</w:t>
      </w:r>
    </w:p>
    <w:p>
      <w:pPr>
        <w:spacing w:after="0" w:line="181"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i w:val="1"/>
          <w:iCs w:val="1"/>
          <w:color w:val="auto"/>
        </w:rPr>
        <w:t xml:space="preserve">Rheumatoid Arthritis. </w:t>
      </w:r>
      <w:r>
        <w:rPr>
          <w:rFonts w:ascii="Arial" w:cs="Arial" w:eastAsia="Arial" w:hAnsi="Arial"/>
          <w:sz w:val="18"/>
          <w:szCs w:val="18"/>
          <w:color w:val="auto"/>
        </w:rPr>
        <w:t>Rheumatoid arthritis is an autoimmune disease characterized by aberrant or abnormal immune mechanisms that lead to joint</w:t>
      </w:r>
      <w:r>
        <w:rPr>
          <w:rFonts w:ascii="Arial" w:cs="Arial" w:eastAsia="Arial" w:hAnsi="Arial"/>
          <w:sz w:val="18"/>
          <w:szCs w:val="18"/>
          <w:i w:val="1"/>
          <w:iCs w:val="1"/>
          <w:color w:val="auto"/>
        </w:rPr>
        <w:t xml:space="preserve"> </w:t>
      </w:r>
      <w:r>
        <w:rPr>
          <w:rFonts w:ascii="Arial" w:cs="Arial" w:eastAsia="Arial" w:hAnsi="Arial"/>
          <w:sz w:val="18"/>
          <w:szCs w:val="18"/>
          <w:color w:val="auto"/>
        </w:rPr>
        <w:t>inflammation and swelling and, in some patients, the progressive destruction of joints. Rheumatoid arthritis can also affect connective tissue in the skin and organs of the body.</w:t>
      </w:r>
    </w:p>
    <w:p>
      <w:pPr>
        <w:spacing w:after="0" w:line="188"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7"/>
          <w:szCs w:val="17"/>
          <w:color w:val="auto"/>
        </w:rPr>
        <w:t>Current rheumatoid arthritis treatments include the use of non-steroidal anti-inflammatory drugs, disease-modifying anti-rheumatic drugs, such as methotrexate, and the newer biological response modifiers that target pro-inflammatory cytokines, such as tumor necrosis factor, implicated in the pathogenesis of rheumatoid arthritis. None of these approaches to treatment is curative; therefore, there remains an unmet need for new safe and effective treatment options for these patients. Rheumatoid arthritis is estimated to affect about 1% of the world’s population.</w:t>
      </w:r>
    </w:p>
    <w:p>
      <w:pPr>
        <w:spacing w:after="0" w:line="177" w:lineRule="exact"/>
        <w:rPr>
          <w:sz w:val="20"/>
          <w:szCs w:val="20"/>
          <w:color w:val="auto"/>
        </w:rPr>
      </w:pPr>
    </w:p>
    <w:p>
      <w:pPr>
        <w:jc w:val="both"/>
        <w:ind w:firstLine="636"/>
        <w:spacing w:after="0" w:line="330" w:lineRule="auto"/>
        <w:rPr>
          <w:sz w:val="20"/>
          <w:szCs w:val="20"/>
          <w:color w:val="auto"/>
        </w:rPr>
      </w:pPr>
      <w:r>
        <w:rPr>
          <w:rFonts w:ascii="Arial" w:cs="Arial" w:eastAsia="Arial" w:hAnsi="Arial"/>
          <w:sz w:val="15"/>
          <w:szCs w:val="15"/>
          <w:color w:val="auto"/>
        </w:rPr>
        <w:t>The Phase III program of baricitinib in patients with rheumatoid arthritis incorporated all three rheumatoid arthritis populations (methotrexate naïve, biologic naïve, and tumor necrosis factor (TNF) inhibitor inadequate responders); used event rates to fully power the baricitinib program for structural comparison and non-inferiority vs. adalimumab; and evaluated patient-reported outcomes. All four Phase III trials met their respective primary endpoints.</w:t>
      </w:r>
    </w:p>
    <w:p>
      <w:pPr>
        <w:spacing w:after="0" w:line="137" w:lineRule="exact"/>
        <w:rPr>
          <w:sz w:val="20"/>
          <w:szCs w:val="20"/>
          <w:color w:val="auto"/>
        </w:rPr>
      </w:pPr>
    </w:p>
    <w:p>
      <w:pPr>
        <w:jc w:val="both"/>
        <w:ind w:firstLine="636"/>
        <w:spacing w:after="0" w:line="309" w:lineRule="auto"/>
        <w:rPr>
          <w:sz w:val="20"/>
          <w:szCs w:val="20"/>
          <w:color w:val="auto"/>
        </w:rPr>
      </w:pPr>
      <w:r>
        <w:rPr>
          <w:rFonts w:ascii="Arial" w:cs="Arial" w:eastAsia="Arial" w:hAnsi="Arial"/>
          <w:sz w:val="15"/>
          <w:szCs w:val="15"/>
          <w:color w:val="auto"/>
        </w:rPr>
        <w:t>In January 2016, Lilly submitted an NDA to the FDA and an MAA to the EMA for baricitinib as treatment for rheumatoid arthritis. In February 2017, we and Lilly announced that the European Commission approved baricitinib as OLUMIANT for the treatment of moderate-to-severe rheumatoid arthritis in adult patients who have responded inadequately to, or who are intolerant to, one or more disease-modifying antirheumatic drugs (DMARDs). In July 2017, the MHLW granted marketing approval for OLUMIANT for the treatment of rheumatoid arthritis (including the prevention of structural injury of joints) in patients with inadequate response to standard-of-care therapies. In June 2018, the FDA approved the 2mg dose of OLUMIANT for the treatment of adults with moderately-to-severely active rheumatoid arthritis (RA) who have had an inadequate response to one or more tumor necrosis factor (TNF) inhibitor therapies.</w:t>
      </w:r>
    </w:p>
    <w:p>
      <w:pPr>
        <w:spacing w:after="0" w:line="152" w:lineRule="exact"/>
        <w:rPr>
          <w:sz w:val="20"/>
          <w:szCs w:val="20"/>
          <w:color w:val="auto"/>
        </w:rPr>
      </w:pPr>
    </w:p>
    <w:p>
      <w:pPr>
        <w:jc w:val="both"/>
        <w:ind w:firstLine="636"/>
        <w:spacing w:after="0" w:line="330" w:lineRule="auto"/>
        <w:rPr>
          <w:sz w:val="20"/>
          <w:szCs w:val="20"/>
          <w:color w:val="auto"/>
        </w:rPr>
      </w:pPr>
      <w:r>
        <w:rPr>
          <w:rFonts w:ascii="Arial" w:cs="Arial" w:eastAsia="Arial" w:hAnsi="Arial"/>
          <w:sz w:val="15"/>
          <w:szCs w:val="15"/>
          <w:i w:val="1"/>
          <w:iCs w:val="1"/>
          <w:color w:val="auto"/>
        </w:rPr>
        <w:t xml:space="preserve">Atopic Dermatitis. </w:t>
      </w:r>
      <w:r>
        <w:rPr>
          <w:rFonts w:ascii="Arial" w:cs="Arial" w:eastAsia="Arial" w:hAnsi="Arial"/>
          <w:sz w:val="15"/>
          <w:szCs w:val="15"/>
          <w:color w:val="auto"/>
        </w:rPr>
        <w:t>Lilly has conducted a Phase IIa trial and a Phase III program to evaluate the safety and efficacy of baricitinib in patients with</w:t>
      </w:r>
      <w:r>
        <w:rPr>
          <w:rFonts w:ascii="Arial" w:cs="Arial" w:eastAsia="Arial" w:hAnsi="Arial"/>
          <w:sz w:val="15"/>
          <w:szCs w:val="15"/>
          <w:i w:val="1"/>
          <w:iCs w:val="1"/>
          <w:color w:val="auto"/>
        </w:rPr>
        <w:t xml:space="preserve"> </w:t>
      </w:r>
      <w:r>
        <w:rPr>
          <w:rFonts w:ascii="Arial" w:cs="Arial" w:eastAsia="Arial" w:hAnsi="Arial"/>
          <w:sz w:val="15"/>
          <w:szCs w:val="15"/>
          <w:color w:val="auto"/>
        </w:rPr>
        <w:t>moderate-to-severe atopic dermatitis. The JAK-STAT pathway has been shown to play an essential role in the dysregulation of immune responses in atopic dermatitis. Therefore, we believe that inhibiting cytokine pathways dependent on JAK1 and JAK2 may lead to positive clinical outcomes in AD.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302" w:lineRule="auto"/>
        <w:rPr>
          <w:sz w:val="20"/>
          <w:szCs w:val="20"/>
          <w:color w:val="auto"/>
        </w:rPr>
      </w:pPr>
      <w:r>
        <w:rPr>
          <w:rFonts w:ascii="Arial" w:cs="Arial" w:eastAsia="Arial" w:hAnsi="Arial"/>
          <w:sz w:val="15"/>
          <w:szCs w:val="15"/>
          <w:color w:val="auto"/>
        </w:rPr>
        <w:t>In February 2019, we and Lilly announced that baricitinib met the primary endpoint in BREEZE-AD1 and BREEZE-AD2, two Phase III studies evaluating the efficacy and safety of baricitinib monotherapy for the treatment of adult patients with moderate-to-severe AD and, in August 2019, we and Lilly announced that baricitinib met the primary endpoint in BREEZE-AD7, a Phase III study evaluating the efficacy and safety of baricitinib in combination with standard-of-care topical corticosteroids in patients with moderate-to-severe AD. In January 2020, we and Lilly announced that baricitinib met the primary endpoint in both BREEZE-AD4 and BREEZE-AD5, the results of which completed the placebo-controlled data program intended to support global registrations. A supplemental New Drug Application (sNDA) for baricitinib was submitted by Lilly for the treatment of patients with moderate to severe AD. In April 2021, we and Lilly announced the FDA extended the review period for the sNDA for baricitinib for the treatment of moderate to severe AD by three months to allow time for additional data analyses. In July 2021, we and Lilly announced that the FDA will not meet the PDUFA action date for the sNDA for baricitinib for the treatment of adults with moderate to severe AD due to the FDA's ongoing assessment of JAK inhibitors. In January 2022, Lilly provided a regulatory update on the sNDA based on ongoing discussions with the FDA. Lilly announced that alignment with the FDA on the indicated population had not yet been reached and given the FDA’s position, there would be the possibility of a Complete Response Letter (CRL).</w:t>
      </w:r>
    </w:p>
    <w:p>
      <w:pPr>
        <w:spacing w:after="0" w:line="374"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In January 2020, Lilly announced that baricitinib had been submitted for regulatory review in Europe as a treatment for patients with moderate-to-severe AD. In October 2020, Lilly announced that the European Commission approved baricitinib as OLUMIANT for the treatment of moderate-to-severe AD in adult patients who are candidates for systemic therapy. In December 2020, baricitinib was approved by the MHLW for the treatment of patients with moderate-to-severe AD.</w:t>
      </w:r>
    </w:p>
    <w:p>
      <w:pPr>
        <w:spacing w:after="0" w:line="191" w:lineRule="exact"/>
        <w:rPr>
          <w:sz w:val="20"/>
          <w:szCs w:val="20"/>
          <w:color w:val="auto"/>
        </w:rPr>
      </w:pPr>
    </w:p>
    <w:p>
      <w:pPr>
        <w:jc w:val="both"/>
        <w:ind w:firstLine="636"/>
        <w:spacing w:after="0" w:line="303" w:lineRule="auto"/>
        <w:rPr>
          <w:sz w:val="20"/>
          <w:szCs w:val="20"/>
          <w:color w:val="auto"/>
        </w:rPr>
      </w:pPr>
      <w:r>
        <w:rPr>
          <w:rFonts w:ascii="Arial" w:cs="Arial" w:eastAsia="Arial" w:hAnsi="Arial"/>
          <w:sz w:val="15"/>
          <w:szCs w:val="15"/>
          <w:i w:val="1"/>
          <w:iCs w:val="1"/>
          <w:color w:val="auto"/>
        </w:rPr>
        <w:t>Alopecia Areata</w:t>
      </w:r>
      <w:r>
        <w:rPr>
          <w:rFonts w:ascii="Arial" w:cs="Arial" w:eastAsia="Arial" w:hAnsi="Arial"/>
          <w:sz w:val="15"/>
          <w:szCs w:val="15"/>
          <w:color w:val="auto"/>
        </w:rPr>
        <w:t>. Alopecia areata is an autoimmune disorder in which the immune system attacks the hair follicles, causing hair loss in patches. In</w:t>
      </w:r>
      <w:r>
        <w:rPr>
          <w:rFonts w:ascii="Arial" w:cs="Arial" w:eastAsia="Arial" w:hAnsi="Arial"/>
          <w:sz w:val="15"/>
          <w:szCs w:val="15"/>
          <w:i w:val="1"/>
          <w:iCs w:val="1"/>
          <w:color w:val="auto"/>
        </w:rPr>
        <w:t xml:space="preserve"> </w:t>
      </w:r>
      <w:r>
        <w:rPr>
          <w:rFonts w:ascii="Arial" w:cs="Arial" w:eastAsia="Arial" w:hAnsi="Arial"/>
          <w:sz w:val="15"/>
          <w:szCs w:val="15"/>
          <w:color w:val="auto"/>
        </w:rPr>
        <w:t>March 2020, Lilly announced that baricitinib received Breakthrough Therapy designation for the treatment of alopecia areata, based on the positive Phase II results of Lilly’s adaptive Phase II/III study BRAVE-AA1. In March 2021, we and Lilly announced positive results from BRAVE-AA2, the Phase III trial evaluating the efficacy and safety of once-daily baricitinib in adults with severe alopecia areata. In April 2021, we and Lilly announced positive results from the Phase III portion of BRAVE-AA1. In September 2021, we and Lilly announced detailed results from BRAVE-AA1 and BRAVE-AA2 at the European Academy of Dermatology and Venereology Congress (EADV). The two studies showed statistically significant improvement in scalp hair regrowth across both baricitinib dosing groups when compared to placebo. In March 2022, we and Lilly announced positive 52 week results from BRAVE-AA1 and BRAVE-AA2 at the American Academy of Dermatology (AAD) annual meeting showing 40% of adults saw at least 80% scalp coverage. In June 2022, the FDA approved 2mg, and 4mg doses of OLUMIANT for the treatment of adults with severe alopecia areata, becoming the first and only systemic treatment in the indication. In June 2022, OLUMIANT was approved as a treatment for alopecia areata in Europe and Japan.</w:t>
      </w:r>
    </w:p>
    <w:p>
      <w:pPr>
        <w:spacing w:after="0" w:line="372"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i w:val="1"/>
          <w:iCs w:val="1"/>
          <w:color w:val="auto"/>
        </w:rPr>
        <w:t xml:space="preserve">Systemic Lupus Erythematosus. </w:t>
      </w:r>
      <w:r>
        <w:rPr>
          <w:rFonts w:ascii="Arial" w:cs="Arial" w:eastAsia="Arial" w:hAnsi="Arial"/>
          <w:sz w:val="18"/>
          <w:szCs w:val="18"/>
          <w:color w:val="auto"/>
        </w:rPr>
        <w:t>Systemic lupus erythematosus (SLE) is a chronic disease that causes inflammation. In addition to affecting the skin</w:t>
      </w:r>
      <w:r>
        <w:rPr>
          <w:rFonts w:ascii="Arial" w:cs="Arial" w:eastAsia="Arial" w:hAnsi="Arial"/>
          <w:sz w:val="18"/>
          <w:szCs w:val="18"/>
          <w:i w:val="1"/>
          <w:iCs w:val="1"/>
          <w:color w:val="auto"/>
        </w:rPr>
        <w:t xml:space="preserve"> </w:t>
      </w:r>
      <w:r>
        <w:rPr>
          <w:rFonts w:ascii="Arial" w:cs="Arial" w:eastAsia="Arial" w:hAnsi="Arial"/>
          <w:sz w:val="18"/>
          <w:szCs w:val="18"/>
          <w:color w:val="auto"/>
        </w:rPr>
        <w:t>and joints, it can affect other organs in the body such as the kidneys, the tissue lining the lungs and heart, and the brain. Lilly has conducted a Phase II trial to evaluate the safety and efficacy of baricitinib in patients with SLE. Baricitinib’s activity profile suggests that it inhibits cytokines implicated in SLE such as type I interferon (IFN), type II IFN-γ, IL-6, and IL-23 as well as other cytokines that may have a role in SLE, including granulocyte macrophage colony stimulating factor (GM-CSF) and IL-12.</w:t>
      </w:r>
    </w:p>
    <w:p>
      <w:pPr>
        <w:spacing w:after="0" w:line="194"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In January 2022, Lilly announced the discontinuation of the Phase III development program for baricitinib in SLE based on top-line efficacy results from two pivotal Phase III trials (SLE-BRAVE-I and –II). The primary endpoint of SRI-4 response was reached in SLE-BRAVE-I but was not reached in SLE-BRAVE-II and key secondary endpoints were not met in either study.</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303" w:lineRule="auto"/>
        <w:rPr>
          <w:sz w:val="20"/>
          <w:szCs w:val="20"/>
          <w:color w:val="auto"/>
        </w:rPr>
      </w:pPr>
      <w:r>
        <w:rPr>
          <w:rFonts w:ascii="Arial" w:cs="Arial" w:eastAsia="Arial" w:hAnsi="Arial"/>
          <w:sz w:val="15"/>
          <w:szCs w:val="15"/>
          <w:i w:val="1"/>
          <w:iCs w:val="1"/>
          <w:color w:val="auto"/>
        </w:rPr>
        <w:t xml:space="preserve">COVID-19. </w:t>
      </w:r>
      <w:r>
        <w:rPr>
          <w:rFonts w:ascii="Arial" w:cs="Arial" w:eastAsia="Arial" w:hAnsi="Arial"/>
          <w:sz w:val="15"/>
          <w:szCs w:val="15"/>
          <w:color w:val="auto"/>
        </w:rPr>
        <w:t>In May 2020, we amended our agreement with Lilly to enable Lilly to commercialize baricitinib for the treatment of COVID-19. In</w:t>
      </w:r>
      <w:r>
        <w:rPr>
          <w:rFonts w:ascii="Arial" w:cs="Arial" w:eastAsia="Arial" w:hAnsi="Arial"/>
          <w:sz w:val="15"/>
          <w:szCs w:val="15"/>
          <w:i w:val="1"/>
          <w:iCs w:val="1"/>
          <w:color w:val="auto"/>
        </w:rPr>
        <w:t xml:space="preserve"> </w:t>
      </w:r>
      <w:r>
        <w:rPr>
          <w:rFonts w:ascii="Arial" w:cs="Arial" w:eastAsia="Arial" w:hAnsi="Arial"/>
          <w:sz w:val="15"/>
          <w:szCs w:val="15"/>
          <w:color w:val="auto"/>
        </w:rPr>
        <w:t>November 2020, we and Lilly announced that the FDA issued an Emergency Use Authorization (EUA) for the distribution and emergency use of baricitinib to be used in combination with remdesivir in hospitalized adult and pediatric patients two years of age or older with suspected or laboratory confirmed COVID-19 who require supplemental oxygen, invasive mechanical ventilation, or extracorporeal membrane oxygenation. In December 2020, we and Lilly announced that data from ACTT-2 supportive of the EUA were published in the New England Journal of Medicine. In July 2021, we and Lilly announced that the FDA broadened the EUA for baricitinib to allow for treatment with or without remdesivir. The EUA now provides for the use of baricitinib for treatment of COVID-19 in hospitalized adults and pediatric patients two years of age or older requiring supplemental oxygen, non-invasive or invasive mechanical ventilation or extracorporeal membrane oxygenation (ECMO). In June 2022, we and Lilly announced the FDA approved baricitinib as OLUMIANT for the treatment of COVID-19 in hospitalized adults requiring supplemental oxygen, non-invasive or invasive mechanical ventilation or ECMO.</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Capmatinib</w:t>
      </w:r>
    </w:p>
    <w:p>
      <w:pPr>
        <w:spacing w:after="0" w:line="217" w:lineRule="exact"/>
        <w:rPr>
          <w:sz w:val="20"/>
          <w:szCs w:val="20"/>
          <w:color w:val="auto"/>
        </w:rPr>
      </w:pPr>
    </w:p>
    <w:p>
      <w:pPr>
        <w:jc w:val="both"/>
        <w:ind w:firstLine="636"/>
        <w:spacing w:after="0" w:line="318" w:lineRule="auto"/>
        <w:rPr>
          <w:sz w:val="20"/>
          <w:szCs w:val="20"/>
          <w:color w:val="auto"/>
        </w:rPr>
      </w:pPr>
      <w:r>
        <w:rPr>
          <w:rFonts w:ascii="Arial" w:cs="Arial" w:eastAsia="Arial" w:hAnsi="Arial"/>
          <w:sz w:val="15"/>
          <w:szCs w:val="15"/>
          <w:color w:val="auto"/>
        </w:rPr>
        <w:t>Capmatinib is a potent and highly selective MET inhibitor. The investigational compound has demonstrated inhibitory activity in cell-based biochemical and functional assays that measure MET signaling and MET dependent cell proliferation, survival and migration. Under our agreement, Novartis received worldwide exclusive development and commercialization rights to capmatinib and certain back-up compounds in all indications. Capmatinib is being evaluated in patients with hepatocellular carcinoma, non-small cell lung cancer and other solid tumors, and may have potential utility as a combination agent.</w:t>
      </w:r>
    </w:p>
    <w:p>
      <w:pPr>
        <w:spacing w:after="0" w:line="146" w:lineRule="exact"/>
        <w:rPr>
          <w:sz w:val="20"/>
          <w:szCs w:val="20"/>
          <w:color w:val="auto"/>
        </w:rPr>
      </w:pPr>
    </w:p>
    <w:p>
      <w:pPr>
        <w:jc w:val="both"/>
        <w:ind w:firstLine="636"/>
        <w:spacing w:after="0" w:line="277" w:lineRule="auto"/>
        <w:rPr>
          <w:sz w:val="20"/>
          <w:szCs w:val="20"/>
          <w:color w:val="auto"/>
        </w:rPr>
      </w:pPr>
      <w:r>
        <w:rPr>
          <w:rFonts w:ascii="Arial" w:cs="Arial" w:eastAsia="Arial" w:hAnsi="Arial"/>
          <w:sz w:val="17"/>
          <w:szCs w:val="17"/>
          <w:color w:val="auto"/>
        </w:rPr>
        <w:t>MET is a clinically validated receptor kinase cancer target. Abnormal MET activation in cancer correlates with poor prognosis. Dysregulation of the MET pathway triggers tumor growth, formation of new blood vessels that supply the tumor with nutrients, and causes cancer to spread to other organs. Dysregulation of the MET pathway is seen in many types of cancers, including lung, kidney, liver, stomach, breast and brain.</w:t>
      </w:r>
    </w:p>
    <w:p>
      <w:pPr>
        <w:spacing w:after="0" w:line="171"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In May 2020, we and Novartis announced the FDA approval of capmatinib as TABRECTA for the treatment of adult patients with metastatic NSCLC whose tumors have a mutation that leads to MET exon 14 skipping (METex14) as detected by an FDA-approved test. TABRECTA is the first and only treatment approved to specifically target NSCLC with this driver mutation and is approved for first-line and previously treated patients regardless of prior treatment type.</w:t>
      </w:r>
    </w:p>
    <w:p>
      <w:pPr>
        <w:spacing w:after="0" w:line="191" w:lineRule="exact"/>
        <w:rPr>
          <w:sz w:val="20"/>
          <w:szCs w:val="20"/>
          <w:color w:val="auto"/>
        </w:rPr>
      </w:pPr>
    </w:p>
    <w:p>
      <w:pPr>
        <w:jc w:val="both"/>
        <w:ind w:firstLine="636"/>
        <w:spacing w:after="0" w:line="267" w:lineRule="auto"/>
        <w:rPr>
          <w:sz w:val="20"/>
          <w:szCs w:val="20"/>
          <w:color w:val="auto"/>
        </w:rPr>
      </w:pPr>
      <w:r>
        <w:rPr>
          <w:rFonts w:ascii="Arial" w:cs="Arial" w:eastAsia="Arial" w:hAnsi="Arial"/>
          <w:sz w:val="17"/>
          <w:szCs w:val="17"/>
          <w:color w:val="auto"/>
        </w:rPr>
        <w:t>The FDA approval of TABRECTA was based on results from the pivotal GEOMETRY mono-1 study. In the METex14 population (n=97), the confirmed overall response rate was 68% and 41% among treatment-naive (n=28) and previously treated patients (n=69), respectively, based on the Blinded Independent Review Committee (BIRC) assessment per RECIST v1.1. In patients taking TABRECTA, the study also demonstrated a median duration of response of 12.6 months in treatment-naive patients (19 responders) and 9.7 months in previously treated patients (28 responders). The most common treatment-related adverse events (AEs) (incidence ≥20%) are peripheral edema, nausea, fatigue, vomiting, dyspnea, and decreased appetite. In September 2020, we and Novartis announced that GEOMETRY mono-1 results were published in The New England Journal of Medicine.</w:t>
      </w:r>
    </w:p>
    <w:p>
      <w:pPr>
        <w:spacing w:after="0" w:line="179"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In June 2020, we and Novartis announced that the MHLW approved TABRECTA for METex14 mutation-positive advanced and/or recurrent unresectable NSCLC. In April 2022, we and Novartis announced a positive opinion from the CHMP based on data from the Phase II GEOMETRY mono-1 study showing an overall response rate (ORR) of 51.6% in a cohort evaluating second-line patients only and 44% in all previously-treated patients with advanced non-small cell lung cancer (NSCLC) harboring alterations leading to MET exon 14 skipping.</w:t>
      </w:r>
    </w:p>
    <w:p>
      <w:pPr>
        <w:spacing w:after="0" w:line="191" w:lineRule="exact"/>
        <w:rPr>
          <w:sz w:val="20"/>
          <w:szCs w:val="20"/>
          <w:color w:val="auto"/>
        </w:rPr>
      </w:pPr>
    </w:p>
    <w:p>
      <w:pPr>
        <w:jc w:val="both"/>
        <w:ind w:firstLine="636"/>
        <w:spacing w:after="0" w:line="277" w:lineRule="auto"/>
        <w:rPr>
          <w:sz w:val="20"/>
          <w:szCs w:val="20"/>
          <w:color w:val="auto"/>
        </w:rPr>
      </w:pPr>
      <w:r>
        <w:rPr>
          <w:rFonts w:ascii="Arial" w:cs="Arial" w:eastAsia="Arial" w:hAnsi="Arial"/>
          <w:sz w:val="17"/>
          <w:szCs w:val="17"/>
          <w:color w:val="auto"/>
        </w:rPr>
        <w:t>In June 2022, we and Novartis announced the European Commission approval of capmatinib as TABRECTA as monotherapy treatment of adults with advanced non-small cell lung cancer (NSCLC) harboring alterations leading to mesenchymal-epithelial-transition factor gene (MET) exon 14 (METex14) skipping who require systemic therapy following prior treatment with immunotherapy and/or platinum-based chemotherapy.</w:t>
      </w:r>
    </w:p>
    <w:p>
      <w:pPr>
        <w:spacing w:after="0" w:line="171"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NSCLC is the most common type of lung cancer, impacting more than 2 million people per year globally. Approximately 3-4 percent of all patients with NSCLC have tumors with a mutation that leads to MET exon 14 skipping. Though rare, this mutation is an indicator of especially poor prognosis and poor responses to standard therapies, including immunotherapy.</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Ruxolitinib</w:t>
      </w:r>
    </w:p>
    <w:p>
      <w:pPr>
        <w:spacing w:after="0" w:line="217"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i w:val="1"/>
          <w:iCs w:val="1"/>
          <w:color w:val="auto"/>
        </w:rPr>
        <w:t xml:space="preserve">Graft-versus-host disease. </w:t>
      </w:r>
      <w:r>
        <w:rPr>
          <w:rFonts w:ascii="Arial" w:cs="Arial" w:eastAsia="Arial" w:hAnsi="Arial"/>
          <w:sz w:val="18"/>
          <w:szCs w:val="18"/>
          <w:color w:val="auto"/>
        </w:rPr>
        <w:t>In March 2022, we and Novartis announced a positive opinion from the CHMP for ruxolitinib in acute and chronic</w:t>
      </w:r>
      <w:r>
        <w:rPr>
          <w:rFonts w:ascii="Arial" w:cs="Arial" w:eastAsia="Arial" w:hAnsi="Arial"/>
          <w:sz w:val="18"/>
          <w:szCs w:val="18"/>
          <w:i w:val="1"/>
          <w:iCs w:val="1"/>
          <w:color w:val="auto"/>
        </w:rPr>
        <w:t xml:space="preserve"> </w:t>
      </w:r>
      <w:r>
        <w:rPr>
          <w:rFonts w:ascii="Arial" w:cs="Arial" w:eastAsia="Arial" w:hAnsi="Arial"/>
          <w:sz w:val="18"/>
          <w:szCs w:val="18"/>
          <w:color w:val="auto"/>
        </w:rPr>
        <w:t>GVHD, based on data from the Phase III REACH2 and REACH3 trials. GVHD is a life-threatening complication of stem cell transplants, with no established standard of care in Europe for patients who do not adequately respond to first-line steroid treatment. In May 2022, we and Novartis announced the EC approval of ruxolitinib as JAKAVI for the treatment of acute or chronic GVHD in patients aged 12 years and older who have inadequate response to corticosteroids or other systemic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147955</wp:posOffset>
            </wp:positionV>
            <wp:extent cx="71348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320" w:type="dxa"/>
            <w:vAlign w:val="bottom"/>
            <w:tcBorders>
              <w:bottom w:val="single" w:sz="8" w:color="auto"/>
            </w:tcBorders>
          </w:tcPr>
          <w:p>
            <w:pPr>
              <w:spacing w:after="0"/>
              <w:rPr>
                <w:sz w:val="20"/>
                <w:szCs w:val="20"/>
                <w:color w:val="auto"/>
              </w:rPr>
            </w:pPr>
          </w:p>
        </w:tc>
        <w:tc>
          <w:tcPr>
            <w:tcW w:w="89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Indication and status</w:t>
            </w:r>
          </w:p>
        </w:tc>
      </w:tr>
      <w:tr>
        <w:trPr>
          <w:trHeight w:val="226"/>
        </w:trPr>
        <w:tc>
          <w:tcPr>
            <w:tcW w:w="232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b w:val="1"/>
                <w:bCs w:val="1"/>
                <w:color w:val="auto"/>
              </w:rPr>
              <w:t>baricitinib (JAK1/JAK2)</w:t>
            </w:r>
            <w:r>
              <w:rPr>
                <w:rFonts w:ascii="Arial" w:cs="Arial" w:eastAsia="Arial" w:hAnsi="Arial"/>
                <w:sz w:val="22"/>
                <w:szCs w:val="22"/>
                <w:b w:val="1"/>
                <w:bCs w:val="1"/>
                <w:color w:val="auto"/>
                <w:vertAlign w:val="superscript"/>
              </w:rPr>
              <w:t>1</w:t>
            </w:r>
          </w:p>
        </w:tc>
        <w:tc>
          <w:tcPr>
            <w:tcW w:w="8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Atopic dermatitis: approved in Europe and Japan</w:t>
            </w:r>
          </w:p>
        </w:tc>
      </w:tr>
      <w:tr>
        <w:trPr>
          <w:trHeight w:val="231"/>
        </w:trPr>
        <w:tc>
          <w:tcPr>
            <w:tcW w:w="2320" w:type="dxa"/>
            <w:vAlign w:val="bottom"/>
            <w:tcBorders>
              <w:bottom w:val="single" w:sz="8" w:color="CCEEFF"/>
            </w:tcBorders>
            <w:shd w:val="clear" w:color="auto" w:fill="CCEEFF"/>
          </w:tcPr>
          <w:p>
            <w:pPr>
              <w:spacing w:after="0"/>
              <w:rPr>
                <w:sz w:val="20"/>
                <w:szCs w:val="20"/>
                <w:color w:val="auto"/>
              </w:rPr>
            </w:pPr>
          </w:p>
        </w:tc>
        <w:tc>
          <w:tcPr>
            <w:tcW w:w="89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Severe alopecia areata: approved in the United States, Europe and Japan</w:t>
            </w:r>
          </w:p>
        </w:tc>
      </w:tr>
      <w:tr>
        <w:trPr>
          <w:trHeight w:val="265"/>
        </w:trPr>
        <w:tc>
          <w:tcPr>
            <w:tcW w:w="2320" w:type="dxa"/>
            <w:vAlign w:val="bottom"/>
          </w:tcPr>
          <w:p>
            <w:pPr>
              <w:ind w:left="20"/>
              <w:spacing w:after="0"/>
              <w:rPr>
                <w:sz w:val="20"/>
                <w:szCs w:val="20"/>
                <w:color w:val="auto"/>
              </w:rPr>
            </w:pPr>
            <w:r>
              <w:rPr>
                <w:rFonts w:ascii="Arial" w:cs="Arial" w:eastAsia="Arial" w:hAnsi="Arial"/>
                <w:sz w:val="18"/>
                <w:szCs w:val="18"/>
                <w:b w:val="1"/>
                <w:bCs w:val="1"/>
                <w:color w:val="auto"/>
              </w:rPr>
              <w:t>capmatinib (MET)</w:t>
            </w:r>
            <w:r>
              <w:rPr>
                <w:rFonts w:ascii="Arial" w:cs="Arial" w:eastAsia="Arial" w:hAnsi="Arial"/>
                <w:sz w:val="22"/>
                <w:szCs w:val="22"/>
                <w:b w:val="1"/>
                <w:bCs w:val="1"/>
                <w:color w:val="auto"/>
                <w:vertAlign w:val="superscript"/>
              </w:rPr>
              <w:t>2</w:t>
            </w:r>
          </w:p>
        </w:tc>
        <w:tc>
          <w:tcPr>
            <w:tcW w:w="8920" w:type="dxa"/>
            <w:vAlign w:val="bottom"/>
          </w:tcPr>
          <w:p>
            <w:pPr>
              <w:ind w:left="320"/>
              <w:spacing w:after="0"/>
              <w:rPr>
                <w:sz w:val="20"/>
                <w:szCs w:val="20"/>
                <w:color w:val="auto"/>
              </w:rPr>
            </w:pPr>
            <w:r>
              <w:rPr>
                <w:rFonts w:ascii="Arial" w:cs="Arial" w:eastAsia="Arial" w:hAnsi="Arial"/>
                <w:sz w:val="18"/>
                <w:szCs w:val="18"/>
                <w:color w:val="auto"/>
              </w:rPr>
              <w:t>NSCLC (with MET exon 14 skipping mutations): approved in the United States, Europe and Japan</w:t>
            </w:r>
          </w:p>
        </w:tc>
      </w:tr>
      <w:tr>
        <w:trPr>
          <w:trHeight w:val="265"/>
        </w:trPr>
        <w:tc>
          <w:tcPr>
            <w:tcW w:w="2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ruxolitinib (JAK1/JAK2)</w:t>
            </w:r>
            <w:r>
              <w:rPr>
                <w:rFonts w:ascii="Arial" w:cs="Arial" w:eastAsia="Arial" w:hAnsi="Arial"/>
                <w:sz w:val="22"/>
                <w:szCs w:val="22"/>
                <w:b w:val="1"/>
                <w:bCs w:val="1"/>
                <w:color w:val="auto"/>
                <w:vertAlign w:val="superscript"/>
              </w:rPr>
              <w:t>3</w:t>
            </w:r>
          </w:p>
        </w:tc>
        <w:tc>
          <w:tcPr>
            <w:tcW w:w="89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Acute and chronic GVHD: approved in Europe; J-NDA under review</w:t>
            </w:r>
          </w:p>
        </w:tc>
      </w:tr>
    </w:tbl>
    <w:p>
      <w:pPr>
        <w:spacing w:after="0" w:line="74" w:lineRule="exact"/>
        <w:rPr>
          <w:sz w:val="20"/>
          <w:szCs w:val="20"/>
          <w:color w:val="auto"/>
        </w:rPr>
      </w:pPr>
    </w:p>
    <w:p>
      <w:pPr>
        <w:ind w:left="120" w:hanging="114"/>
        <w:spacing w:after="0"/>
        <w:tabs>
          <w:tab w:leader="none" w:pos="120" w:val="left"/>
        </w:tabs>
        <w:numPr>
          <w:ilvl w:val="0"/>
          <w:numId w:val="14"/>
        </w:numPr>
        <w:rPr>
          <w:rFonts w:ascii="Arial" w:cs="Arial" w:eastAsia="Arial" w:hAnsi="Arial"/>
          <w:sz w:val="20"/>
          <w:szCs w:val="20"/>
          <w:color w:val="auto"/>
          <w:vertAlign w:val="superscript"/>
        </w:rPr>
      </w:pPr>
      <w:r>
        <w:rPr>
          <w:rFonts w:ascii="Arial" w:cs="Arial" w:eastAsia="Arial" w:hAnsi="Arial"/>
          <w:sz w:val="15"/>
          <w:szCs w:val="15"/>
          <w:color w:val="auto"/>
        </w:rPr>
        <w:t>baricitinib licensed to Lilly.</w:t>
      </w:r>
    </w:p>
    <w:p>
      <w:pPr>
        <w:spacing w:after="0" w:line="2" w:lineRule="exact"/>
        <w:rPr>
          <w:rFonts w:ascii="Arial" w:cs="Arial" w:eastAsia="Arial" w:hAnsi="Arial"/>
          <w:sz w:val="20"/>
          <w:szCs w:val="20"/>
          <w:color w:val="auto"/>
          <w:vertAlign w:val="superscript"/>
        </w:rPr>
      </w:pPr>
    </w:p>
    <w:p>
      <w:pPr>
        <w:ind w:left="140" w:hanging="134"/>
        <w:spacing w:after="0" w:line="189" w:lineRule="auto"/>
        <w:tabs>
          <w:tab w:leader="none" w:pos="14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capmatinib licensed to Novartis.</w:t>
      </w:r>
    </w:p>
    <w:p>
      <w:pPr>
        <w:spacing w:after="0" w:line="3" w:lineRule="exact"/>
        <w:rPr>
          <w:rFonts w:ascii="Arial" w:cs="Arial" w:eastAsia="Arial" w:hAnsi="Arial"/>
          <w:sz w:val="23"/>
          <w:szCs w:val="23"/>
          <w:color w:val="auto"/>
          <w:vertAlign w:val="superscript"/>
        </w:rPr>
      </w:pPr>
    </w:p>
    <w:p>
      <w:pPr>
        <w:ind w:left="140" w:hanging="134"/>
        <w:spacing w:after="0" w:line="189" w:lineRule="auto"/>
        <w:tabs>
          <w:tab w:leader="none" w:pos="14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ruxolitinib licensed to Novartis ex-US for use in hematology and oncology excluding topical administration.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 and Business Relationships</w:t>
      </w:r>
    </w:p>
    <w:p>
      <w:pPr>
        <w:spacing w:after="0" w:line="223"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We establish business relationships, including collaborative arrangements with other companies and medical research institutions to assist in the clinical development and/or commercialization of certain of our drugs and drug candidates and to provide support for our research programs. We also evaluate opportunities for acquiring products or rights to products and technologies that are complementary to our business from other companies and medical research institutions.</w:t>
      </w:r>
    </w:p>
    <w:p>
      <w:pPr>
        <w:spacing w:after="0" w:line="191"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Below is a brief description of our significant business relationships and collaborations and related license agreements that expand our pipeline and provide us with certain rights to existing and potential new products and technologies. Additional information regarding our collaboration agreements, including their financial and accounting impact on our business and results of operations, can be found in Note 7 of notes to the condensed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Out-License Agreements</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Novartis</w:t>
      </w:r>
    </w:p>
    <w:p>
      <w:pPr>
        <w:spacing w:after="0" w:line="217" w:lineRule="exact"/>
        <w:rPr>
          <w:sz w:val="20"/>
          <w:szCs w:val="20"/>
          <w:color w:val="auto"/>
        </w:rPr>
      </w:pPr>
    </w:p>
    <w:p>
      <w:pPr>
        <w:jc w:val="both"/>
        <w:ind w:firstLine="636"/>
        <w:spacing w:after="0" w:line="306" w:lineRule="auto"/>
        <w:rPr>
          <w:sz w:val="20"/>
          <w:szCs w:val="20"/>
          <w:color w:val="auto"/>
        </w:rPr>
      </w:pPr>
      <w:r>
        <w:rPr>
          <w:rFonts w:ascii="Arial" w:cs="Arial" w:eastAsia="Arial" w:hAnsi="Arial"/>
          <w:sz w:val="15"/>
          <w:szCs w:val="15"/>
          <w:color w:val="auto"/>
        </w:rPr>
        <w:t>In November 2009, we entered into a Collaboration and License Agreement with Novartis. Under the terms of the agreement, Novartis received exclusive development and commercialization rights outside of the United States to ruxolitinib and certain back 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 up compounds in all indications. We retained options to co-develop and to co-promote capmatinib in the United States. In April 2016, we amended this agreement to provide that Novartis has exclusive research, development and commercialization rights outside of the United States to ruxolitinib (excluding topical formulations) in the GVHD field.</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Lilly</w:t>
      </w:r>
    </w:p>
    <w:p>
      <w:pPr>
        <w:spacing w:after="0" w:line="217"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In December 2009, we entered into a License, Development and Commercialization Agreement with Lilly. Under the terms of the agreement, Lilly received exclusive worldwide development and commercialization rights to baricitinib and certain back up compounds for inflammatory and autoimmune diseases. In March 2016, we entered into an amendment to the agreement with Lilly that allows us to engage in the development and commercialization of ruxolitinib in the GVHD field. In May 2020, we amended our agreement with Lilly to enable Lilly to commercialize baricitinib for the treatment of COVID-19.</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Innovent</w:t>
      </w:r>
    </w:p>
    <w:p>
      <w:pPr>
        <w:spacing w:after="0" w:line="217"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In December 2018, we entered into a Research Collaboration and Licensing Agreement with Innovent Biologics, Inc. Under the terms of this agreement, Innovent received exclusive development and commercialization rights to pemigatinib and our clinical-stage product candidate parsaclisib in hematology and oncology indications in mainland China, Hong Kong, Macau and Taiwan.</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InnoCare</w:t>
      </w:r>
    </w:p>
    <w:p>
      <w:pPr>
        <w:spacing w:after="0" w:line="217"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In August 2021, we entered into a Collaboration and License Agreement with a subsidiary of InnoCare Pharma Limited. Under the terms of this agreement, InnoCare’s subsidiary received development and exclusive commercialization rights to tafasitamab in hematology and oncology in mainland China, Hong Kong, Macau and Taiwan.</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Maruho</w:t>
      </w:r>
    </w:p>
    <w:p>
      <w:pPr>
        <w:spacing w:after="0" w:line="217"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In April 2022, we entered into a Strategic Alliance Agreement with Maruho Co., Ltd. Under the terms of this agreement, Maruho received development, manufacturing and exclusive commercialization rights to ruxolitinib cream, and other potential future topical formulations of ruxolitinib, in autoimmune and inflammatory dermatologic diseases in Japan.</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CMS Aesthetics Limited</w:t>
      </w:r>
    </w:p>
    <w:p>
      <w:pPr>
        <w:spacing w:after="0" w:line="217"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7"/>
          <w:szCs w:val="17"/>
          <w:color w:val="auto"/>
        </w:rPr>
        <w:t>In December 2022, we entered into a Collaboration and License Agreement with CMS Aesthetics Limited, a subsidiary of China Medical System Holdings Limited. Under the terms of the agreement, CMS received an exclusive license to develop and commercialize, and a non-exclusive license to manufacture, ruxolitinib cream, and potentially other future topical formulations of ruxolitinib, in autoimmune and inflammatory dermatologic diseases, including vitiligo and atopic dermatitis, for patients in mainland China, Hong Kong, Macau, Taiwan and Southeast Asia.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In-License Agreements</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Agenus</w:t>
      </w:r>
    </w:p>
    <w:p>
      <w:pPr>
        <w:spacing w:after="0" w:line="217"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In January 2015, we entered into a License, Development and Commercialization Agreement with Agenus Inc. and its wholly-owned subsidiary, 4-Antibody AG (now known as Agenus Switzerland Inc.), which we collectively refer to as Agenus. Under this agreement, the parties have agreed to collaborate on the discovery of novel immuno-therapeutics using Agenus’ antibody discovery platforms.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Merus</w:t>
      </w:r>
    </w:p>
    <w:p>
      <w:pPr>
        <w:spacing w:after="0" w:line="217"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In December 2016, we entered into a Collaboration and License Agreement with Merus. Under this agreement, which became effective in January 2017, the parties have agreed to collaborate with respect to the research, discovery and development of bispecific antibodies utilizing Merus’ technology platform. The collaboration encompasses up to eleven independent programs.</w:t>
      </w:r>
    </w:p>
    <w:p>
      <w:pPr>
        <w:spacing w:after="0" w:line="188"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In January 2022, we decided to opt-out of the continued development of MCLA-145, a bispecific antibody targeting PD-L1 and CD137. We continue to collaborate with Merus and leverage the Merus platform to develop a pipeline of novel agents, as we continue to hold worldwide exclusive development and commercialization rights to up to ten additional programs.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MacroGenics</w:t>
      </w:r>
    </w:p>
    <w:p>
      <w:pPr>
        <w:spacing w:after="0" w:line="217" w:lineRule="exact"/>
        <w:rPr>
          <w:sz w:val="20"/>
          <w:szCs w:val="20"/>
          <w:color w:val="auto"/>
        </w:rPr>
      </w:pPr>
    </w:p>
    <w:p>
      <w:pPr>
        <w:jc w:val="both"/>
        <w:ind w:firstLine="636"/>
        <w:spacing w:after="0" w:line="330" w:lineRule="auto"/>
        <w:rPr>
          <w:sz w:val="20"/>
          <w:szCs w:val="20"/>
          <w:color w:val="auto"/>
        </w:rPr>
      </w:pPr>
      <w:r>
        <w:rPr>
          <w:rFonts w:ascii="Arial" w:cs="Arial" w:eastAsia="Arial" w:hAnsi="Arial"/>
          <w:sz w:val="15"/>
          <w:szCs w:val="15"/>
          <w:color w:val="auto"/>
        </w:rPr>
        <w:t>In October 2017, we entered into a Global Collaboration and License Agreement with MacroGenics. Under this agreement, we received exclusive development and commercialization rights worldwide to MacroGenics’ INCMGA0012, an investigational monoclonal antibody that inhibits PD-1. MacroGenics has retained the right to develop and commercialize, at its cost and expense, its pipeline assets in combination with INCMGA0012.</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Syros</w:t>
      </w:r>
    </w:p>
    <w:p>
      <w:pPr>
        <w:spacing w:after="0" w:line="217" w:lineRule="exact"/>
        <w:rPr>
          <w:sz w:val="20"/>
          <w:szCs w:val="20"/>
          <w:color w:val="auto"/>
        </w:rPr>
      </w:pPr>
    </w:p>
    <w:p>
      <w:pPr>
        <w:jc w:val="both"/>
        <w:ind w:firstLine="636"/>
        <w:spacing w:after="0" w:line="318" w:lineRule="auto"/>
        <w:rPr>
          <w:sz w:val="20"/>
          <w:szCs w:val="20"/>
          <w:color w:val="auto"/>
        </w:rPr>
      </w:pPr>
      <w:r>
        <w:rPr>
          <w:rFonts w:ascii="Arial" w:cs="Arial" w:eastAsia="Arial" w:hAnsi="Arial"/>
          <w:sz w:val="15"/>
          <w:szCs w:val="15"/>
          <w:color w:val="auto"/>
        </w:rPr>
        <w:t>In January 2018, we entered into a Target Discovery, Research Collaboration and Option Agreement with Syros Pharmaceuticals, Inc. Under this agreement, Syros will use its proprietary gene control platform to identify novel therapeutic targets with a focus in myeloproliferative neoplasms and we have received options to obtain exclusive worldwide rights to intellectual property resulting from the collaboration for up to seven validated targets. We will have exclusive worldwide rights to develop and commercialize any therapies under the collaboration that modulate those validated targets.</w:t>
      </w:r>
    </w:p>
    <w:p>
      <w:pPr>
        <w:spacing w:after="0" w:line="14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MorphoSys</w:t>
      </w:r>
    </w:p>
    <w:p>
      <w:pPr>
        <w:spacing w:after="0" w:line="217"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7"/>
          <w:szCs w:val="17"/>
          <w:color w:val="auto"/>
        </w:rPr>
        <w:t>In January 2020, we entered into a Collaboration and License Agreement with MorphoSys AG and MorphoSys US Inc., a wholly-owned subsidiary of MorphoSys AG, covering the worldwide development and commercialization of MOR208 (tafasitamab), an investigational Fc engineered monoclonal antibody directed against the target molecule CD19. Under the terms of this agreement, we received exclusive commercialization rights outside of the United States, and MorphoSys and we have co-commercialization rights in the United States, with respect to tafasitamab.</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Syndax</w:t>
      </w:r>
    </w:p>
    <w:p>
      <w:pPr>
        <w:spacing w:after="0" w:line="217"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In September 2021, we entered into a Collaboration and License Agreement with Syndax covering the worldwide development and commercialization of SNDX-6352 (axatilimab), Syndax’s anti-CSF-1R monoclonal antibody. In March 2021, axatilimab was granted Orphan Drug Designation by the FDA for the treatment of chronic GVHD and a second designation in April 2021 for treatment of idiopathic pulmonary fibrosis. Under the terms of this agreement, we received exclusive commercialization rights outside of the United States, and Syndax has co-commercialization rights in the United States with respect to axatilimab.</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Estimates</w:t>
      </w:r>
    </w:p>
    <w:p>
      <w:pPr>
        <w:spacing w:after="0" w:line="223"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The preparation of financial statements requires us to make estimates, assumptions and judgments that affect the reported amounts of assets, liabilities, revenues and expenses, and related disclosures of contingent assets and liabilities. On an ongoing basis, we evaluate our estimates. We base our estimates on historical experience and various other assumptions that we believe to be reasonable under the circumstances, the results of which form our basis for making judgments about the carrying values of assets and liabilities that are not readily apparent from other sources. Actual results may differ from those estimates under different assumptions or conditions.</w:t>
      </w:r>
    </w:p>
    <w:p>
      <w:pPr>
        <w:spacing w:after="0" w:line="194"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For a discussion of our critical accounting policies, refer to “Item 7. Management’s Discussion and Analysis of Financial Condition and Results of Operations” in our 2022 Form 10-K. There have been no significant changes to our critical accounting policies or estimates during the six months ended June 30, 2023.</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3"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There were no new accounting pronouncements issued nor adopted since our filing of the Annual Report on Form 10-K for the year ended December 31, 2022, which could have a significant effect on our condensed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3"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We recorded net income of $203.5 million and basic net income per share of $0.91 and diluted net income per share of $0.90 for the three months ended June 30, 2023, as compared to net income of $161.4 million and basic net income per share of $0.73 and diluted net income per share of $0.72 in the corresponding period in 2022. We recorded net income of $225.3 million and basic net income per share of $1.01 and diluted net income per share of $1.00 for the six months ended June 30, 2023, as compared to net income of $199.4 million and basic net income per share of $0.90 and diluted net income per share of $0.89 in the corresponding period in 2022.</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Revenues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center"/>
              <w:ind w:left="496"/>
              <w:spacing w:after="0"/>
              <w:rPr>
                <w:sz w:val="20"/>
                <w:szCs w:val="20"/>
                <w:color w:val="auto"/>
              </w:rPr>
            </w:pPr>
            <w:r>
              <w:rPr>
                <w:rFonts w:ascii="Arial" w:cs="Arial" w:eastAsia="Arial" w:hAnsi="Arial"/>
                <w:sz w:val="14"/>
                <w:szCs w:val="14"/>
                <w:b w:val="1"/>
                <w:bCs w:val="1"/>
                <w:color w:val="auto"/>
                <w:w w:val="92"/>
              </w:rPr>
              <w:t>Six Months Ended</w:t>
            </w:r>
          </w:p>
        </w:tc>
        <w:tc>
          <w:tcPr>
            <w:tcW w:w="920" w:type="dxa"/>
            <w:vAlign w:val="bottom"/>
          </w:tcPr>
          <w:p>
            <w:pPr>
              <w:spacing w:after="0"/>
              <w:rPr>
                <w:sz w:val="14"/>
                <w:szCs w:val="14"/>
                <w:color w:val="auto"/>
              </w:rPr>
            </w:pPr>
          </w:p>
        </w:tc>
      </w:tr>
      <w:tr>
        <w:trPr>
          <w:trHeight w:val="184"/>
        </w:trPr>
        <w:tc>
          <w:tcPr>
            <w:tcW w:w="5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9"/>
              </w:rPr>
              <w:t>June 30,</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gridSpan w:val="3"/>
          </w:tcPr>
          <w:p>
            <w:pPr>
              <w:jc w:val="center"/>
              <w:ind w:left="476"/>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Pr>
          <w:p>
            <w:pPr>
              <w:spacing w:after="0"/>
              <w:rPr>
                <w:sz w:val="15"/>
                <w:szCs w:val="15"/>
                <w:color w:val="auto"/>
              </w:rPr>
            </w:pPr>
          </w:p>
        </w:tc>
      </w:tr>
      <w:tr>
        <w:trPr>
          <w:trHeight w:val="24"/>
        </w:trPr>
        <w:tc>
          <w:tcPr>
            <w:tcW w:w="50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1"/>
        </w:trPr>
        <w:tc>
          <w:tcPr>
            <w:tcW w:w="50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ind w:right="513"/>
              <w:spacing w:after="0"/>
              <w:rPr>
                <w:sz w:val="20"/>
                <w:szCs w:val="20"/>
                <w:color w:val="auto"/>
              </w:rPr>
            </w:pPr>
            <w:r>
              <w:rPr>
                <w:rFonts w:ascii="Arial" w:cs="Arial" w:eastAsia="Arial" w:hAnsi="Arial"/>
                <w:sz w:val="14"/>
                <w:szCs w:val="14"/>
                <w:b w:val="1"/>
                <w:bCs w:val="1"/>
                <w:color w:val="auto"/>
                <w:w w:val="96"/>
              </w:rPr>
              <w:t>2022</w:t>
            </w:r>
          </w:p>
        </w:tc>
      </w:tr>
      <w:tr>
        <w:trPr>
          <w:trHeight w:val="24"/>
        </w:trPr>
        <w:tc>
          <w:tcPr>
            <w:tcW w:w="50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1"/>
        </w:trPr>
        <w:tc>
          <w:tcPr>
            <w:tcW w:w="5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(in millions)</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gridSpan w:val="3"/>
          </w:tcPr>
          <w:p>
            <w:pPr>
              <w:jc w:val="center"/>
              <w:ind w:left="496"/>
              <w:spacing w:after="0"/>
              <w:rPr>
                <w:sz w:val="20"/>
                <w:szCs w:val="20"/>
                <w:color w:val="auto"/>
              </w:rPr>
            </w:pPr>
            <w:r>
              <w:rPr>
                <w:rFonts w:ascii="Arial" w:cs="Arial" w:eastAsia="Arial" w:hAnsi="Arial"/>
                <w:sz w:val="14"/>
                <w:szCs w:val="14"/>
                <w:b w:val="1"/>
                <w:bCs w:val="1"/>
                <w:color w:val="auto"/>
                <w:w w:val="91"/>
              </w:rPr>
              <w:t>(in millions)</w:t>
            </w:r>
          </w:p>
        </w:tc>
        <w:tc>
          <w:tcPr>
            <w:tcW w:w="920" w:type="dxa"/>
            <w:vAlign w:val="bottom"/>
          </w:tcPr>
          <w:p>
            <w:pPr>
              <w:spacing w:after="0"/>
              <w:rPr>
                <w:sz w:val="15"/>
                <w:szCs w:val="15"/>
                <w:color w:val="auto"/>
              </w:rPr>
            </w:pPr>
          </w:p>
        </w:tc>
      </w:tr>
      <w:tr>
        <w:trPr>
          <w:trHeight w:val="38"/>
        </w:trPr>
        <w:tc>
          <w:tcPr>
            <w:tcW w:w="50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52"/>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JAKAFI revenues, net</w:t>
            </w:r>
          </w:p>
        </w:tc>
        <w:tc>
          <w:tcPr>
            <w:tcW w:w="880" w:type="dxa"/>
            <w:vAlign w:val="bottom"/>
            <w:shd w:val="clear" w:color="auto" w:fill="CCEEFF"/>
          </w:tcPr>
          <w:p>
            <w:pPr>
              <w:jc w:val="right"/>
              <w:ind w:right="698"/>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682.4</w:t>
            </w:r>
          </w:p>
        </w:tc>
        <w:tc>
          <w:tcPr>
            <w:tcW w:w="10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597.7</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1,262.4</w:t>
            </w:r>
          </w:p>
        </w:tc>
        <w:tc>
          <w:tcPr>
            <w:tcW w:w="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1,142.1</w:t>
            </w:r>
          </w:p>
        </w:tc>
      </w:tr>
      <w:tr>
        <w:trPr>
          <w:trHeight w:val="245"/>
        </w:trPr>
        <w:tc>
          <w:tcPr>
            <w:tcW w:w="5040" w:type="dxa"/>
            <w:vAlign w:val="bottom"/>
          </w:tcPr>
          <w:p>
            <w:pPr>
              <w:ind w:left="20"/>
              <w:spacing w:after="0"/>
              <w:rPr>
                <w:sz w:val="20"/>
                <w:szCs w:val="20"/>
                <w:color w:val="auto"/>
              </w:rPr>
            </w:pPr>
            <w:r>
              <w:rPr>
                <w:rFonts w:ascii="Arial" w:cs="Arial" w:eastAsia="Arial" w:hAnsi="Arial"/>
                <w:sz w:val="18"/>
                <w:szCs w:val="18"/>
                <w:color w:val="auto"/>
              </w:rPr>
              <w:t>OPZELURA revenues, net</w:t>
            </w:r>
          </w:p>
        </w:tc>
        <w:tc>
          <w:tcPr>
            <w:tcW w:w="8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29.3</w:t>
            </w:r>
          </w:p>
        </w:tc>
      </w:tr>
      <w:tr>
        <w:trPr>
          <w:trHeight w:val="25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ICLUSIG revenues, net</w:t>
            </w:r>
          </w:p>
        </w:tc>
        <w:tc>
          <w:tcPr>
            <w:tcW w:w="8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r>
      <w:tr>
        <w:trPr>
          <w:trHeight w:val="245"/>
        </w:trPr>
        <w:tc>
          <w:tcPr>
            <w:tcW w:w="5040" w:type="dxa"/>
            <w:vAlign w:val="bottom"/>
          </w:tcPr>
          <w:p>
            <w:pPr>
              <w:ind w:left="20"/>
              <w:spacing w:after="0"/>
              <w:rPr>
                <w:sz w:val="20"/>
                <w:szCs w:val="20"/>
                <w:color w:val="auto"/>
              </w:rPr>
            </w:pPr>
            <w:r>
              <w:rPr>
                <w:rFonts w:ascii="Arial" w:cs="Arial" w:eastAsia="Arial" w:hAnsi="Arial"/>
                <w:sz w:val="18"/>
                <w:szCs w:val="18"/>
                <w:color w:val="auto"/>
              </w:rPr>
              <w:t>PEMAZYRE revenues, net</w:t>
            </w:r>
          </w:p>
        </w:tc>
        <w:tc>
          <w:tcPr>
            <w:tcW w:w="8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37.0</w:t>
            </w:r>
          </w:p>
        </w:tc>
      </w:tr>
      <w:tr>
        <w:trPr>
          <w:trHeight w:val="252"/>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MINJUVI revenues, net</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45"/>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ZYNYZ revenues, net</w:t>
            </w:r>
          </w:p>
        </w:tc>
        <w:tc>
          <w:tcPr>
            <w:tcW w:w="8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2"/>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product revenues, net</w:t>
            </w:r>
          </w:p>
        </w:tc>
        <w:tc>
          <w:tcPr>
            <w:tcW w:w="8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827.1</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663.9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1,520.3</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1,269.6</w:t>
            </w:r>
          </w:p>
        </w:tc>
      </w:tr>
      <w:tr>
        <w:trPr>
          <w:trHeight w:val="245"/>
        </w:trPr>
        <w:tc>
          <w:tcPr>
            <w:tcW w:w="5040" w:type="dxa"/>
            <w:vAlign w:val="bottom"/>
          </w:tcPr>
          <w:p>
            <w:pPr>
              <w:ind w:left="20"/>
              <w:spacing w:after="0"/>
              <w:rPr>
                <w:sz w:val="20"/>
                <w:szCs w:val="20"/>
                <w:color w:val="auto"/>
              </w:rPr>
            </w:pPr>
            <w:r>
              <w:rPr>
                <w:rFonts w:ascii="Arial" w:cs="Arial" w:eastAsia="Arial" w:hAnsi="Arial"/>
                <w:sz w:val="18"/>
                <w:szCs w:val="18"/>
                <w:color w:val="auto"/>
              </w:rPr>
              <w:t>JAKAVI product royalty revenues</w:t>
            </w:r>
          </w:p>
        </w:tc>
        <w:tc>
          <w:tcPr>
            <w:tcW w:w="8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154.6</w:t>
            </w:r>
          </w:p>
        </w:tc>
      </w:tr>
      <w:tr>
        <w:trPr>
          <w:trHeight w:val="25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OLUMIANT product royalty revenues</w:t>
            </w:r>
          </w:p>
        </w:tc>
        <w:tc>
          <w:tcPr>
            <w:tcW w:w="8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TABRECTA product royalty revenues</w:t>
            </w:r>
          </w:p>
        </w:tc>
        <w:tc>
          <w:tcPr>
            <w:tcW w:w="8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8"/>
        </w:trPr>
        <w:tc>
          <w:tcPr>
            <w:tcW w:w="5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5"/>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PEMAZYRE product royalty revenues</w:t>
            </w:r>
          </w:p>
        </w:tc>
        <w:tc>
          <w:tcPr>
            <w:tcW w:w="8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5"/>
        </w:trPr>
        <w:tc>
          <w:tcPr>
            <w:tcW w:w="5040" w:type="dxa"/>
            <w:vAlign w:val="bottom"/>
          </w:tcPr>
          <w:p>
            <w:pPr>
              <w:ind w:left="180"/>
              <w:spacing w:after="0"/>
              <w:rPr>
                <w:sz w:val="20"/>
                <w:szCs w:val="20"/>
                <w:color w:val="auto"/>
              </w:rPr>
            </w:pPr>
            <w:r>
              <w:rPr>
                <w:rFonts w:ascii="Arial" w:cs="Arial" w:eastAsia="Arial" w:hAnsi="Arial"/>
                <w:sz w:val="18"/>
                <w:szCs w:val="18"/>
                <w:color w:val="auto"/>
              </w:rPr>
              <w:t>Total product royalty revenues</w:t>
            </w:r>
          </w:p>
        </w:tc>
        <w:tc>
          <w:tcPr>
            <w:tcW w:w="8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117.5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243.0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240.0</w:t>
            </w:r>
          </w:p>
        </w:tc>
      </w:tr>
      <w:tr>
        <w:trPr>
          <w:trHeight w:val="252"/>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Milestone and contract revenues</w:t>
            </w:r>
          </w:p>
        </w:tc>
        <w:tc>
          <w:tcPr>
            <w:tcW w:w="8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r>
      <w:tr>
        <w:trPr>
          <w:trHeight w:val="252"/>
        </w:trPr>
        <w:tc>
          <w:tcPr>
            <w:tcW w:w="504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880" w:type="dxa"/>
            <w:vAlign w:val="bottom"/>
          </w:tcPr>
          <w:p>
            <w:pPr>
              <w:jc w:val="right"/>
              <w:ind w:right="698"/>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954.6</w:t>
            </w:r>
          </w:p>
        </w:tc>
        <w:tc>
          <w:tcPr>
            <w:tcW w:w="10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911.4</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1,763.3</w:t>
            </w:r>
          </w:p>
        </w:tc>
        <w:tc>
          <w:tcPr>
            <w:tcW w:w="6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1,644.6</w:t>
            </w:r>
          </w:p>
        </w:tc>
      </w:tr>
      <w:tr>
        <w:trPr>
          <w:trHeight w:val="20"/>
        </w:trPr>
        <w:tc>
          <w:tcPr>
            <w:tcW w:w="50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636"/>
        <w:spacing w:after="0" w:line="306" w:lineRule="auto"/>
        <w:rPr>
          <w:sz w:val="20"/>
          <w:szCs w:val="20"/>
          <w:color w:val="auto"/>
        </w:rPr>
      </w:pPr>
      <w:r>
        <w:rPr>
          <w:rFonts w:ascii="Arial" w:cs="Arial" w:eastAsia="Arial" w:hAnsi="Arial"/>
          <w:sz w:val="15"/>
          <w:szCs w:val="15"/>
          <w:color w:val="auto"/>
        </w:rPr>
        <w:t>The increase in JAKAFI product revenues for the three months ended June 30, 2023 as compared to the corresponding period in 2022 was comprised of a volume increase of $61.3 million and a price increase of $23.4 million. The increase in JAKAFI net product revenues for the six months ended June 30, 2023 as compared to the corresponding period in 2022 was comprised of a volume increase of $81.7 million and a price increase of $38.6 million. The JAKAFI net product revenues increase was primarily driven by growth in patient demand across all indications and inventory level normalizing at the end of the second quarter of 2023. The increase in OPZELURA net product revenues for the three and six months ended June 30, 2023 was driven by increased patient demand and expanded coverage. The increase in MINJUVI net product revenues for the three and six months ended June 30, 2023 was driven by the recognition of approximately $6.0 million of previously deferred MINJUVI revenue related to the Early Access Program in France, which ended in June 2023.</w:t>
      </w:r>
    </w:p>
    <w:p>
      <w:pPr>
        <w:spacing w:after="0" w:line="157" w:lineRule="exact"/>
        <w:rPr>
          <w:sz w:val="20"/>
          <w:szCs w:val="20"/>
          <w:color w:val="auto"/>
        </w:rPr>
      </w:pPr>
    </w:p>
    <w:p>
      <w:pPr>
        <w:jc w:val="both"/>
        <w:ind w:firstLine="636"/>
        <w:spacing w:after="0" w:line="318" w:lineRule="auto"/>
        <w:rPr>
          <w:sz w:val="20"/>
          <w:szCs w:val="20"/>
          <w:color w:val="auto"/>
        </w:rPr>
      </w:pPr>
      <w:r>
        <w:rPr>
          <w:rFonts w:ascii="Arial" w:cs="Arial" w:eastAsia="Arial" w:hAnsi="Arial"/>
          <w:sz w:val="15"/>
          <w:szCs w:val="15"/>
          <w:color w:val="auto"/>
        </w:rPr>
        <w:t>Our product revenues may fluctuate from quarter to quarter due to our customers’ purchasing patterns over the course of the year, including as a result of increased inventory building by customers in advance of expected or announced price increases. Product revenues are recorded net of estimated product returns, pricing discounts including rebates offered pursuant to mandatory federal and state government programs and chargebacks, prompt pay discounts and distribution fees and co-pay assistance. Our revenue recognition policies require estimates of the aforementioned sales allowances each period.</w:t>
      </w:r>
    </w:p>
    <w:p>
      <w:pPr>
        <w:spacing w:after="0" w:line="14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provides a summary of activity with respect to our sales allowances and accruals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center"/>
              <w:ind w:right="139"/>
              <w:spacing w:after="0"/>
              <w:rPr>
                <w:sz w:val="20"/>
                <w:szCs w:val="20"/>
                <w:color w:val="auto"/>
              </w:rPr>
            </w:pPr>
            <w:r>
              <w:rPr>
                <w:rFonts w:ascii="Arial" w:cs="Arial" w:eastAsia="Arial" w:hAnsi="Arial"/>
                <w:sz w:val="14"/>
                <w:szCs w:val="14"/>
                <w:b w:val="1"/>
                <w:bCs w:val="1"/>
                <w:color w:val="auto"/>
                <w:w w:val="91"/>
              </w:rPr>
              <w:t>Co-Pay</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118"/>
              <w:spacing w:after="0"/>
              <w:rPr>
                <w:sz w:val="20"/>
                <w:szCs w:val="20"/>
                <w:color w:val="auto"/>
              </w:rPr>
            </w:pPr>
            <w:r>
              <w:rPr>
                <w:rFonts w:ascii="Arial" w:cs="Arial" w:eastAsia="Arial" w:hAnsi="Arial"/>
                <w:sz w:val="14"/>
                <w:szCs w:val="14"/>
                <w:b w:val="1"/>
                <w:bCs w:val="1"/>
                <w:color w:val="auto"/>
                <w:w w:val="89"/>
              </w:rPr>
              <w:t>Discounts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ind w:left="100"/>
              <w:spacing w:after="0"/>
              <w:rPr>
                <w:sz w:val="20"/>
                <w:szCs w:val="20"/>
                <w:color w:val="auto"/>
              </w:rPr>
            </w:pPr>
            <w:r>
              <w:rPr>
                <w:rFonts w:ascii="Arial" w:cs="Arial" w:eastAsia="Arial" w:hAnsi="Arial"/>
                <w:sz w:val="14"/>
                <w:szCs w:val="14"/>
                <w:b w:val="1"/>
                <w:bCs w:val="1"/>
                <w:color w:val="auto"/>
              </w:rPr>
              <w:t>Government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center"/>
              <w:ind w:right="139"/>
              <w:spacing w:after="0"/>
              <w:rPr>
                <w:sz w:val="20"/>
                <w:szCs w:val="20"/>
                <w:color w:val="auto"/>
              </w:rPr>
            </w:pPr>
            <w:r>
              <w:rPr>
                <w:rFonts w:ascii="Arial" w:cs="Arial" w:eastAsia="Arial" w:hAnsi="Arial"/>
                <w:sz w:val="14"/>
                <w:szCs w:val="14"/>
                <w:b w:val="1"/>
                <w:bCs w:val="1"/>
                <w:color w:val="auto"/>
                <w:w w:val="86"/>
              </w:rPr>
              <w:t>Assistance</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59"/>
        </w:trPr>
        <w:tc>
          <w:tcPr>
            <w:tcW w:w="4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center"/>
              <w:ind w:right="118"/>
              <w:spacing w:after="0" w:line="159" w:lineRule="exact"/>
              <w:rPr>
                <w:sz w:val="20"/>
                <w:szCs w:val="20"/>
                <w:color w:val="auto"/>
              </w:rPr>
            </w:pPr>
            <w:r>
              <w:rPr>
                <w:rFonts w:ascii="Arial" w:cs="Arial" w:eastAsia="Arial" w:hAnsi="Arial"/>
                <w:sz w:val="14"/>
                <w:szCs w:val="14"/>
                <w:b w:val="1"/>
                <w:bCs w:val="1"/>
                <w:color w:val="auto"/>
                <w:w w:val="94"/>
              </w:rPr>
              <w:t>Distribution</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ind w:left="100"/>
              <w:spacing w:after="0" w:line="159" w:lineRule="exact"/>
              <w:rPr>
                <w:sz w:val="20"/>
                <w:szCs w:val="20"/>
                <w:color w:val="auto"/>
              </w:rPr>
            </w:pPr>
            <w:r>
              <w:rPr>
                <w:rFonts w:ascii="Arial" w:cs="Arial" w:eastAsia="Arial" w:hAnsi="Arial"/>
                <w:sz w:val="14"/>
                <w:szCs w:val="14"/>
                <w:b w:val="1"/>
                <w:bCs w:val="1"/>
                <w:color w:val="auto"/>
              </w:rPr>
              <w:t>Rebates and</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center"/>
              <w:ind w:right="139"/>
              <w:spacing w:after="0" w:line="159" w:lineRule="exact"/>
              <w:rPr>
                <w:sz w:val="20"/>
                <w:szCs w:val="20"/>
                <w:color w:val="auto"/>
              </w:rPr>
            </w:pPr>
            <w:r>
              <w:rPr>
                <w:rFonts w:ascii="Arial" w:cs="Arial" w:eastAsia="Arial" w:hAnsi="Arial"/>
                <w:sz w:val="14"/>
                <w:szCs w:val="14"/>
                <w:b w:val="1"/>
                <w:bCs w:val="1"/>
                <w:color w:val="auto"/>
                <w:w w:val="96"/>
              </w:rPr>
              <w:t>and Other</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jc w:val="right"/>
              <w:ind w:right="336"/>
              <w:spacing w:after="0" w:line="159" w:lineRule="exact"/>
              <w:rPr>
                <w:sz w:val="20"/>
                <w:szCs w:val="20"/>
                <w:color w:val="auto"/>
              </w:rPr>
            </w:pPr>
            <w:r>
              <w:rPr>
                <w:rFonts w:ascii="Arial" w:cs="Arial" w:eastAsia="Arial" w:hAnsi="Arial"/>
                <w:sz w:val="14"/>
                <w:szCs w:val="14"/>
                <w:b w:val="1"/>
                <w:bCs w:val="1"/>
                <w:color w:val="auto"/>
              </w:rPr>
              <w:t>Product</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97"/>
        </w:trPr>
        <w:tc>
          <w:tcPr>
            <w:tcW w:w="4040" w:type="dxa"/>
            <w:vAlign w:val="bottom"/>
          </w:tcPr>
          <w:p>
            <w:pPr>
              <w:ind w:left="20"/>
              <w:spacing w:after="0"/>
              <w:rPr>
                <w:sz w:val="20"/>
                <w:szCs w:val="20"/>
                <w:color w:val="auto"/>
              </w:rPr>
            </w:pPr>
            <w:r>
              <w:rPr>
                <w:rFonts w:ascii="Arial" w:cs="Arial" w:eastAsia="Arial" w:hAnsi="Arial"/>
                <w:sz w:val="14"/>
                <w:szCs w:val="14"/>
                <w:b w:val="1"/>
                <w:bCs w:val="1"/>
                <w:color w:val="auto"/>
              </w:rPr>
              <w:t>Six Months Ended June 30, 2023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ind w:right="118"/>
              <w:spacing w:after="0"/>
              <w:rPr>
                <w:sz w:val="20"/>
                <w:szCs w:val="20"/>
                <w:color w:val="auto"/>
              </w:rPr>
            </w:pPr>
            <w:r>
              <w:rPr>
                <w:rFonts w:ascii="Arial" w:cs="Arial" w:eastAsia="Arial" w:hAnsi="Arial"/>
                <w:sz w:val="14"/>
                <w:szCs w:val="14"/>
                <w:b w:val="1"/>
                <w:bCs w:val="1"/>
                <w:color w:val="auto"/>
                <w:w w:val="81"/>
              </w:rPr>
              <w:t>Fees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ind w:left="80"/>
              <w:spacing w:after="0"/>
              <w:rPr>
                <w:sz w:val="20"/>
                <w:szCs w:val="20"/>
                <w:color w:val="auto"/>
              </w:rPr>
            </w:pPr>
            <w:r>
              <w:rPr>
                <w:rFonts w:ascii="Arial" w:cs="Arial" w:eastAsia="Arial" w:hAnsi="Arial"/>
                <w:sz w:val="14"/>
                <w:szCs w:val="14"/>
                <w:b w:val="1"/>
                <w:bCs w:val="1"/>
                <w:color w:val="auto"/>
              </w:rPr>
              <w:t>Chargebacks</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center"/>
              <w:ind w:right="139"/>
              <w:spacing w:after="0"/>
              <w:rPr>
                <w:sz w:val="20"/>
                <w:szCs w:val="20"/>
                <w:color w:val="auto"/>
              </w:rPr>
            </w:pPr>
            <w:r>
              <w:rPr>
                <w:rFonts w:ascii="Arial" w:cs="Arial" w:eastAsia="Arial" w:hAnsi="Arial"/>
                <w:sz w:val="14"/>
                <w:szCs w:val="14"/>
                <w:b w:val="1"/>
                <w:bCs w:val="1"/>
                <w:color w:val="auto"/>
                <w:w w:val="88"/>
              </w:rPr>
              <w:t>Discounts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336"/>
              <w:spacing w:after="0"/>
              <w:rPr>
                <w:sz w:val="20"/>
                <w:szCs w:val="20"/>
                <w:color w:val="auto"/>
              </w:rPr>
            </w:pPr>
            <w:r>
              <w:rPr>
                <w:rFonts w:ascii="Arial" w:cs="Arial" w:eastAsia="Arial" w:hAnsi="Arial"/>
                <w:sz w:val="14"/>
                <w:szCs w:val="14"/>
                <w:b w:val="1"/>
                <w:bCs w:val="1"/>
                <w:color w:val="auto"/>
              </w:rPr>
              <w:t>Returns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34"/>
              <w:spacing w:after="0"/>
              <w:rPr>
                <w:sz w:val="20"/>
                <w:szCs w:val="20"/>
                <w:color w:val="auto"/>
              </w:rPr>
            </w:pPr>
            <w:r>
              <w:rPr>
                <w:rFonts w:ascii="Arial" w:cs="Arial" w:eastAsia="Arial" w:hAnsi="Arial"/>
                <w:sz w:val="14"/>
                <w:szCs w:val="14"/>
                <w:b w:val="1"/>
                <w:bCs w:val="1"/>
                <w:color w:val="auto"/>
              </w:rPr>
              <w:t>Total</w:t>
            </w:r>
          </w:p>
        </w:tc>
      </w:tr>
      <w:tr>
        <w:trPr>
          <w:trHeight w:val="24"/>
        </w:trPr>
        <w:tc>
          <w:tcPr>
            <w:tcW w:w="4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5"/>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148,465</w:t>
            </w:r>
          </w:p>
        </w:tc>
        <w:tc>
          <w:tcPr>
            <w:tcW w:w="3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25,580</w:t>
            </w:r>
          </w:p>
        </w:tc>
        <w:tc>
          <w:tcPr>
            <w:tcW w:w="3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6,366</w:t>
            </w:r>
          </w:p>
        </w:tc>
        <w:tc>
          <w:tcPr>
            <w:tcW w:w="4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205,727</w:t>
            </w:r>
          </w:p>
        </w:tc>
      </w:tr>
      <w:tr>
        <w:trPr>
          <w:trHeight w:val="245"/>
        </w:trPr>
        <w:tc>
          <w:tcPr>
            <w:tcW w:w="4040" w:type="dxa"/>
            <w:vAlign w:val="bottom"/>
          </w:tcPr>
          <w:p>
            <w:pPr>
              <w:ind w:left="260"/>
              <w:spacing w:after="0"/>
              <w:rPr>
                <w:sz w:val="20"/>
                <w:szCs w:val="20"/>
                <w:color w:val="auto"/>
              </w:rPr>
            </w:pPr>
            <w:r>
              <w:rPr>
                <w:rFonts w:ascii="Arial" w:cs="Arial" w:eastAsia="Arial" w:hAnsi="Arial"/>
                <w:sz w:val="18"/>
                <w:szCs w:val="18"/>
                <w:color w:val="auto"/>
              </w:rPr>
              <w:t>Allowances for current period sales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63,558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476,610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76,845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621,275</w:t>
            </w:r>
          </w:p>
        </w:tc>
      </w:tr>
      <w:tr>
        <w:trPr>
          <w:trHeight w:val="252"/>
        </w:trPr>
        <w:tc>
          <w:tcPr>
            <w:tcW w:w="4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Allowances for prior period sales</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9,193</w:t>
            </w:r>
          </w:p>
        </w:tc>
      </w:tr>
      <w:tr>
        <w:trPr>
          <w:trHeight w:val="245"/>
        </w:trPr>
        <w:tc>
          <w:tcPr>
            <w:tcW w:w="4040" w:type="dxa"/>
            <w:vAlign w:val="bottom"/>
          </w:tcPr>
          <w:p>
            <w:pPr>
              <w:ind w:left="260"/>
              <w:spacing w:after="0"/>
              <w:rPr>
                <w:sz w:val="20"/>
                <w:szCs w:val="20"/>
                <w:color w:val="auto"/>
              </w:rPr>
            </w:pPr>
            <w:r>
              <w:rPr>
                <w:rFonts w:ascii="Arial" w:cs="Arial" w:eastAsia="Arial" w:hAnsi="Arial"/>
                <w:sz w:val="18"/>
                <w:szCs w:val="18"/>
                <w:color w:val="auto"/>
              </w:rPr>
              <w:t>Credits/payments for current period sales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(50,136)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(361,638)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(73,708)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(485,482)</w:t>
            </w:r>
          </w:p>
        </w:tc>
      </w:tr>
      <w:tr>
        <w:trPr>
          <w:trHeight w:val="252"/>
        </w:trPr>
        <w:tc>
          <w:tcPr>
            <w:tcW w:w="4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Credits/payments for prior period sales</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(84,001)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(128,712)</w:t>
            </w:r>
          </w:p>
        </w:tc>
      </w:tr>
      <w:tr>
        <w:trPr>
          <w:trHeight w:val="252"/>
        </w:trPr>
        <w:tc>
          <w:tcPr>
            <w:tcW w:w="4040" w:type="dxa"/>
            <w:vAlign w:val="bottom"/>
          </w:tcPr>
          <w:p>
            <w:pPr>
              <w:ind w:left="20"/>
              <w:spacing w:after="0"/>
              <w:rPr>
                <w:sz w:val="20"/>
                <w:szCs w:val="20"/>
                <w:color w:val="auto"/>
              </w:rPr>
            </w:pPr>
            <w:r>
              <w:rPr>
                <w:rFonts w:ascii="Arial" w:cs="Arial" w:eastAsia="Arial" w:hAnsi="Arial"/>
                <w:sz w:val="18"/>
                <w:szCs w:val="18"/>
                <w:color w:val="auto"/>
              </w:rPr>
              <w:t>Balance at June 30, 2023</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15,348</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183,117</w:t>
            </w:r>
          </w:p>
        </w:tc>
        <w:tc>
          <w:tcPr>
            <w:tcW w:w="80" w:type="dxa"/>
            <w:vAlign w:val="bottom"/>
          </w:tcPr>
          <w:p>
            <w:pPr>
              <w:spacing w:after="0"/>
              <w:rPr>
                <w:sz w:val="21"/>
                <w:szCs w:val="21"/>
                <w:color w:val="auto"/>
              </w:rPr>
            </w:pP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14,958</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8,578</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222,001</w:t>
            </w:r>
          </w:p>
        </w:tc>
      </w:tr>
      <w:tr>
        <w:trPr>
          <w:trHeight w:val="20"/>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893"/>
        </w:trPr>
        <w:tc>
          <w:tcPr>
            <w:tcW w:w="4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99"/>
              </w:rPr>
              <w:t>47</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00"/>
        </w:trPr>
        <w:tc>
          <w:tcPr>
            <w:tcW w:w="40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63" w:lineRule="auto"/>
        <w:rPr>
          <w:sz w:val="20"/>
          <w:szCs w:val="20"/>
          <w:color w:val="auto"/>
        </w:rPr>
      </w:pPr>
      <w:r>
        <w:rPr>
          <w:rFonts w:ascii="Arial" w:cs="Arial" w:eastAsia="Arial" w:hAnsi="Arial"/>
          <w:sz w:val="17"/>
          <w:szCs w:val="17"/>
          <w:color w:val="auto"/>
        </w:rPr>
        <w:t>Government rebates and chargebacks are the most significant component of our sales allowances. Increases in certain government reimbursement rates are limited to a measure of inflation, and when the price of a drug increases faster than this measure of inflation it will result in a penalty adjustment factor that causes a larger sales allowance to those government related entities. We expect government rebates and chargebacks as a percentage of our gross product sales will continue to increase in connection with any future product price increases greater than the rate of inflation, and any such increase in these government rebates and chargebacks will have a negative impact on our reported product revenues, net. We adjust our estimates for government rebates and chargebacks based on new information regarding actual rebates as it becomes available. Claims by third-party payors for rebates and chargebacks are frequently submitted after the period in which the related sales occurred, which may result in adjustments to prior period accrual balances in the period in which the new information becomes available. Our company-sponsored patient savings program in which we provide financial assistance to enable commercially-insured patients to afford their insurance premium and co-pays may fluctuate as the commercial insurance landscape evolves and may impact net revenues, particularly for drugs like OPZELURA. We also adjust our allowance for product returns based on new information regarding actual returns as it becomes available.</w:t>
      </w:r>
    </w:p>
    <w:p>
      <w:pPr>
        <w:spacing w:after="0" w:line="188"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We expect our sales allowances to fluctuate from quarter to quarter as a result of the Medicare Part D Coverage Gap, the volume of purchases eligible for government mandated discounts and rebates as well as changes in discount percentages which are impacted by potential future price increases, rate of inflation, and other factors.</w:t>
      </w:r>
    </w:p>
    <w:p>
      <w:pPr>
        <w:spacing w:after="0" w:line="188" w:lineRule="exact"/>
        <w:rPr>
          <w:sz w:val="20"/>
          <w:szCs w:val="20"/>
          <w:color w:val="auto"/>
        </w:rPr>
      </w:pPr>
    </w:p>
    <w:p>
      <w:pPr>
        <w:jc w:val="both"/>
        <w:ind w:firstLine="636"/>
        <w:spacing w:after="0" w:line="268" w:lineRule="auto"/>
        <w:rPr>
          <w:sz w:val="20"/>
          <w:szCs w:val="20"/>
          <w:color w:val="auto"/>
        </w:rPr>
      </w:pPr>
      <w:r>
        <w:rPr>
          <w:rFonts w:ascii="Arial" w:cs="Arial" w:eastAsia="Arial" w:hAnsi="Arial"/>
          <w:sz w:val="17"/>
          <w:szCs w:val="17"/>
          <w:color w:val="auto"/>
        </w:rPr>
        <w:t>Product royalty revenues on commercial sales of JAKAVI and TABRECTA by Novartis are based on net sales of licensed products in licensed territories as provided by Novartis. Product royalty revenues on commercial sales of OLUMIANT by Lilly are based on net sales of licensed products in licensed territories as provided by Lilly. JAKAVI and OLUMIANT product royalty revenues for the three and six months ended June 30, 2023 as compared to the corresponding period in 2022 were impacted by unfavorable changes in foreign currency exchange rates. Product royalty revenues on commercial sales of PEMAZYRE by Innovent are based on net sales of licensed products in licensed territories as provided by Innovent.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gridSpan w:val="3"/>
          </w:tcPr>
          <w:p>
            <w:pPr>
              <w:jc w:val="center"/>
              <w:ind w:left="499"/>
              <w:spacing w:after="0"/>
              <w:rPr>
                <w:sz w:val="20"/>
                <w:szCs w:val="20"/>
                <w:color w:val="auto"/>
              </w:rPr>
            </w:pPr>
            <w:r>
              <w:rPr>
                <w:rFonts w:ascii="Arial" w:cs="Arial" w:eastAsia="Arial" w:hAnsi="Arial"/>
                <w:sz w:val="14"/>
                <w:szCs w:val="14"/>
                <w:b w:val="1"/>
                <w:bCs w:val="1"/>
                <w:color w:val="auto"/>
                <w:w w:val="92"/>
              </w:rPr>
              <w:t>Six Months Ended</w:t>
            </w:r>
          </w:p>
        </w:tc>
        <w:tc>
          <w:tcPr>
            <w:tcW w:w="920" w:type="dxa"/>
            <w:vAlign w:val="bottom"/>
          </w:tcPr>
          <w:p>
            <w:pPr>
              <w:spacing w:after="0"/>
              <w:rPr>
                <w:sz w:val="14"/>
                <w:szCs w:val="14"/>
                <w:color w:val="auto"/>
              </w:rPr>
            </w:pPr>
          </w:p>
        </w:tc>
      </w:tr>
      <w:tr>
        <w:trPr>
          <w:trHeight w:val="184"/>
        </w:trPr>
        <w:tc>
          <w:tcPr>
            <w:tcW w:w="5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9"/>
              </w:rPr>
              <w:t>June 30,</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80" w:type="dxa"/>
            <w:vAlign w:val="bottom"/>
            <w:gridSpan w:val="3"/>
          </w:tcPr>
          <w:p>
            <w:pPr>
              <w:jc w:val="center"/>
              <w:ind w:left="479"/>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Pr>
          <w:p>
            <w:pPr>
              <w:spacing w:after="0"/>
              <w:rPr>
                <w:sz w:val="15"/>
                <w:szCs w:val="15"/>
                <w:color w:val="auto"/>
              </w:rPr>
            </w:pPr>
          </w:p>
        </w:tc>
      </w:tr>
      <w:tr>
        <w:trPr>
          <w:trHeight w:val="24"/>
        </w:trPr>
        <w:tc>
          <w:tcPr>
            <w:tcW w:w="50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5"/>
        </w:trPr>
        <w:tc>
          <w:tcPr>
            <w:tcW w:w="504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96"/>
              </w:rPr>
              <w:t>2022</w:t>
            </w:r>
          </w:p>
        </w:tc>
      </w:tr>
      <w:tr>
        <w:trPr>
          <w:trHeight w:val="188"/>
        </w:trPr>
        <w:tc>
          <w:tcPr>
            <w:tcW w:w="5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(in millions)</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gridSpan w:val="3"/>
          </w:tcPr>
          <w:p>
            <w:pPr>
              <w:jc w:val="center"/>
              <w:ind w:left="499"/>
              <w:spacing w:after="0"/>
              <w:rPr>
                <w:sz w:val="20"/>
                <w:szCs w:val="20"/>
                <w:color w:val="auto"/>
              </w:rPr>
            </w:pPr>
            <w:r>
              <w:rPr>
                <w:rFonts w:ascii="Arial" w:cs="Arial" w:eastAsia="Arial" w:hAnsi="Arial"/>
                <w:sz w:val="14"/>
                <w:szCs w:val="14"/>
                <w:b w:val="1"/>
                <w:bCs w:val="1"/>
                <w:color w:val="auto"/>
                <w:w w:val="91"/>
              </w:rPr>
              <w:t>(in millions)</w:t>
            </w:r>
          </w:p>
        </w:tc>
        <w:tc>
          <w:tcPr>
            <w:tcW w:w="920" w:type="dxa"/>
            <w:vAlign w:val="bottom"/>
          </w:tcPr>
          <w:p>
            <w:pPr>
              <w:spacing w:after="0"/>
              <w:rPr>
                <w:sz w:val="16"/>
                <w:szCs w:val="16"/>
                <w:color w:val="auto"/>
              </w:rPr>
            </w:pPr>
          </w:p>
        </w:tc>
      </w:tr>
      <w:tr>
        <w:trPr>
          <w:trHeight w:val="24"/>
        </w:trPr>
        <w:tc>
          <w:tcPr>
            <w:tcW w:w="5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2"/>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costs</w:t>
            </w:r>
          </w:p>
        </w:tc>
        <w:tc>
          <w:tcPr>
            <w:tcW w:w="880" w:type="dxa"/>
            <w:vAlign w:val="bottom"/>
            <w:shd w:val="clear" w:color="auto" w:fill="CCEEFF"/>
          </w:tcPr>
          <w:p>
            <w:pPr>
              <w:jc w:val="right"/>
              <w:ind w:right="678"/>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38"/>
        </w:trPr>
        <w:tc>
          <w:tcPr>
            <w:tcW w:w="5040" w:type="dxa"/>
            <w:vAlign w:val="bottom"/>
          </w:tcPr>
          <w:p>
            <w:pPr>
              <w:ind w:left="20"/>
              <w:spacing w:after="0"/>
              <w:rPr>
                <w:sz w:val="20"/>
                <w:szCs w:val="20"/>
                <w:color w:val="auto"/>
              </w:rPr>
            </w:pPr>
            <w:r>
              <w:rPr>
                <w:rFonts w:ascii="Arial" w:cs="Arial" w:eastAsia="Arial" w:hAnsi="Arial"/>
                <w:sz w:val="18"/>
                <w:szCs w:val="18"/>
                <w:color w:val="auto"/>
              </w:rPr>
              <w:t>Salary and benefits related</w:t>
            </w:r>
          </w:p>
        </w:tc>
        <w:tc>
          <w:tcPr>
            <w:tcW w:w="8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8"/>
        </w:trPr>
        <w:tc>
          <w:tcPr>
            <w:tcW w:w="5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2"/>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w:t>
            </w:r>
          </w:p>
        </w:tc>
        <w:tc>
          <w:tcPr>
            <w:tcW w:w="8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5"/>
        </w:trPr>
        <w:tc>
          <w:tcPr>
            <w:tcW w:w="5040" w:type="dxa"/>
            <w:vAlign w:val="bottom"/>
          </w:tcPr>
          <w:p>
            <w:pPr>
              <w:ind w:left="20"/>
              <w:spacing w:after="0"/>
              <w:rPr>
                <w:sz w:val="20"/>
                <w:szCs w:val="20"/>
                <w:color w:val="auto"/>
              </w:rPr>
            </w:pPr>
            <w:r>
              <w:rPr>
                <w:rFonts w:ascii="Arial" w:cs="Arial" w:eastAsia="Arial" w:hAnsi="Arial"/>
                <w:sz w:val="18"/>
                <w:szCs w:val="18"/>
                <w:color w:val="auto"/>
              </w:rPr>
              <w:t>Royalty expense</w:t>
            </w:r>
          </w:p>
        </w:tc>
        <w:tc>
          <w:tcPr>
            <w:tcW w:w="8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59.9</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52.4</w:t>
            </w:r>
          </w:p>
        </w:tc>
      </w:tr>
      <w:tr>
        <w:trPr>
          <w:trHeight w:val="252"/>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definite-lived intangible assets</w:t>
            </w:r>
          </w:p>
        </w:tc>
        <w:tc>
          <w:tcPr>
            <w:tcW w:w="8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52"/>
        </w:trPr>
        <w:tc>
          <w:tcPr>
            <w:tcW w:w="5040" w:type="dxa"/>
            <w:vAlign w:val="bottom"/>
          </w:tcPr>
          <w:p>
            <w:pPr>
              <w:ind w:left="180"/>
              <w:spacing w:after="0"/>
              <w:rPr>
                <w:sz w:val="20"/>
                <w:szCs w:val="20"/>
                <w:color w:val="auto"/>
              </w:rPr>
            </w:pPr>
            <w:r>
              <w:rPr>
                <w:rFonts w:ascii="Arial" w:cs="Arial" w:eastAsia="Arial" w:hAnsi="Arial"/>
                <w:sz w:val="18"/>
                <w:szCs w:val="18"/>
                <w:color w:val="auto"/>
              </w:rPr>
              <w:t>Total cost of product revenues</w:t>
            </w:r>
          </w:p>
        </w:tc>
        <w:tc>
          <w:tcPr>
            <w:tcW w:w="880" w:type="dxa"/>
            <w:vAlign w:val="bottom"/>
          </w:tcPr>
          <w:p>
            <w:pPr>
              <w:jc w:val="right"/>
              <w:ind w:right="678"/>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68.3</w:t>
            </w:r>
          </w:p>
        </w:tc>
        <w:tc>
          <w:tcPr>
            <w:tcW w:w="108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50.6</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125.1</w:t>
            </w:r>
          </w:p>
        </w:tc>
        <w:tc>
          <w:tcPr>
            <w:tcW w:w="6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93.3</w:t>
            </w:r>
          </w:p>
        </w:tc>
      </w:tr>
      <w:tr>
        <w:trPr>
          <w:trHeight w:val="20"/>
        </w:trPr>
        <w:tc>
          <w:tcPr>
            <w:tcW w:w="50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636"/>
        <w:spacing w:after="0" w:line="318" w:lineRule="auto"/>
        <w:rPr>
          <w:sz w:val="20"/>
          <w:szCs w:val="20"/>
          <w:color w:val="auto"/>
        </w:rPr>
      </w:pPr>
      <w:r>
        <w:rPr>
          <w:rFonts w:ascii="Arial" w:cs="Arial" w:eastAsia="Arial" w:hAnsi="Arial"/>
          <w:sz w:val="15"/>
          <w:szCs w:val="15"/>
          <w:color w:val="auto"/>
        </w:rPr>
        <w:t>Cost of product revenues includes all product related costs, reserves for obsolescence, employee personnel costs, including stock compensation, for those employees dedicated to the production of our commercial products, royalties under our collaborative agreements and amortization of our licensed intellectual property rights for ICLUSIG and the amortization of capitalized milestone payments. The increase in cost of product revenues for the three and six months ended June 30, 2023 as compared to the same periods in 2022 was primarily due to growth in net product revenues.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Research and development expenses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center"/>
              <w:ind w:left="420"/>
              <w:spacing w:after="0"/>
              <w:rPr>
                <w:sz w:val="20"/>
                <w:szCs w:val="20"/>
                <w:color w:val="auto"/>
              </w:rPr>
            </w:pPr>
            <w:r>
              <w:rPr>
                <w:rFonts w:ascii="Arial" w:cs="Arial" w:eastAsia="Arial" w:hAnsi="Arial"/>
                <w:sz w:val="14"/>
                <w:szCs w:val="14"/>
                <w:b w:val="1"/>
                <w:bCs w:val="1"/>
                <w:color w:val="auto"/>
                <w:w w:val="92"/>
              </w:rPr>
              <w:t>Three Months Ended</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gridSpan w:val="3"/>
          </w:tcPr>
          <w:p>
            <w:pPr>
              <w:jc w:val="center"/>
              <w:ind w:left="500"/>
              <w:spacing w:after="0"/>
              <w:rPr>
                <w:sz w:val="20"/>
                <w:szCs w:val="20"/>
                <w:color w:val="auto"/>
              </w:rPr>
            </w:pPr>
            <w:r>
              <w:rPr>
                <w:rFonts w:ascii="Arial" w:cs="Arial" w:eastAsia="Arial" w:hAnsi="Arial"/>
                <w:sz w:val="14"/>
                <w:szCs w:val="14"/>
                <w:b w:val="1"/>
                <w:bCs w:val="1"/>
                <w:color w:val="auto"/>
                <w:w w:val="92"/>
              </w:rPr>
              <w:t>Six Months Ended</w:t>
            </w:r>
          </w:p>
        </w:tc>
        <w:tc>
          <w:tcPr>
            <w:tcW w:w="920" w:type="dxa"/>
            <w:vAlign w:val="bottom"/>
          </w:tcPr>
          <w:p>
            <w:pPr>
              <w:spacing w:after="0"/>
              <w:rPr>
                <w:sz w:val="14"/>
                <w:szCs w:val="14"/>
                <w:color w:val="auto"/>
              </w:rPr>
            </w:pPr>
          </w:p>
        </w:tc>
      </w:tr>
      <w:tr>
        <w:trPr>
          <w:trHeight w:val="184"/>
        </w:trPr>
        <w:tc>
          <w:tcPr>
            <w:tcW w:w="5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20" w:type="dxa"/>
            <w:vAlign w:val="bottom"/>
            <w:gridSpan w:val="3"/>
          </w:tcPr>
          <w:p>
            <w:pPr>
              <w:jc w:val="center"/>
              <w:ind w:left="440"/>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80" w:type="dxa"/>
            <w:vAlign w:val="bottom"/>
            <w:gridSpan w:val="3"/>
          </w:tcPr>
          <w:p>
            <w:pPr>
              <w:jc w:val="center"/>
              <w:ind w:left="480"/>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Pr>
          <w:p>
            <w:pPr>
              <w:spacing w:after="0"/>
              <w:rPr>
                <w:sz w:val="15"/>
                <w:szCs w:val="15"/>
                <w:color w:val="auto"/>
              </w:rPr>
            </w:pPr>
          </w:p>
        </w:tc>
      </w:tr>
      <w:tr>
        <w:trPr>
          <w:trHeight w:val="24"/>
        </w:trPr>
        <w:tc>
          <w:tcPr>
            <w:tcW w:w="5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5"/>
        </w:trPr>
        <w:tc>
          <w:tcPr>
            <w:tcW w:w="5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w w:val="83"/>
              </w:rPr>
              <w:t>2022</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w w:val="96"/>
              </w:rPr>
              <w:t>2022</w:t>
            </w:r>
          </w:p>
        </w:tc>
      </w:tr>
      <w:tr>
        <w:trPr>
          <w:trHeight w:val="188"/>
        </w:trPr>
        <w:tc>
          <w:tcPr>
            <w:tcW w:w="5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gridSpan w:val="3"/>
          </w:tcPr>
          <w:p>
            <w:pPr>
              <w:jc w:val="center"/>
              <w:ind w:left="440"/>
              <w:spacing w:after="0"/>
              <w:rPr>
                <w:sz w:val="20"/>
                <w:szCs w:val="20"/>
                <w:color w:val="auto"/>
              </w:rPr>
            </w:pPr>
            <w:r>
              <w:rPr>
                <w:rFonts w:ascii="Arial" w:cs="Arial" w:eastAsia="Arial" w:hAnsi="Arial"/>
                <w:sz w:val="14"/>
                <w:szCs w:val="14"/>
                <w:b w:val="1"/>
                <w:bCs w:val="1"/>
                <w:color w:val="auto"/>
                <w:w w:val="94"/>
              </w:rPr>
              <w:t>(in millions)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gridSpan w:val="3"/>
          </w:tcPr>
          <w:p>
            <w:pPr>
              <w:jc w:val="center"/>
              <w:ind w:left="500"/>
              <w:spacing w:after="0"/>
              <w:rPr>
                <w:sz w:val="20"/>
                <w:szCs w:val="20"/>
                <w:color w:val="auto"/>
              </w:rPr>
            </w:pPr>
            <w:r>
              <w:rPr>
                <w:rFonts w:ascii="Arial" w:cs="Arial" w:eastAsia="Arial" w:hAnsi="Arial"/>
                <w:sz w:val="14"/>
                <w:szCs w:val="14"/>
                <w:b w:val="1"/>
                <w:bCs w:val="1"/>
                <w:color w:val="auto"/>
                <w:w w:val="91"/>
              </w:rPr>
              <w:t>(in millions)</w:t>
            </w:r>
          </w:p>
        </w:tc>
        <w:tc>
          <w:tcPr>
            <w:tcW w:w="920" w:type="dxa"/>
            <w:vAlign w:val="bottom"/>
          </w:tcPr>
          <w:p>
            <w:pPr>
              <w:spacing w:after="0"/>
              <w:rPr>
                <w:sz w:val="16"/>
                <w:szCs w:val="16"/>
                <w:color w:val="auto"/>
              </w:rPr>
            </w:pPr>
          </w:p>
        </w:tc>
      </w:tr>
      <w:tr>
        <w:trPr>
          <w:trHeight w:val="24"/>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2"/>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Salary and benefits related</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w:t>
            </w: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54.4</w:t>
            </w:r>
          </w:p>
        </w:tc>
      </w:tr>
      <w:tr>
        <w:trPr>
          <w:trHeight w:val="28"/>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2"/>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Clinical research and outside services</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451.2</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407.8</w:t>
            </w:r>
          </w:p>
        </w:tc>
      </w:tr>
      <w:tr>
        <w:trPr>
          <w:trHeight w:val="245"/>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Occupancy and all other costs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12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r>
      <w:tr>
        <w:trPr>
          <w:trHeight w:val="272"/>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400.8</w:t>
            </w:r>
          </w:p>
        </w:tc>
        <w:tc>
          <w:tcPr>
            <w:tcW w:w="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807.4</w:t>
            </w: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700.6</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636"/>
        <w:spacing w:after="0" w:line="318" w:lineRule="auto"/>
        <w:rPr>
          <w:sz w:val="20"/>
          <w:szCs w:val="20"/>
          <w:color w:val="auto"/>
        </w:rPr>
      </w:pPr>
      <w:r>
        <w:rPr>
          <w:rFonts w:ascii="Arial" w:cs="Arial" w:eastAsia="Arial" w:hAnsi="Arial"/>
          <w:sz w:val="15"/>
          <w:szCs w:val="15"/>
          <w:color w:val="auto"/>
        </w:rPr>
        <w:t>We account for research and development costs by natural expense line and not costs by project. The increase in salary and benefits related expense for the three and six months ended June 30, 2023 as compared to the corresponding periods in 2022 was due primarily to increased development headcount to sustain our development pipeline. Stock compensation expense may fluctuate from period to period based on the number of awards granted, stock price volatility and expected award lives, as well as expected award forfeiture rates which are used to value equity-based compensation.</w:t>
      </w:r>
    </w:p>
    <w:p>
      <w:pPr>
        <w:spacing w:after="0" w:line="146" w:lineRule="exact"/>
        <w:rPr>
          <w:sz w:val="20"/>
          <w:szCs w:val="20"/>
          <w:color w:val="auto"/>
        </w:rPr>
      </w:pPr>
    </w:p>
    <w:p>
      <w:pPr>
        <w:jc w:val="both"/>
        <w:ind w:firstLine="636"/>
        <w:spacing w:after="0" w:line="309" w:lineRule="auto"/>
        <w:rPr>
          <w:sz w:val="20"/>
          <w:szCs w:val="20"/>
          <w:color w:val="auto"/>
        </w:rPr>
      </w:pPr>
      <w:r>
        <w:rPr>
          <w:rFonts w:ascii="Arial" w:cs="Arial" w:eastAsia="Arial" w:hAnsi="Arial"/>
          <w:sz w:val="15"/>
          <w:szCs w:val="15"/>
          <w:color w:val="auto"/>
        </w:rPr>
        <w:t>The increase in clinical research and outside services expense for the three and six months ended June 30, 2023 as compared to the corresponding period in 2022 was primarily due to continued investment in our late stage development assets. Research and development expenses include upfront and milestone expenses related to our collaborative agreements of $7.0 million and $9.7 million, respectively, for the three and six months ended June 30, 2023. Research and development expenses include upfront and milestone expenses related to our collaborative agreements of $2.5 million and $22.5 million, respectively, for the three and six months ended June 30, 2022. Research and development expenses for the three and six months ended June 30, 2023 and 2022 were net of $25.1 million, $25.7 million, $24.3 million and $34.6 million, respectively, of costs reimbursed by our collaborative partners.</w:t>
      </w:r>
    </w:p>
    <w:p>
      <w:pPr>
        <w:spacing w:after="0" w:line="152"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17"/>
          <w:szCs w:val="17"/>
          <w:color w:val="auto"/>
        </w:rPr>
        <w:t>In addition to one-time expenses resulting from upfront fees in connection with the entry into any new or amended collaboration agreements and payment of milestones under those agreements, research and development expenses may fluctuate from period to period depending upon the stage of certain projects and the level of preclinical and clinical trial related activities. Many factors can affect the cost and timing of our clinical trials, including requests by regulatory agencies for more information, inconclusive results requiring additional clinical trials, slow patient enrollment, adverse side effects among patients, insufficient supplies for our clinical trials, timing of drug supply, including API, and real or perceived lack of effectiveness or safety of our investigational drugs in our clinical trials. In addition, the development of all of our products will be subject to extensive governmental regulation. These factors make it difficult for us to predict the timing and costs of the further development and approval of our products.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2500" w:type="dxa"/>
            <w:vAlign w:val="bottom"/>
            <w:gridSpan w:val="4"/>
          </w:tcPr>
          <w:p>
            <w:pPr>
              <w:jc w:val="center"/>
              <w:ind w:left="459"/>
              <w:spacing w:after="0"/>
              <w:rPr>
                <w:sz w:val="20"/>
                <w:szCs w:val="20"/>
                <w:color w:val="auto"/>
              </w:rPr>
            </w:pPr>
            <w:r>
              <w:rPr>
                <w:rFonts w:ascii="Arial" w:cs="Arial" w:eastAsia="Arial" w:hAnsi="Arial"/>
                <w:sz w:val="14"/>
                <w:szCs w:val="14"/>
                <w:b w:val="1"/>
                <w:bCs w:val="1"/>
                <w:color w:val="auto"/>
                <w:w w:val="92"/>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3"/>
          </w:tcPr>
          <w:p>
            <w:pPr>
              <w:jc w:val="center"/>
              <w:ind w:left="461"/>
              <w:spacing w:after="0"/>
              <w:rPr>
                <w:sz w:val="20"/>
                <w:szCs w:val="20"/>
                <w:color w:val="auto"/>
              </w:rPr>
            </w:pPr>
            <w:r>
              <w:rPr>
                <w:rFonts w:ascii="Arial" w:cs="Arial" w:eastAsia="Arial" w:hAnsi="Arial"/>
                <w:sz w:val="14"/>
                <w:szCs w:val="14"/>
                <w:b w:val="1"/>
                <w:bCs w:val="1"/>
                <w:color w:val="auto"/>
                <w:w w:val="90"/>
              </w:rPr>
              <w:t>Six Months Ended</w:t>
            </w:r>
          </w:p>
        </w:tc>
        <w:tc>
          <w:tcPr>
            <w:tcW w:w="900" w:type="dxa"/>
            <w:vAlign w:val="bottom"/>
          </w:tcPr>
          <w:p>
            <w:pPr>
              <w:spacing w:after="0"/>
              <w:rPr>
                <w:sz w:val="14"/>
                <w:szCs w:val="14"/>
                <w:color w:val="auto"/>
              </w:rPr>
            </w:pPr>
          </w:p>
        </w:tc>
      </w:tr>
      <w:tr>
        <w:trPr>
          <w:trHeight w:val="184"/>
        </w:trPr>
        <w:tc>
          <w:tcPr>
            <w:tcW w:w="5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9"/>
              </w:rPr>
              <w:t>June 30,</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60" w:type="dxa"/>
            <w:vAlign w:val="bottom"/>
            <w:gridSpan w:val="3"/>
          </w:tcPr>
          <w:p>
            <w:pPr>
              <w:jc w:val="center"/>
              <w:ind w:left="461"/>
              <w:spacing w:after="0"/>
              <w:rPr>
                <w:sz w:val="20"/>
                <w:szCs w:val="20"/>
                <w:color w:val="auto"/>
              </w:rPr>
            </w:pPr>
            <w:r>
              <w:rPr>
                <w:rFonts w:ascii="Arial" w:cs="Arial" w:eastAsia="Arial" w:hAnsi="Arial"/>
                <w:sz w:val="14"/>
                <w:szCs w:val="14"/>
                <w:b w:val="1"/>
                <w:bCs w:val="1"/>
                <w:color w:val="auto"/>
                <w:w w:val="89"/>
              </w:rPr>
              <w:t>June 30,</w:t>
            </w:r>
          </w:p>
        </w:tc>
        <w:tc>
          <w:tcPr>
            <w:tcW w:w="900" w:type="dxa"/>
            <w:vAlign w:val="bottom"/>
          </w:tcPr>
          <w:p>
            <w:pPr>
              <w:spacing w:after="0"/>
              <w:rPr>
                <w:sz w:val="15"/>
                <w:szCs w:val="15"/>
                <w:color w:val="auto"/>
              </w:rPr>
            </w:pPr>
          </w:p>
        </w:tc>
      </w:tr>
      <w:tr>
        <w:trPr>
          <w:trHeight w:val="24"/>
        </w:trPr>
        <w:tc>
          <w:tcPr>
            <w:tcW w:w="5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5"/>
        </w:trPr>
        <w:tc>
          <w:tcPr>
            <w:tcW w:w="51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w w:val="96"/>
              </w:rPr>
              <w:t>2022</w:t>
            </w:r>
          </w:p>
        </w:tc>
      </w:tr>
      <w:tr>
        <w:trPr>
          <w:trHeight w:val="188"/>
        </w:trPr>
        <w:tc>
          <w:tcPr>
            <w:tcW w:w="5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1"/>
              </w:rPr>
              <w:t>(in millions)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gridSpan w:val="3"/>
          </w:tcPr>
          <w:p>
            <w:pPr>
              <w:jc w:val="center"/>
              <w:ind w:left="481"/>
              <w:spacing w:after="0"/>
              <w:rPr>
                <w:sz w:val="20"/>
                <w:szCs w:val="20"/>
                <w:color w:val="auto"/>
              </w:rPr>
            </w:pPr>
            <w:r>
              <w:rPr>
                <w:rFonts w:ascii="Arial" w:cs="Arial" w:eastAsia="Arial" w:hAnsi="Arial"/>
                <w:sz w:val="14"/>
                <w:szCs w:val="14"/>
                <w:b w:val="1"/>
                <w:bCs w:val="1"/>
                <w:color w:val="auto"/>
                <w:w w:val="91"/>
              </w:rPr>
              <w:t>(in millions)</w:t>
            </w:r>
          </w:p>
        </w:tc>
        <w:tc>
          <w:tcPr>
            <w:tcW w:w="900" w:type="dxa"/>
            <w:vAlign w:val="bottom"/>
          </w:tcPr>
          <w:p>
            <w:pPr>
              <w:spacing w:after="0"/>
              <w:rPr>
                <w:sz w:val="16"/>
                <w:szCs w:val="16"/>
                <w:color w:val="auto"/>
              </w:rPr>
            </w:pPr>
          </w:p>
        </w:tc>
      </w:tr>
      <w:tr>
        <w:trPr>
          <w:trHeight w:val="24"/>
        </w:trPr>
        <w:tc>
          <w:tcPr>
            <w:tcW w:w="5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2"/>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Salary and benefits related</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0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r>
      <w:tr>
        <w:trPr>
          <w:trHeight w:val="245"/>
        </w:trPr>
        <w:tc>
          <w:tcPr>
            <w:tcW w:w="510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34.6</w:t>
            </w:r>
          </w:p>
        </w:tc>
      </w:tr>
      <w:tr>
        <w:trPr>
          <w:trHeight w:val="258"/>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contract services and outside costs</w:t>
            </w:r>
          </w:p>
        </w:tc>
        <w:tc>
          <w:tcPr>
            <w:tcW w:w="94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188.6</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295.6</w:t>
            </w:r>
          </w:p>
        </w:tc>
      </w:tr>
      <w:tr>
        <w:trPr>
          <w:trHeight w:val="258"/>
        </w:trPr>
        <w:tc>
          <w:tcPr>
            <w:tcW w:w="5100" w:type="dxa"/>
            <w:vAlign w:val="bottom"/>
          </w:tcPr>
          <w:p>
            <w:pPr>
              <w:ind w:left="20"/>
              <w:spacing w:after="0"/>
              <w:rPr>
                <w:sz w:val="20"/>
                <w:szCs w:val="20"/>
                <w:color w:val="auto"/>
              </w:rPr>
            </w:pPr>
            <w:r>
              <w:rPr>
                <w:rFonts w:ascii="Arial" w:cs="Arial" w:eastAsia="Arial" w:hAnsi="Arial"/>
                <w:sz w:val="18"/>
                <w:szCs w:val="18"/>
                <w:color w:val="auto"/>
              </w:rPr>
              <w:t>Total selling, general and administrative expenses</w:t>
            </w:r>
          </w:p>
        </w:tc>
        <w:tc>
          <w:tcPr>
            <w:tcW w:w="940" w:type="dxa"/>
            <w:vAlign w:val="bottom"/>
          </w:tcPr>
          <w:p>
            <w:pPr>
              <w:jc w:val="right"/>
              <w:ind w:right="739"/>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283.9</w:t>
            </w:r>
          </w:p>
        </w:tc>
        <w:tc>
          <w:tcPr>
            <w:tcW w:w="10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253.3</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599.5</w:t>
            </w:r>
          </w:p>
        </w:tc>
        <w:tc>
          <w:tcPr>
            <w:tcW w:w="6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462.9</w:t>
            </w:r>
          </w:p>
        </w:tc>
      </w:tr>
      <w:tr>
        <w:trPr>
          <w:trHeight w:val="20"/>
        </w:trPr>
        <w:tc>
          <w:tcPr>
            <w:tcW w:w="5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880"/>
        </w:trPr>
        <w:tc>
          <w:tcPr>
            <w:tcW w:w="5100" w:type="dxa"/>
            <w:vAlign w:val="bottom"/>
          </w:tcPr>
          <w:p>
            <w:pPr>
              <w:spacing w:after="0"/>
              <w:rPr>
                <w:sz w:val="24"/>
                <w:szCs w:val="24"/>
                <w:color w:val="auto"/>
              </w:rPr>
            </w:pPr>
          </w:p>
        </w:tc>
        <w:tc>
          <w:tcPr>
            <w:tcW w:w="940" w:type="dxa"/>
            <w:vAlign w:val="bottom"/>
          </w:tcPr>
          <w:p>
            <w:pPr>
              <w:jc w:val="right"/>
              <w:ind w:right="239"/>
              <w:spacing w:after="0"/>
              <w:rPr>
                <w:sz w:val="20"/>
                <w:szCs w:val="20"/>
                <w:color w:val="auto"/>
              </w:rPr>
            </w:pPr>
            <w:r>
              <w:rPr>
                <w:rFonts w:ascii="Arial" w:cs="Arial" w:eastAsia="Arial" w:hAnsi="Arial"/>
                <w:sz w:val="18"/>
                <w:szCs w:val="18"/>
                <w:color w:val="auto"/>
              </w:rPr>
              <w:t>49</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0"/>
        </w:trPr>
        <w:tc>
          <w:tcPr>
            <w:tcW w:w="51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67" w:lineRule="auto"/>
        <w:rPr>
          <w:sz w:val="20"/>
          <w:szCs w:val="20"/>
          <w:color w:val="auto"/>
        </w:rPr>
      </w:pPr>
      <w:r>
        <w:rPr>
          <w:rFonts w:ascii="Arial" w:cs="Arial" w:eastAsia="Arial" w:hAnsi="Arial"/>
          <w:sz w:val="17"/>
          <w:szCs w:val="17"/>
          <w:color w:val="auto"/>
        </w:rPr>
        <w:t>The increase in salary and benefits related expense for the three and six months ended June 30, 2023 as compared to the corresponding period in 2022 was due primarily to increased headcount. This increased headcount was due primarily to the establishment of our dermatology commercial organization. Stock compensation expense may fluctuate from period to period based on the number of awards granted, stock price volatility and expected award lives, as well as expected award forfeiture rates which are used to value equity-based compensation. The increase in other contract services and outside costs for the three and six months ended June 30, 2023, as compared to the corresponding periods in 2022, was primarily due to expenses related to promotional activities to support the launch of OPZELURA for the treatment of vitiligo.</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Loss on change in fair value of acquisition-related contingent consideration</w:t>
      </w:r>
    </w:p>
    <w:p>
      <w:pPr>
        <w:spacing w:after="0" w:line="217" w:lineRule="exact"/>
        <w:rPr>
          <w:sz w:val="20"/>
          <w:szCs w:val="20"/>
          <w:color w:val="auto"/>
        </w:rPr>
      </w:pPr>
    </w:p>
    <w:p>
      <w:pPr>
        <w:jc w:val="both"/>
        <w:ind w:firstLine="636"/>
        <w:spacing w:after="0" w:line="305" w:lineRule="auto"/>
        <w:rPr>
          <w:sz w:val="20"/>
          <w:szCs w:val="20"/>
          <w:color w:val="auto"/>
        </w:rPr>
      </w:pPr>
      <w:r>
        <w:rPr>
          <w:rFonts w:ascii="Arial" w:cs="Arial" w:eastAsia="Arial" w:hAnsi="Arial"/>
          <w:sz w:val="15"/>
          <w:szCs w:val="15"/>
          <w:color w:val="auto"/>
        </w:rPr>
        <w:t>Acquisition-related contingent consideration, which consists of our future royalty obligations to ARIAD/Takeda, was recorded on the acquisition date, June 1, 2016, at the estimated fair value of the obligation, in accordance with the acquisition method of accounting. The fair value of the acquisition-related contingent consideration is remeasured quarterly. The loss on change in fair value of the acquisition-related contingent consideration for the three and six months ended June 30, 2023 was $8.4 million and $14.6 million, respectively, which is recorded in loss on change in fair value of acquisition-related contingent consideration on the condensed consolidated statements of operations. The loss on change in fair value of the acquisition-related contingent consideration for the three and six months ended June 30, 2022 was $3.3 million and $9.7 million, respectively, which is recorded in loss on change in fair value of acquisition-related contingent consideration on the condensed consolidated statements of operations. The loss on change in fair value of the contingent consideration during the three and six months ended June 30, 2023 was due primarily to the passage of time.</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(Profit) and loss sharing under collaboration agreements</w:t>
      </w:r>
    </w:p>
    <w:p>
      <w:pPr>
        <w:spacing w:after="0" w:line="217" w:lineRule="exact"/>
        <w:rPr>
          <w:sz w:val="20"/>
          <w:szCs w:val="20"/>
          <w:color w:val="auto"/>
        </w:rPr>
      </w:pPr>
    </w:p>
    <w:p>
      <w:pPr>
        <w:jc w:val="both"/>
        <w:ind w:firstLine="636"/>
        <w:spacing w:after="0" w:line="267" w:lineRule="auto"/>
        <w:rPr>
          <w:sz w:val="20"/>
          <w:szCs w:val="20"/>
          <w:color w:val="auto"/>
        </w:rPr>
      </w:pPr>
      <w:r>
        <w:rPr>
          <w:rFonts w:ascii="Arial" w:cs="Arial" w:eastAsia="Arial" w:hAnsi="Arial"/>
          <w:sz w:val="17"/>
          <w:szCs w:val="17"/>
          <w:color w:val="auto"/>
        </w:rPr>
        <w:t>Under the collaboration and license agreement with MorphoSys, which was executed in March 2020, we and MorphoSys are both responsible for the commercialization efforts of tafasitamab in the United States and will share equally the profits and losses from the co-commercialization efforts. For the three and six months ended June 30, 2023, our 50% share of the profits for tafasitamab was $0.5 million and $1.9 million, respectively, as recorded in (profit) and loss sharing under collaboration agreements on the condensed consolidated statement of operations. For the three and six months ended June 30, 2022, our 50% share of the losses for tafasitamab was $2.5 million and $7.3 million, respectively, as recorded in (profit) and loss sharing under collaboration agreements on the condensed consolidated statement of operations.</w:t>
      </w:r>
    </w:p>
    <w:p>
      <w:pPr>
        <w:spacing w:after="0" w:line="179"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i w:val="1"/>
          <w:iCs w:val="1"/>
          <w:color w:val="auto"/>
        </w:rPr>
        <w:t>Interest income and other, net</w:t>
      </w:r>
      <w:r>
        <w:rPr>
          <w:rFonts w:ascii="Arial" w:cs="Arial" w:eastAsia="Arial" w:hAnsi="Arial"/>
          <w:sz w:val="18"/>
          <w:szCs w:val="18"/>
          <w:color w:val="auto"/>
        </w:rPr>
        <w:t>. Interest income and other, net for the three and six months ended June 30, 2023 was $42.7 million and $75.5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Interest income and other, net for the three and six months ended June 30, 2022 was $0.5 million and $1.8 million, respectively. The increase in Interest income and other, net for the three and six months ended June 30, 2023 primarily relates to an increase in interest earned on our cash equivalents and marketable securities.</w:t>
      </w:r>
    </w:p>
    <w:p>
      <w:pPr>
        <w:spacing w:after="0" w:line="191"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i w:val="1"/>
          <w:iCs w:val="1"/>
          <w:color w:val="auto"/>
        </w:rPr>
        <w:t xml:space="preserve">Unrealized gain (loss) on long term investments. </w:t>
      </w:r>
      <w:r>
        <w:rPr>
          <w:rFonts w:ascii="Arial" w:cs="Arial" w:eastAsia="Arial" w:hAnsi="Arial"/>
          <w:sz w:val="18"/>
          <w:szCs w:val="18"/>
          <w:color w:val="auto"/>
        </w:rPr>
        <w:t>Unrealized gains and losses on long term investments will fluctuate from period to period,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change in fair value of the securities we hold in our publicly held collaboration partners. The following table provides a summary of those unrealized gains (losses):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gridSpan w:val="3"/>
          </w:tcPr>
          <w:p>
            <w:pPr>
              <w:jc w:val="center"/>
              <w:ind w:left="498"/>
              <w:spacing w:after="0"/>
              <w:rPr>
                <w:sz w:val="20"/>
                <w:szCs w:val="20"/>
                <w:color w:val="auto"/>
              </w:rPr>
            </w:pPr>
            <w:r>
              <w:rPr>
                <w:rFonts w:ascii="Arial" w:cs="Arial" w:eastAsia="Arial" w:hAnsi="Arial"/>
                <w:sz w:val="14"/>
                <w:szCs w:val="14"/>
                <w:b w:val="1"/>
                <w:bCs w:val="1"/>
                <w:color w:val="auto"/>
                <w:w w:val="92"/>
              </w:rPr>
              <w:t>Six Months Ended</w:t>
            </w:r>
          </w:p>
        </w:tc>
        <w:tc>
          <w:tcPr>
            <w:tcW w:w="920" w:type="dxa"/>
            <w:vAlign w:val="bottom"/>
          </w:tcPr>
          <w:p>
            <w:pPr>
              <w:spacing w:after="0"/>
              <w:rPr>
                <w:sz w:val="14"/>
                <w:szCs w:val="14"/>
                <w:color w:val="auto"/>
              </w:rPr>
            </w:pPr>
          </w:p>
        </w:tc>
      </w:tr>
      <w:tr>
        <w:trPr>
          <w:trHeight w:val="184"/>
        </w:trPr>
        <w:tc>
          <w:tcPr>
            <w:tcW w:w="5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80" w:type="dxa"/>
            <w:vAlign w:val="bottom"/>
            <w:gridSpan w:val="3"/>
          </w:tcPr>
          <w:p>
            <w:pPr>
              <w:jc w:val="center"/>
              <w:ind w:left="478"/>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Pr>
          <w:p>
            <w:pPr>
              <w:spacing w:after="0"/>
              <w:rPr>
                <w:sz w:val="15"/>
                <w:szCs w:val="15"/>
                <w:color w:val="auto"/>
              </w:rPr>
            </w:pPr>
          </w:p>
        </w:tc>
      </w:tr>
      <w:tr>
        <w:trPr>
          <w:trHeight w:val="24"/>
        </w:trPr>
        <w:tc>
          <w:tcPr>
            <w:tcW w:w="50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1"/>
        </w:trPr>
        <w:tc>
          <w:tcPr>
            <w:tcW w:w="50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tcPr>
          <w:p>
            <w:pPr>
              <w:jc w:val="right"/>
              <w:ind w:right="514"/>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49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ind w:right="514"/>
              <w:spacing w:after="0"/>
              <w:rPr>
                <w:sz w:val="20"/>
                <w:szCs w:val="20"/>
                <w:color w:val="auto"/>
              </w:rPr>
            </w:pPr>
            <w:r>
              <w:rPr>
                <w:rFonts w:ascii="Arial" w:cs="Arial" w:eastAsia="Arial" w:hAnsi="Arial"/>
                <w:sz w:val="14"/>
                <w:szCs w:val="14"/>
                <w:b w:val="1"/>
                <w:bCs w:val="1"/>
                <w:color w:val="auto"/>
                <w:w w:val="96"/>
              </w:rPr>
              <w:t>2022</w:t>
            </w:r>
          </w:p>
        </w:tc>
      </w:tr>
      <w:tr>
        <w:trPr>
          <w:trHeight w:val="24"/>
        </w:trPr>
        <w:tc>
          <w:tcPr>
            <w:tcW w:w="50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1"/>
        </w:trPr>
        <w:tc>
          <w:tcPr>
            <w:tcW w:w="5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 millions)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80" w:type="dxa"/>
            <w:vAlign w:val="bottom"/>
            <w:gridSpan w:val="3"/>
          </w:tcPr>
          <w:p>
            <w:pPr>
              <w:jc w:val="center"/>
              <w:ind w:left="498"/>
              <w:spacing w:after="0"/>
              <w:rPr>
                <w:sz w:val="20"/>
                <w:szCs w:val="20"/>
                <w:color w:val="auto"/>
              </w:rPr>
            </w:pPr>
            <w:r>
              <w:rPr>
                <w:rFonts w:ascii="Arial" w:cs="Arial" w:eastAsia="Arial" w:hAnsi="Arial"/>
                <w:sz w:val="14"/>
                <w:szCs w:val="14"/>
                <w:b w:val="1"/>
                <w:bCs w:val="1"/>
                <w:color w:val="auto"/>
                <w:w w:val="91"/>
              </w:rPr>
              <w:t>(in millions)</w:t>
            </w:r>
          </w:p>
        </w:tc>
        <w:tc>
          <w:tcPr>
            <w:tcW w:w="920" w:type="dxa"/>
            <w:vAlign w:val="bottom"/>
          </w:tcPr>
          <w:p>
            <w:pPr>
              <w:spacing w:after="0"/>
              <w:rPr>
                <w:sz w:val="15"/>
                <w:szCs w:val="15"/>
                <w:color w:val="auto"/>
              </w:rPr>
            </w:pPr>
          </w:p>
        </w:tc>
      </w:tr>
      <w:tr>
        <w:trPr>
          <w:trHeight w:val="37"/>
        </w:trPr>
        <w:tc>
          <w:tcPr>
            <w:tcW w:w="50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52"/>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Agenus</w:t>
            </w: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45"/>
        </w:trPr>
        <w:tc>
          <w:tcPr>
            <w:tcW w:w="5040" w:type="dxa"/>
            <w:vAlign w:val="bottom"/>
          </w:tcPr>
          <w:p>
            <w:pPr>
              <w:ind w:left="20"/>
              <w:spacing w:after="0"/>
              <w:rPr>
                <w:sz w:val="20"/>
                <w:szCs w:val="20"/>
                <w:color w:val="auto"/>
              </w:rPr>
            </w:pPr>
            <w:r>
              <w:rPr>
                <w:rFonts w:ascii="Arial" w:cs="Arial" w:eastAsia="Arial" w:hAnsi="Arial"/>
                <w:sz w:val="18"/>
                <w:szCs w:val="18"/>
                <w:color w:val="auto"/>
              </w:rPr>
              <w:t>Calithera</w:t>
            </w:r>
          </w:p>
        </w:tc>
        <w:tc>
          <w:tcPr>
            <w:tcW w:w="8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5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Merus</w:t>
            </w:r>
          </w:p>
        </w:tc>
        <w:tc>
          <w:tcPr>
            <w:tcW w:w="8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45"/>
        </w:trPr>
        <w:tc>
          <w:tcPr>
            <w:tcW w:w="5040" w:type="dxa"/>
            <w:vAlign w:val="bottom"/>
          </w:tcPr>
          <w:p>
            <w:pPr>
              <w:ind w:left="20"/>
              <w:spacing w:after="0"/>
              <w:rPr>
                <w:sz w:val="20"/>
                <w:szCs w:val="20"/>
                <w:color w:val="auto"/>
              </w:rPr>
            </w:pPr>
            <w:r>
              <w:rPr>
                <w:rFonts w:ascii="Arial" w:cs="Arial" w:eastAsia="Arial" w:hAnsi="Arial"/>
                <w:sz w:val="18"/>
                <w:szCs w:val="18"/>
                <w:color w:val="auto"/>
              </w:rPr>
              <w:t>MorphoSys</w:t>
            </w:r>
          </w:p>
        </w:tc>
        <w:tc>
          <w:tcPr>
            <w:tcW w:w="8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52"/>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Syndax</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5"/>
        </w:trPr>
        <w:tc>
          <w:tcPr>
            <w:tcW w:w="5040" w:type="dxa"/>
            <w:vAlign w:val="bottom"/>
          </w:tcPr>
          <w:p>
            <w:pPr>
              <w:ind w:left="20"/>
              <w:spacing w:after="0"/>
              <w:rPr>
                <w:sz w:val="20"/>
                <w:szCs w:val="20"/>
                <w:color w:val="auto"/>
              </w:rPr>
            </w:pPr>
            <w:r>
              <w:rPr>
                <w:rFonts w:ascii="Arial" w:cs="Arial" w:eastAsia="Arial" w:hAnsi="Arial"/>
                <w:sz w:val="18"/>
                <w:szCs w:val="18"/>
                <w:color w:val="auto"/>
              </w:rPr>
              <w:t>Mink</w:t>
            </w:r>
          </w:p>
        </w:tc>
        <w:tc>
          <w:tcPr>
            <w:tcW w:w="8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2"/>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Syros</w:t>
            </w:r>
          </w:p>
        </w:tc>
        <w:tc>
          <w:tcPr>
            <w:tcW w:w="8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52"/>
        </w:trPr>
        <w:tc>
          <w:tcPr>
            <w:tcW w:w="5040" w:type="dxa"/>
            <w:vAlign w:val="bottom"/>
          </w:tcPr>
          <w:p>
            <w:pPr>
              <w:ind w:left="20"/>
              <w:spacing w:after="0"/>
              <w:rPr>
                <w:sz w:val="20"/>
                <w:szCs w:val="20"/>
                <w:color w:val="auto"/>
              </w:rPr>
            </w:pPr>
            <w:r>
              <w:rPr>
                <w:rFonts w:ascii="Arial" w:cs="Arial" w:eastAsia="Arial" w:hAnsi="Arial"/>
                <w:sz w:val="18"/>
                <w:szCs w:val="18"/>
                <w:color w:val="auto"/>
              </w:rPr>
              <w:t>Total unrealized gain (loss) on long term investments</w:t>
            </w: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41.8</w:t>
            </w:r>
          </w:p>
        </w:tc>
        <w:tc>
          <w:tcPr>
            <w:tcW w:w="6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(24.9)</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36.5</w:t>
            </w:r>
          </w:p>
        </w:tc>
        <w:tc>
          <w:tcPr>
            <w:tcW w:w="6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(71.5)</w:t>
            </w:r>
          </w:p>
        </w:tc>
      </w:tr>
      <w:tr>
        <w:trPr>
          <w:trHeight w:val="20"/>
        </w:trPr>
        <w:tc>
          <w:tcPr>
            <w:tcW w:w="50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880"/>
        </w:trPr>
        <w:tc>
          <w:tcPr>
            <w:tcW w:w="5040" w:type="dxa"/>
            <w:vAlign w:val="bottom"/>
          </w:tcPr>
          <w:p>
            <w:pPr>
              <w:spacing w:after="0"/>
              <w:rPr>
                <w:sz w:val="24"/>
                <w:szCs w:val="24"/>
                <w:color w:val="auto"/>
              </w:rPr>
            </w:pPr>
          </w:p>
        </w:tc>
        <w:tc>
          <w:tcPr>
            <w:tcW w:w="880" w:type="dxa"/>
            <w:vAlign w:val="bottom"/>
          </w:tcPr>
          <w:p>
            <w:pPr>
              <w:jc w:val="right"/>
              <w:ind w:right="116"/>
              <w:spacing w:after="0"/>
              <w:rPr>
                <w:sz w:val="20"/>
                <w:szCs w:val="20"/>
                <w:color w:val="auto"/>
              </w:rPr>
            </w:pPr>
            <w:r>
              <w:rPr>
                <w:rFonts w:ascii="Arial" w:cs="Arial" w:eastAsia="Arial" w:hAnsi="Arial"/>
                <w:sz w:val="18"/>
                <w:szCs w:val="18"/>
                <w:color w:val="auto"/>
              </w:rPr>
              <w:t>50</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3"/>
        </w:trPr>
        <w:tc>
          <w:tcPr>
            <w:tcW w:w="50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365" w:lineRule="auto"/>
        <w:rPr>
          <w:sz w:val="20"/>
          <w:szCs w:val="20"/>
          <w:color w:val="auto"/>
        </w:rPr>
      </w:pPr>
      <w:r>
        <w:rPr>
          <w:rFonts w:ascii="Arial" w:cs="Arial" w:eastAsia="Arial" w:hAnsi="Arial"/>
          <w:sz w:val="15"/>
          <w:szCs w:val="15"/>
          <w:i w:val="1"/>
          <w:iCs w:val="1"/>
          <w:color w:val="auto"/>
        </w:rPr>
        <w:t xml:space="preserve">Provision for income taxes. </w:t>
      </w:r>
      <w:r>
        <w:rPr>
          <w:rFonts w:ascii="Arial" w:cs="Arial" w:eastAsia="Arial" w:hAnsi="Arial"/>
          <w:sz w:val="15"/>
          <w:szCs w:val="15"/>
          <w:color w:val="auto"/>
        </w:rPr>
        <w:t>The provision for income taxes for the three and six months ended June 30, 2023 was $74.1 million and $104.2 million,</w:t>
      </w:r>
      <w:r>
        <w:rPr>
          <w:rFonts w:ascii="Arial" w:cs="Arial" w:eastAsia="Arial" w:hAnsi="Arial"/>
          <w:sz w:val="15"/>
          <w:szCs w:val="15"/>
          <w:i w:val="1"/>
          <w:iCs w:val="1"/>
          <w:color w:val="auto"/>
        </w:rPr>
        <w:t xml:space="preserve"> </w:t>
      </w:r>
      <w:r>
        <w:rPr>
          <w:rFonts w:ascii="Arial" w:cs="Arial" w:eastAsia="Arial" w:hAnsi="Arial"/>
          <w:sz w:val="15"/>
          <w:szCs w:val="15"/>
          <w:color w:val="auto"/>
        </w:rPr>
        <w:t>respectively. The provision for income taxes for the three and six months ended June 30, 2022 was $67.9 million and $100.5 million, respectively.</w:t>
      </w:r>
    </w:p>
    <w:p>
      <w:pPr>
        <w:spacing w:after="0" w:line="111" w:lineRule="exact"/>
        <w:rPr>
          <w:sz w:val="20"/>
          <w:szCs w:val="20"/>
          <w:color w:val="auto"/>
        </w:rPr>
      </w:pPr>
    </w:p>
    <w:p>
      <w:pPr>
        <w:jc w:val="both"/>
        <w:ind w:firstLine="636"/>
        <w:spacing w:after="0" w:line="312" w:lineRule="auto"/>
        <w:rPr>
          <w:sz w:val="20"/>
          <w:szCs w:val="20"/>
          <w:color w:val="auto"/>
        </w:rPr>
      </w:pPr>
      <w:r>
        <w:rPr>
          <w:rFonts w:ascii="Arial" w:cs="Arial" w:eastAsia="Arial" w:hAnsi="Arial"/>
          <w:sz w:val="15"/>
          <w:szCs w:val="15"/>
          <w:color w:val="auto"/>
        </w:rPr>
        <w:t>Our effective tax rate for each of the three and six months ended June 30, 2023 and 2022 was higher than the U.S. statutory rate primarily due to foreign losses with no associated tax benefit (i.e., full valuation allowance) and an increase in our valuation allowance against certain U.S. federal and state deferred tax assets offset to a lesser extent by tax rate benefits associated with research and development and orphan drug tax credit generations and foreign derived intangible income deductions. The effective tax rate for the three and six months ended June 30, 2023 decreased as compared to that for the prior year periods due to a greater tax benefit recognized in 2023 associated with research and development and orphan drug tax credit generations.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3" w:lineRule="exact"/>
        <w:rPr>
          <w:sz w:val="20"/>
          <w:szCs w:val="20"/>
          <w:color w:val="auto"/>
        </w:rPr>
      </w:pPr>
    </w:p>
    <w:p>
      <w:pPr>
        <w:jc w:val="both"/>
        <w:ind w:firstLine="636"/>
        <w:spacing w:after="0" w:line="268" w:lineRule="auto"/>
        <w:rPr>
          <w:sz w:val="20"/>
          <w:szCs w:val="20"/>
          <w:color w:val="auto"/>
        </w:rPr>
      </w:pPr>
      <w:r>
        <w:rPr>
          <w:rFonts w:ascii="Arial" w:cs="Arial" w:eastAsia="Arial" w:hAnsi="Arial"/>
          <w:sz w:val="17"/>
          <w:szCs w:val="17"/>
          <w:color w:val="auto"/>
        </w:rPr>
        <w:t>Due to historical net losses, we had an accumulated deficit of $212 million as of June 30, 2023. We have funded our research and development operations through cash received from customers, sales of equity securities, the issuance of convertible notes, and collaborative arrangements. At June 30, 2023, we had available cash, cash equivalents and marketable securities of $3.4 billion. Our cash and marketable securities balances are held in a variety of interest-bearing instruments, including money market accounts, and U.S. government debt securities. Available cash is invested in accordance with our investment policy’s primary objectives of liquidity, safety of principal and diversity of investments.</w:t>
      </w:r>
    </w:p>
    <w:p>
      <w:pPr>
        <w:spacing w:after="0" w:line="181"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Net cash provided by operating activities for the six months ended June 30, 2023 was $200.9 million and net cash provided by operating activities for the six months ended June 30, 2022 was $389.9 million. The decrease in cash provided by operating activities was due primarily to changes in working capital.</w:t>
      </w:r>
    </w:p>
    <w:p>
      <w:pPr>
        <w:spacing w:after="0" w:line="188" w:lineRule="exact"/>
        <w:rPr>
          <w:sz w:val="20"/>
          <w:szCs w:val="20"/>
          <w:color w:val="auto"/>
        </w:rPr>
      </w:pPr>
    </w:p>
    <w:p>
      <w:pPr>
        <w:jc w:val="both"/>
        <w:ind w:firstLine="636"/>
        <w:spacing w:after="0" w:line="306" w:lineRule="auto"/>
        <w:rPr>
          <w:sz w:val="20"/>
          <w:szCs w:val="20"/>
          <w:color w:val="auto"/>
        </w:rPr>
      </w:pPr>
      <w:r>
        <w:rPr>
          <w:rFonts w:ascii="Arial" w:cs="Arial" w:eastAsia="Arial" w:hAnsi="Arial"/>
          <w:sz w:val="15"/>
          <w:szCs w:val="15"/>
          <w:color w:val="auto"/>
        </w:rPr>
        <w:t>Our investing activities, other than purchases, sales and maturities of marketable securities, have consisted predominantly of capital expenditures and purchases of long term investments. Net cash used in investing activities was $36.0 million for the six months ended June 30, 2023, which represented purchases of marketable securities of $152.3 million, payments for intangible assets of $15.0 million, and capital expenditures of $19.2 million, offset in part by the sale and maturities of marketable securities of $150.5 million. Net cash used in investing activities was $29.2 million for the six months ended June 30, 2022, which represented purchases of marketable securities of $44.0 million and capital expenditures of $28.7 million, offset in part by the sales and maturities of marketable securities of $43.5 million. In the future, net cash used by investing activities may fluctuate significantly from period to period due to the timing of strategic equity investments, acquisitions, and capital expenditures and maturities/sales and purchases of marketable securities.</w:t>
      </w:r>
    </w:p>
    <w:p>
      <w:pPr>
        <w:spacing w:after="0" w:line="157"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Net cash provided by financing activities was $16.9 million and $16.0 million for the six months ended June 30, 2023 and 2022, respectively, primarily representing proceeds from the issuance of common stock under our stock plans, offset in part by cash paid to ARIAD/Takeda for contingent consideration.</w:t>
      </w:r>
    </w:p>
    <w:p>
      <w:pPr>
        <w:spacing w:after="0" w:line="188"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In October 2019, we entered into an agreement with Wilmington Friends School Inc., to purchase property for $50.0 million to expand our global headquarters. Under that agreement, closing of the purchase is subject to certain standard closing conditions, including an initial diligence period and a subsequent approval period.</w:t>
      </w:r>
    </w:p>
    <w:p>
      <w:pPr>
        <w:spacing w:after="0" w:line="188"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7"/>
          <w:szCs w:val="17"/>
          <w:color w:val="auto"/>
        </w:rPr>
        <w:t>In August 2021, we entered into a $500.0 million, three-year senior unsecured revolving credit facility. We may increase the maximum revolving commitments or add one or more incremental term loan facilities, subject to obtaining commitments from any participating lenders and certain other conditions, in an amount not to exceed $250.0 million plus a contingent additional amount that is dependent on our pro forma consolidated leverage ratio. As of June 30, 2023, we had no outstanding borrowings and were in compliance with all covenants under this facility.</w:t>
      </w:r>
    </w:p>
    <w:p>
      <w:pPr>
        <w:spacing w:after="0" w:line="177"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Our U.S. income tax payments will increase significantly in 2023 resulting from the full utilization in 2022 of our research and development and orphan drug tax credit carryforwards generated in prior years. Our U.S. tax liabilities continue to reflect the adverse impacts of the mandatory capitalization and amortization of research and development expenses as required under the Tax Cuts and Jobs Act of 2017, which eliminated the immediate expensing of such expenses.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306" w:lineRule="auto"/>
        <w:rPr>
          <w:sz w:val="20"/>
          <w:szCs w:val="20"/>
          <w:color w:val="auto"/>
        </w:rPr>
      </w:pPr>
      <w:r>
        <w:rPr>
          <w:rFonts w:ascii="Arial" w:cs="Arial" w:eastAsia="Arial" w:hAnsi="Arial"/>
          <w:sz w:val="15"/>
          <w:szCs w:val="15"/>
          <w:color w:val="auto"/>
        </w:rPr>
        <w:t>We believe that our cash flow from operations, together with our cash, cash equivalents and marketable securities and funds available under our revolving credit facility, will be adequate to satisfy our capital needs for the foreseeable future. Our cash requirements depend on numerous factors, including our expenditures in connection with our drug discovery and development programs and commercialization operations; expenditures in connection with litigation or other legal proceedings; costs for future facility requirements; and expenditures for future strategic equity investments or potential acquisitions. We have entered into and may in the future seek to license additional rights relating to technologies or drug development candidates in connection with our drug discovery and development programs. Under these licenses, we may be required to pay upfront fees, milestone payments, and royalties on sales of future products. These contingent future payments are discussed in detail in Note 7 of notes to the condensed consolidated financial statements.</w:t>
      </w:r>
    </w:p>
    <w:p>
      <w:pPr>
        <w:spacing w:after="0" w:line="157"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To the extent we seek to augment our existing cash resources and cash flow from operations to satisfy our cash requirements for future acquisitions or other strategic purposes, we expect that additional funding can be obtained through equity or debt financings or from other sources. The sale of equity or convertible debt securities in the future may be dilutive to our stockholders, and may provide for rights, preferences or privileges senior to those of our holders of common stock. Debt financing arrangements may require us to pledge certain assets or enter into covenants that could restrict our operations or our ability to incur further indebtedness.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3"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7"/>
          <w:szCs w:val="17"/>
          <w:color w:val="auto"/>
        </w:rPr>
        <w:t>Our investments in marketable securities, which are composed primarily of U.S. government debt securities, are subject to default, changes in credit rating and changes in market value. These investments are also subject to interest rate risk and will decrease in value if market interest rates increase. As of June 30, 2023, marketable securities were $292.2 million. Due to the nature of these investments, if market interest rates were to increase immediately and uniformly by 10% from levels as of June 30, 2023, the decline in fair value would not be material.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3" w:lineRule="exact"/>
        <w:rPr>
          <w:sz w:val="20"/>
          <w:szCs w:val="20"/>
          <w:color w:val="auto"/>
        </w:rPr>
      </w:pPr>
    </w:p>
    <w:p>
      <w:pPr>
        <w:jc w:val="both"/>
        <w:ind w:firstLine="636"/>
        <w:spacing w:after="0" w:line="263" w:lineRule="auto"/>
        <w:rPr>
          <w:sz w:val="20"/>
          <w:szCs w:val="20"/>
          <w:color w:val="auto"/>
        </w:rPr>
      </w:pPr>
      <w:r>
        <w:rPr>
          <w:rFonts w:ascii="Arial" w:cs="Arial" w:eastAsia="Arial" w:hAnsi="Arial"/>
          <w:sz w:val="17"/>
          <w:szCs w:val="17"/>
          <w:b w:val="1"/>
          <w:bCs w:val="1"/>
          <w:i w:val="1"/>
          <w:iCs w:val="1"/>
          <w:color w:val="auto"/>
        </w:rPr>
        <w:t xml:space="preserve">Evaluation of disclosure controls and procedures. </w:t>
      </w:r>
      <w:r>
        <w:rPr>
          <w:rFonts w:ascii="Arial" w:cs="Arial" w:eastAsia="Arial" w:hAnsi="Arial"/>
          <w:sz w:val="17"/>
          <w:szCs w:val="17"/>
          <w:color w:val="auto"/>
        </w:rPr>
        <w:t>We maintain “disclosure controls and procedures,” as such term is defined in Rule 13a-15(e)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 the Securities Exchange Act of 1934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88" w:lineRule="exact"/>
        <w:rPr>
          <w:sz w:val="20"/>
          <w:szCs w:val="20"/>
          <w:color w:val="auto"/>
        </w:rPr>
      </w:pPr>
    </w:p>
    <w:p>
      <w:pPr>
        <w:jc w:val="both"/>
        <w:ind w:firstLine="636"/>
        <w:spacing w:after="0" w:line="294" w:lineRule="auto"/>
        <w:rPr>
          <w:sz w:val="20"/>
          <w:szCs w:val="20"/>
          <w:color w:val="auto"/>
        </w:rPr>
      </w:pPr>
      <w:r>
        <w:rPr>
          <w:rFonts w:ascii="Arial" w:cs="Arial" w:eastAsia="Arial" w:hAnsi="Arial"/>
          <w:sz w:val="17"/>
          <w:szCs w:val="17"/>
          <w:color w:val="auto"/>
        </w:rPr>
        <w:t>Based on their evaluation as of the end of the period covered by this Quarterly Report on Form 10-Q, our Chief Executive Officer and Chief Financial Officer concluded that, as of such date, our disclosure controls and procedures were effective at the reasonable assurance level.</w:t>
      </w:r>
    </w:p>
    <w:p>
      <w:pPr>
        <w:spacing w:after="0" w:line="157" w:lineRule="exact"/>
        <w:rPr>
          <w:sz w:val="20"/>
          <w:szCs w:val="20"/>
          <w:color w:val="auto"/>
        </w:rPr>
      </w:pPr>
    </w:p>
    <w:p>
      <w:pPr>
        <w:jc w:val="both"/>
        <w:ind w:firstLine="636"/>
        <w:spacing w:after="0" w:line="309" w:lineRule="auto"/>
        <w:rPr>
          <w:sz w:val="20"/>
          <w:szCs w:val="20"/>
          <w:color w:val="auto"/>
        </w:rPr>
      </w:pPr>
      <w:r>
        <w:rPr>
          <w:rFonts w:ascii="Arial" w:cs="Arial" w:eastAsia="Arial" w:hAnsi="Arial"/>
          <w:sz w:val="15"/>
          <w:szCs w:val="15"/>
          <w:b w:val="1"/>
          <w:bCs w:val="1"/>
          <w:i w:val="1"/>
          <w:iCs w:val="1"/>
          <w:color w:val="auto"/>
        </w:rPr>
        <w:t>Changes in internal control over financial reporting</w:t>
      </w:r>
      <w:r>
        <w:rPr>
          <w:rFonts w:ascii="Arial" w:cs="Arial" w:eastAsia="Arial" w:hAnsi="Arial"/>
          <w:sz w:val="15"/>
          <w:szCs w:val="15"/>
          <w:color w:val="auto"/>
        </w:rPr>
        <w:t>. In the second quarter of 2023, we began the implementation of a new enterprise resource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planning system. This implementation was planned in phases to correspond with the needs of the Company. Due to this implementation, internal controls have changed in various functional areas within the Company. Management has taken steps so that the appropriate internal controls are designed and implemented as each functional area of the system is enacted. This implementation is anticipated to continue through the end of the third quarter of 2023. Other than noted above, there were no changes in our internal control over financial reporting (as defined in Rules 13a-15(f) and 15d-15(f) under the Exchange Act) for the three months ended June 30, 2023, that materially affected or are reasonably likely to materially affect our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COMMERCIALIZATION OF OUR PRODUCTS</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depend heavily on our lead product, JAKAFI (ruxolitinib), which is marketed as JAKAVI outside the United States. If we are unable to maintain revenues from JAKAFI or those revenues decrease, our business may be materially harmed.</w:t>
      </w:r>
    </w:p>
    <w:p>
      <w:pPr>
        <w:spacing w:after="0" w:line="181" w:lineRule="exact"/>
        <w:rPr>
          <w:sz w:val="20"/>
          <w:szCs w:val="20"/>
          <w:color w:val="auto"/>
        </w:rPr>
      </w:pPr>
    </w:p>
    <w:p>
      <w:pPr>
        <w:jc w:val="both"/>
        <w:ind w:firstLine="636"/>
        <w:spacing w:after="0" w:line="301" w:lineRule="auto"/>
        <w:rPr>
          <w:sz w:val="20"/>
          <w:szCs w:val="20"/>
          <w:color w:val="auto"/>
        </w:rPr>
      </w:pPr>
      <w:r>
        <w:rPr>
          <w:rFonts w:ascii="Arial" w:cs="Arial" w:eastAsia="Arial" w:hAnsi="Arial"/>
          <w:sz w:val="15"/>
          <w:szCs w:val="15"/>
          <w:color w:val="auto"/>
        </w:rPr>
        <w:t>JAKAFI is our first product marketed by us that is approved for sale in the United States. JAKAFI was approved by the U.S. Food and Drug Administration, or FDA, in November 2011 for the treatment of patients with intermediate or high-risk myelofibrosis, in December 2014 for the treatment of patients with polycythemia vera who have had an inadequate response to or are intolerant of hydroxyurea, which we refer to as uncontrolled polycythemia vera, in May 2019 for the treatment of steroid-refractory acute graft-versus-host disease in adult and pediatric patients 12 years and older and in September 2021 for the treatment of steroid-refractory chronic graft-versus-host disease in adult and pediatric patients 12 years and older. Although we have received regulatory approval for these indications, such approval does not guarantee future revenues. While we also sell ICLUSIG in the European Union, or EU, and other countries for the treatment of certain types of leukemia, PEMAZYRE in the United States, Europe and Japan for the treatment of certain metastatic cholangiocarcinoma indications, as well as for certain blood cancer indications in the United States and Japan, MONJUVI in the United States and MINJUVI in the European Union for the treatment of certain lymphoma indications, and OPZELURA in the Unites States for the treatment of certain indications of atopic dermatitis and vitiligo, and our exclusive licensees sell OLUMIANT (baricitinib) for the treatment of specified rheumatoid arthritis and atopic dermatitis indications and TABRECTA for the treatment of a certain type of non-small cell lung cancer, and recently received FDA approval and commenced sales of ZYNYZ for the treatment of adult patients with metastatic or recurrent locally advanced Merkel cell carcinoma, we anticipate that JAKAFI product sales will continue to contribute a significant percentage of our total revenues over the next several years.</w:t>
      </w:r>
    </w:p>
    <w:p>
      <w:pPr>
        <w:spacing w:after="0" w:line="372"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The commercial success of JAKAFI and our ability to maintain and continue to increase revenues from the sale of JAKAFI will depend on a number of factors, including:</w:t>
      </w:r>
    </w:p>
    <w:p>
      <w:pPr>
        <w:spacing w:after="0" w:line="181" w:lineRule="exact"/>
        <w:rPr>
          <w:sz w:val="20"/>
          <w:szCs w:val="20"/>
          <w:color w:val="auto"/>
        </w:rPr>
      </w:pPr>
    </w:p>
    <w:p>
      <w:pPr>
        <w:ind w:left="960" w:hanging="318"/>
        <w:spacing w:after="0" w:line="264"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patients with intermediate or high-risk myelofibrosis, uncontrolled polycythemia vera or steroid-refractory graft-versus-host disease who are diagnosed with the diseases and the number of such patients that may be treated with JAKAFI;</w:t>
      </w:r>
    </w:p>
    <w:p>
      <w:pPr>
        <w:spacing w:after="0" w:line="180" w:lineRule="exact"/>
        <w:rPr>
          <w:rFonts w:ascii="Arial" w:cs="Arial" w:eastAsia="Arial" w:hAnsi="Arial"/>
          <w:sz w:val="18"/>
          <w:szCs w:val="18"/>
          <w:color w:val="auto"/>
        </w:rPr>
      </w:pPr>
    </w:p>
    <w:p>
      <w:pPr>
        <w:ind w:left="960" w:hanging="318"/>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acceptance of JAKAFI by patients and the healthcare community;</w:t>
      </w:r>
    </w:p>
    <w:p>
      <w:pPr>
        <w:spacing w:after="0" w:line="217" w:lineRule="exact"/>
        <w:rPr>
          <w:rFonts w:ascii="Arial" w:cs="Arial" w:eastAsia="Arial" w:hAnsi="Arial"/>
          <w:sz w:val="18"/>
          <w:szCs w:val="18"/>
          <w:color w:val="auto"/>
        </w:rPr>
      </w:pPr>
    </w:p>
    <w:p>
      <w:pPr>
        <w:ind w:left="960" w:hanging="318"/>
        <w:spacing w:after="0" w:line="264"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physicians, patients and healthcare payors view JAKAFI as therapeutically effective and safe relative to cost and any alternative therapies, as well as whether patients will continue to use JAKAFI;</w:t>
      </w:r>
    </w:p>
    <w:p>
      <w:pPr>
        <w:spacing w:after="0" w:line="180" w:lineRule="exact"/>
        <w:rPr>
          <w:rFonts w:ascii="Arial" w:cs="Arial" w:eastAsia="Arial" w:hAnsi="Arial"/>
          <w:sz w:val="18"/>
          <w:szCs w:val="18"/>
          <w:color w:val="auto"/>
        </w:rPr>
      </w:pPr>
    </w:p>
    <w:p>
      <w:pPr>
        <w:ind w:left="960" w:hanging="318"/>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obtain and maintain sufficient coverage or reimbursement by third-party payors and pricing;</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ability of our third-party manufacturers to manufacture JAKAFI in sufficient quantities that meet all applicable quality standards;</w:t>
      </w:r>
    </w:p>
    <w:p>
      <w:pPr>
        <w:spacing w:after="0" w:line="228" w:lineRule="exact"/>
        <w:rPr>
          <w:rFonts w:ascii="Arial" w:cs="Arial" w:eastAsia="Arial" w:hAnsi="Arial"/>
          <w:sz w:val="17"/>
          <w:szCs w:val="17"/>
          <w:color w:val="auto"/>
        </w:rPr>
      </w:pPr>
    </w:p>
    <w:p>
      <w:pPr>
        <w:ind w:left="960" w:hanging="318"/>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of our company and our third-party providers to provide marketing and distribution support for JAKAFI;</w:t>
      </w:r>
    </w:p>
    <w:p>
      <w:pPr>
        <w:spacing w:after="0" w:line="217" w:lineRule="exact"/>
        <w:rPr>
          <w:rFonts w:ascii="Arial" w:cs="Arial" w:eastAsia="Arial" w:hAnsi="Arial"/>
          <w:sz w:val="18"/>
          <w:szCs w:val="18"/>
          <w:color w:val="auto"/>
        </w:rPr>
      </w:pPr>
    </w:p>
    <w:p>
      <w:pPr>
        <w:jc w:val="both"/>
        <w:ind w:left="960" w:hanging="318"/>
        <w:spacing w:after="0" w:line="312" w:lineRule="auto"/>
        <w:tabs>
          <w:tab w:leader="none" w:pos="9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effects of a public health pandemic, any associated quarantine, travel restriction, stay-at-home or shutdown orders, guidelines or practices, and any disruption in our supply chain for JAKAFI on our ability to provide marketing and distribution support for JAKAFI, our ability to produce sufficient quantities of JAKAFI that meet all applicable quality standards, patient demand (including new patient prescriptions and hesitancy of patients to make office visits) and other risks detailed further below under “—Other Risks Relating to our Business—Public health epidemics, such as the COVID-19 pandemic, could adversely affect our business, results of operations, and financial condition”;</w:t>
      </w:r>
    </w:p>
    <w:p>
      <w:pPr>
        <w:spacing w:after="0" w:line="150" w:lineRule="exact"/>
        <w:rPr>
          <w:rFonts w:ascii="Arial" w:cs="Arial" w:eastAsia="Arial" w:hAnsi="Arial"/>
          <w:sz w:val="15"/>
          <w:szCs w:val="15"/>
          <w:color w:val="auto"/>
        </w:rPr>
      </w:pPr>
    </w:p>
    <w:p>
      <w:pPr>
        <w:ind w:left="960" w:hanging="318"/>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label and promotional claims allowed by the FDA;</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maintenance of regulatory approval for the approved indications in the United States; and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960" w:hanging="318"/>
        <w:spacing w:after="0" w:line="264"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develop, obtain regulatory approval for and commercialize ruxolitinib in the United States for additional indications or in combination with other therapeutic modalities.</w:t>
      </w:r>
    </w:p>
    <w:p>
      <w:pPr>
        <w:spacing w:after="0" w:line="181"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If we are not able to maintain revenues from JAKAFI in the United States, or our revenues from JAKAFI decrease, our business may be materially harmed and we may need to delay other drug discovery, development and commercialization initiatives or even significantly curtail operations, and our ability to license or acquire new products to diversify our revenue base could be limited.</w:t>
      </w:r>
    </w:p>
    <w:p>
      <w:pPr>
        <w:spacing w:after="0" w:line="188"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In addition, revenues from our other products and our receipt of royalties under our collaboration agreements, including our agreements with Novartis for sales of JAKAVI outside the United States and TABRECTA globally and with Eli Lilly and Company for worldwide sales of OLUMIANT, will depend on factors similar to those listed above, with similar regulatory, pricing and reimbursement issues driven by applicable regulatory authorities and governmental and third-party payors affecting jurisdictions outside the United States.</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If we are unable to obtain, or maintain at anticipated levels, coverage and reimbursement for our products from government health administration authorities, private health insurers and other organizations, our pricing may be affected and our product sales, results of operations and financial condition could be harmed.</w:t>
      </w:r>
    </w:p>
    <w:p>
      <w:pPr>
        <w:spacing w:after="0" w:line="188" w:lineRule="exact"/>
        <w:rPr>
          <w:sz w:val="20"/>
          <w:szCs w:val="20"/>
          <w:color w:val="auto"/>
        </w:rPr>
      </w:pPr>
    </w:p>
    <w:p>
      <w:pPr>
        <w:jc w:val="both"/>
        <w:ind w:firstLine="636"/>
        <w:spacing w:after="0" w:line="306" w:lineRule="auto"/>
        <w:rPr>
          <w:sz w:val="20"/>
          <w:szCs w:val="20"/>
          <w:color w:val="auto"/>
        </w:rPr>
      </w:pPr>
      <w:r>
        <w:rPr>
          <w:rFonts w:ascii="Arial" w:cs="Arial" w:eastAsia="Arial" w:hAnsi="Arial"/>
          <w:sz w:val="15"/>
          <w:szCs w:val="15"/>
          <w:color w:val="auto"/>
        </w:rPr>
        <w:t>Our ability to commercialize our current and any future approved products successfully will depend in part on the prices we are able to charge for these products and the extent to which adequate coverage and reimbursement levels for the cost of our products and related treatment are obtained from third-party payors, such as private insurers, government insurance programs, including Medicare and Medicaid, health maintenance organizations (HMOs) and other health care related organizations in the United States and abroad. We may not be able to sell our products on a profitable basis or our profitability may be reduced if we are required to sell our products at lower than anticipated prices or reimbursement is unavailable or limited in scope or amount. The costs of JAKAFI, ICLUSIG, PEMAZYRE, MONJUVI/MINJUVI, OPZELURA and ZYNYZ are not insignificant and almost all patients will require some form of third-party coverage to afford their cost. Our future revenues and profitability will be adversely affected if we cannot depend on government and other third-party payors to defray the cost of our products to the patient.</w:t>
      </w:r>
    </w:p>
    <w:p>
      <w:pPr>
        <w:spacing w:after="0" w:line="369"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Governments and other third-party payors continue to pursue initiatives to manage drug costs. Pricing and reimbursement for our products may be adversely affected by a number of factors, including;</w:t>
      </w:r>
    </w:p>
    <w:p>
      <w:pPr>
        <w:spacing w:after="0" w:line="181" w:lineRule="exact"/>
        <w:rPr>
          <w:sz w:val="20"/>
          <w:szCs w:val="20"/>
          <w:color w:val="auto"/>
        </w:rPr>
      </w:pPr>
    </w:p>
    <w:p>
      <w:pPr>
        <w:ind w:left="960" w:hanging="318"/>
        <w:spacing w:after="0" w:line="264"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actions of federal, state and foreign governments and other third-party payors to implement or modify laws, regulations or policies addressing payment and reimbursement for drugs;</w:t>
      </w:r>
    </w:p>
    <w:p>
      <w:pPr>
        <w:spacing w:after="0" w:line="180" w:lineRule="exact"/>
        <w:rPr>
          <w:rFonts w:ascii="Arial" w:cs="Arial" w:eastAsia="Arial" w:hAnsi="Arial"/>
          <w:sz w:val="18"/>
          <w:szCs w:val="18"/>
          <w:color w:val="auto"/>
        </w:rPr>
      </w:pPr>
    </w:p>
    <w:p>
      <w:pPr>
        <w:ind w:left="960" w:right="260" w:hanging="318"/>
        <w:spacing w:after="0" w:line="264"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pressure by employers on private health insurance plans to reduce costs or moderate cost increases, as well as continued public scrutiny of the price of drugs and other healthcare costs;</w:t>
      </w:r>
    </w:p>
    <w:p>
      <w:pPr>
        <w:spacing w:after="0" w:line="180" w:lineRule="exact"/>
        <w:rPr>
          <w:rFonts w:ascii="Arial" w:cs="Arial" w:eastAsia="Arial" w:hAnsi="Arial"/>
          <w:sz w:val="18"/>
          <w:szCs w:val="18"/>
          <w:color w:val="auto"/>
        </w:rPr>
      </w:pPr>
    </w:p>
    <w:p>
      <w:pPr>
        <w:jc w:val="both"/>
        <w:ind w:left="960" w:hanging="318"/>
        <w:spacing w:after="0" w:line="255"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consolidation of third-party payors and continued initiatives of government and other third-party payors to reduce costs by seeking price discounts or rebates, reducing reimbursement rates or imposing restrictions on access to or coverage of particular drugs based on perceived value; and</w:t>
      </w:r>
    </w:p>
    <w:p>
      <w:pPr>
        <w:spacing w:after="0" w:line="188" w:lineRule="exact"/>
        <w:rPr>
          <w:rFonts w:ascii="Arial" w:cs="Arial" w:eastAsia="Arial" w:hAnsi="Arial"/>
          <w:sz w:val="18"/>
          <w:szCs w:val="18"/>
          <w:color w:val="auto"/>
        </w:rPr>
      </w:pPr>
    </w:p>
    <w:p>
      <w:pPr>
        <w:jc w:val="both"/>
        <w:ind w:left="960" w:hanging="318"/>
        <w:spacing w:after="0" w:line="255"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increasing number of hospitals and other covered entities that are eligible to participate in the U.S. 340B drug pricing program, which requires drug manufacturers such as our company to sell drugs to those entities at discounted prices in order for those drugs to be covered by Medicaid.</w:t>
      </w:r>
    </w:p>
    <w:p>
      <w:pPr>
        <w:spacing w:after="0" w:line="188"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17"/>
          <w:szCs w:val="17"/>
          <w:color w:val="auto"/>
        </w:rPr>
        <w:t>In many markets outside of the United States, including countries of the EU, drug pricing and reimbursement are subject to government control, and government authorities are making greater efforts to limit or regulate the price of drug products. Reimbursement systems in international markets vary significantly by country and by region, and reimbursement approvals must be obtained on a country-by-country basis. Reimbursement in the EU must be negotiated on a country-by-country basis and in many countries a drug product cannot be commercially launched until reimbursement is approved. The timing to complete the negotiation process in each country is highly uncertain, and in some countries, we expect that it may exceed 12 months. Some countries set prices by reference to prices in other countries, and countries may refuse to reimburse or may restrict the reimbursed population for a drug product based on their national health technology assessments and cost effectiveness thresholds. In addition, governmental authorities in many countries may reduce prices for approved drug products from previously established prices.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99" w:lineRule="auto"/>
        <w:rPr>
          <w:sz w:val="20"/>
          <w:szCs w:val="20"/>
          <w:color w:val="auto"/>
        </w:rPr>
      </w:pPr>
      <w:r>
        <w:rPr>
          <w:rFonts w:ascii="Arial" w:cs="Arial" w:eastAsia="Arial" w:hAnsi="Arial"/>
          <w:sz w:val="15"/>
          <w:szCs w:val="15"/>
          <w:color w:val="auto"/>
        </w:rPr>
        <w:t>Third-party payors are increasingly challenging the prices charged for medical products and services, and payors and employers are adopting benefit plan changes that shift a greater portion of prescription drug costs to patients. Third party pharmacy benefit managers, or PBMs, other similar organizations and payors can limit coverage to specific products on an approved list, or formulary, which might not include all of the approved products for a particular indication, and to exclude drugs from their formularies in favor of competitor drugs or alternative treatments, or place drugs on formulary tiers with higher patient co-pay obligations, and/or to mandate stricter utilization criteria. Formulary exclusion effectively encourages patients and providers to seek alternative treatments, make a complex and time-intensive request for medical exemptions, or pay 100% of the cost of a drug. In addition, in many instances, certain PBMs, other similar organizations and third party payors may exert negotiating leverage by requiring incremental rebates, discounts or other concessions from manufacturers in order to maintain formulary positions, which could continue to result in higher gross to net deductions for affected products. There has been significant consolidation in the health insurance industry, resulting in large insurers and PBMs exerting greater pressure and leverage in pricing and usage negotiations with drug manufacturers. In this regard, while we have entered into agreements with a number of PBMs, we are in the process of negotiating agreements with additional PBMs and payor accounts to provide rebates to those entities related to formulary coverage for OPZELURA, and we cannot guarantee that we will be able to agree to or maintain acceptable coverage terms with these PBMs and other third party payors. Payors could decide to exclude OPZELURA from formulary coverage lists, impose step edits that require patients to try alternative, including generic, treatments before authorizing payment for OPZELURA, limit the types of diagnoses for which coverage will be provided or impose a moratorium on coverage for products while the payor makes a coverage decision. An inability to maintain adequate formulary positions could increase patient cost-sharing for OPZELURA and cause some patients to determine not to use OPZELURA. Any delays or unforeseen difficulties in reimbursement approvals could limit patient access, depress therapy adherence rates, and adversely impact our ability to successfully commercialize OPZELURA. If we are unsuccessful in obtaining and maintaining broad coverage and reimbursement for OPZELURA, our anticipated revenue from and growth prospects for OPZELURA could be negatively affected.</w:t>
      </w:r>
    </w:p>
    <w:p>
      <w:pPr>
        <w:spacing w:after="0" w:line="375" w:lineRule="exact"/>
        <w:rPr>
          <w:sz w:val="20"/>
          <w:szCs w:val="20"/>
          <w:color w:val="auto"/>
        </w:rPr>
      </w:pPr>
    </w:p>
    <w:p>
      <w:pPr>
        <w:jc w:val="both"/>
        <w:ind w:firstLine="636"/>
        <w:spacing w:after="0" w:line="312" w:lineRule="auto"/>
        <w:rPr>
          <w:sz w:val="20"/>
          <w:szCs w:val="20"/>
          <w:color w:val="auto"/>
        </w:rPr>
      </w:pPr>
      <w:r>
        <w:rPr>
          <w:rFonts w:ascii="Arial" w:cs="Arial" w:eastAsia="Arial" w:hAnsi="Arial"/>
          <w:sz w:val="15"/>
          <w:szCs w:val="15"/>
          <w:color w:val="auto"/>
        </w:rPr>
        <w:t>If third parties institute high co-payment amounts or other benefit limits for our products, the demand for our products and, accordingly, our revenues and results of operations, could be adversely affected. Our patient assistance programs have provided support for non-profit organizations that provide financial assistance to eligible patients or in some cases, we have provided our products without charge to eligible patients who have no insurance coverage or are underinsured. Substantial support in this manner could harm our profitability in the future. Further, non-profit organizations’ ability to provide assistance to patients is dependent on funding from external sources, and we cannot guarantee that such funding will be provided at adequate levels, or at all.</w:t>
      </w:r>
    </w:p>
    <w:p>
      <w:pPr>
        <w:spacing w:after="0" w:line="151"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17"/>
          <w:szCs w:val="17"/>
          <w:color w:val="auto"/>
        </w:rPr>
        <w:t>Risks related to proposed changes in government regulations and health care reform measures are described below under “—Other Risks Relating to our Business—Health care reform measures could impact the pricing and profitability of pharmaceuticals, and adversely affect the commercial viability of our or our collaborators’ products and drug candidates. ” If government and other third-party payors refuse to provide coverage and reimbursement with respect to our products, determine to provide a lower level of coverage and reimbursement than anticipated, reduce previously approved levels of coverage and reimbursement, or delay reimbursement payments, then our pricing or reimbursement for our products may be affected and our product sales, results of operations or financial condition could be harmed. Our collaborators Novartis and Eli Lilly are affected by similar considerations for the drugs that they market and for which we may receive royalties.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We depend upon a limited number of specialty pharmacies and wholesalers for a significant portion of any revenues from JAKAFI and most of our other drug products, and the loss of, or significant reduction in sales to, any one of these specialty pharmacies or wholesalers could adversely affect our operations and financial condition.</w:t>
      </w:r>
    </w:p>
    <w:p>
      <w:pPr>
        <w:spacing w:after="0" w:line="188" w:lineRule="exact"/>
        <w:rPr>
          <w:sz w:val="20"/>
          <w:szCs w:val="20"/>
          <w:color w:val="auto"/>
        </w:rPr>
      </w:pPr>
    </w:p>
    <w:p>
      <w:pPr>
        <w:jc w:val="both"/>
        <w:ind w:firstLine="636"/>
        <w:spacing w:after="0" w:line="263" w:lineRule="auto"/>
        <w:rPr>
          <w:sz w:val="20"/>
          <w:szCs w:val="20"/>
          <w:color w:val="auto"/>
        </w:rPr>
      </w:pPr>
      <w:r>
        <w:rPr>
          <w:rFonts w:ascii="Arial" w:cs="Arial" w:eastAsia="Arial" w:hAnsi="Arial"/>
          <w:sz w:val="17"/>
          <w:szCs w:val="17"/>
          <w:color w:val="auto"/>
        </w:rPr>
        <w:t>We sell JAKAFI and our other drug products other than OPZELURA primarily to specialty pharmacies and wholesalers. Specialty pharmacies dispense JAKAFI and our other drug products to patients in fulfillment of prescriptions and wholesalers sell JAKAFI and our other drug products to hospitals and physician offices. We do not promote JAKAFI or our other drug products to specialty pharmacies or wholesalers, and they do not set or determine demand for JAKAFI or our other drug products. Our ability to successfully commercialize JAKAFI and our other drug products will depend, in part, on the extent to which we are able to provide adequate distribution of JAKAFI and our other drug products to patients. Although we have contracted with a number of specialty pharmacies and wholesalers, they are expected generally to carry a very limited inventory and may be reluctant to be part of our distribution network in the future if demand for the product does not increase. Further, it is possible that these specialty pharmacies and wholesalers could decide to change their policies or fees, or both, at some time in the future. This could result in their refusal to carry smaller volume products such as JAKAFI and our other drug products, or lower margins or the need to find alternative methods of distributing our product. Although we believe we can find alternative channels to distribute JAKAFI or our other drug products on relatively short notice, our revenue during that period of time may suffer and we may incur additional costs to replace any such specialty pharmacy or wholesaler. The loss of any large specialty pharmacy or wholesaler as part of our distribution network, a significant reduction in sales we make to specialty pharmacies or wholesalers, or any failure to pay for the products we have shipped to them could materially and adversely affect our results of operations and financial condition.</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are unable to establish and maintain effective sales, marketing and distribution capabilities, or to enter into agreements with third parties to do so, we will not be able to successfully commercialize our products.</w:t>
      </w:r>
    </w:p>
    <w:p>
      <w:pPr>
        <w:spacing w:after="0" w:line="181" w:lineRule="exact"/>
        <w:rPr>
          <w:sz w:val="20"/>
          <w:szCs w:val="20"/>
          <w:color w:val="auto"/>
        </w:rPr>
      </w:pPr>
    </w:p>
    <w:p>
      <w:pPr>
        <w:jc w:val="both"/>
        <w:ind w:firstLine="636"/>
        <w:spacing w:after="0" w:line="267" w:lineRule="auto"/>
        <w:rPr>
          <w:sz w:val="20"/>
          <w:szCs w:val="20"/>
          <w:color w:val="auto"/>
        </w:rPr>
      </w:pPr>
      <w:r>
        <w:rPr>
          <w:rFonts w:ascii="Arial" w:cs="Arial" w:eastAsia="Arial" w:hAnsi="Arial"/>
          <w:sz w:val="17"/>
          <w:szCs w:val="17"/>
          <w:color w:val="auto"/>
        </w:rPr>
        <w:t>We have established commercial capabilities in the United States and outside of the United States, but cannot guarantee that we will be able to enter into and maintain any marketing, distribution or third-party logistics agreements with third-party providers on acceptable terms, if at all. We may not be able to correctly judge the size and experience of the sales and marketing force and the scale of distribution capabilities necessary to successfully market and sell any new products. Establishing and maintaining sales, marketing and distribution capabilities are expensive and time-consuming. Competition for personnel with experience in sales and marketing can be high. Our expenses associated with building and maintaining the sales force and distribution capabilities may be disproportional compared to the revenues we may be able to generate on sales of our products.</w:t>
      </w:r>
    </w:p>
    <w:p>
      <w:pPr>
        <w:spacing w:after="0" w:line="179"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We are working to establish and maintain sales, marketing and distribution capabilities for OPZELURA that will generally be separate from our existing capabilities for oncology indications, and we have no prior experience in commercializing products for dermatology indications. Successful commercialization of our drug candidates for dermatology indications requires us to establish new physician and payor relationships, PBM and pharmacy network relationships, reimbursement strategies and governmental interactions. Our inability to commercialize successfully products in indications outside of oncology could harm our business and operating results.</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fail to comply with applicable laws and regulations, we could lose our approval to market our products or be subject to other governmental enforcement activity.</w:t>
      </w:r>
    </w:p>
    <w:p>
      <w:pPr>
        <w:spacing w:after="0" w:line="181" w:lineRule="exact"/>
        <w:rPr>
          <w:sz w:val="20"/>
          <w:szCs w:val="20"/>
          <w:color w:val="auto"/>
        </w:rPr>
      </w:pPr>
    </w:p>
    <w:p>
      <w:pPr>
        <w:jc w:val="both"/>
        <w:ind w:firstLine="636"/>
        <w:spacing w:after="0" w:line="312" w:lineRule="auto"/>
        <w:rPr>
          <w:sz w:val="20"/>
          <w:szCs w:val="20"/>
          <w:color w:val="auto"/>
        </w:rPr>
      </w:pPr>
      <w:r>
        <w:rPr>
          <w:rFonts w:ascii="Arial" w:cs="Arial" w:eastAsia="Arial" w:hAnsi="Arial"/>
          <w:sz w:val="15"/>
          <w:szCs w:val="15"/>
          <w:color w:val="auto"/>
        </w:rPr>
        <w:t>We cannot guarantee that we will be able to maintain regulatory approval to market our products in the jurisdictions in which they are currently marketed. If we do not maintain our regulatory approval to market our products, in particular JAKAFI, our results of operations will be materially harmed. We and our collaborators, third-party manufacturers and suppliers are subject to rigorous and extensive regulation by the FDA and other federal and state agencies as well as foreign governmental agencies. These regulations continue to apply after product marketing approval, and cover, among other things, testing, manufacturing, quality control and assurance, labeling, advertising, promotion, risk mitigation, and adverse event reporting requirements.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301" w:lineRule="auto"/>
        <w:rPr>
          <w:sz w:val="20"/>
          <w:szCs w:val="20"/>
          <w:color w:val="auto"/>
        </w:rPr>
      </w:pPr>
      <w:r>
        <w:rPr>
          <w:rFonts w:ascii="Arial" w:cs="Arial" w:eastAsia="Arial" w:hAnsi="Arial"/>
          <w:sz w:val="15"/>
          <w:szCs w:val="15"/>
          <w:color w:val="auto"/>
        </w:rPr>
        <w:t>The commercialization of our products is subject to post-regulatory approval product surveillance, and our products may have to be withdrawn from the market or subject to restrictions if previously unknown problems occur. Regulatory agencies may also require additional clinical trials or testing for our products, and our products may be recalled or may be subject to reformulation, additional studies, changes in labeling, warnings to the public and negative publicity. For example, from late 2013 through 2014, ICLUSIG was subject to review by the European Medicines Agency, or EMA, of the benefits and risks of ICLUSIG to better understand the nature, frequency and severity of events obstructing the arteries or veins, the potential mechanism that leads to these side effects and whether there needed to be a revision in the dosing recommendation, patient monitoring and a risk management plan for ICLUSIG. This review was completed in January 2015, with additional warnings in the product information but without any change in the approved indications. The EMA could take additional actions in the future that reduce the commercial potential of ICLUSIG. In addition, in September 2021, the FDA approved a labeling update for JAKAFI, adding warnings of increased risk of major adverse cardiovascular events, thrombosis, and secondary malignancies related to another JAK-inhibitor treating rheumatoid arthritis, a condition for which JAKAFI is not indicated. As part of the FDA labeling update for oral JAK inhibitors in treating inflammatory conditions, class “boxed” warnings were also included in the OPZELURA label. We cannot predict the effects on sales of JAKAFI with the updated warnings or OPZELURA as a result of the “boxed” warnings, but it is possible that future sales of JAKAFI and OPZELURA can be negatively affected, which could have a material and adverse effect on our business, results of operations and prospects.</w:t>
      </w:r>
    </w:p>
    <w:p>
      <w:pPr>
        <w:spacing w:after="0" w:line="37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Failure to comply with the laws and regulations administered by the FDA or other agencies could result in:</w:t>
      </w:r>
    </w:p>
    <w:p>
      <w:pPr>
        <w:spacing w:after="0" w:line="217" w:lineRule="exact"/>
        <w:rPr>
          <w:sz w:val="20"/>
          <w:szCs w:val="20"/>
          <w:color w:val="auto"/>
        </w:rPr>
      </w:pPr>
    </w:p>
    <w:p>
      <w:pPr>
        <w:ind w:left="960" w:hanging="318"/>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administrative and judicial sanctions, including warning letters;</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fines and other civil penalties;</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suspension or withdrawal of regulatory approval to market or manufacture our products;</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interruption of production;</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recall or seizure;</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injunctions; and</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occurrence of any such event may have a material adverse effect on our business.</w:t>
      </w:r>
    </w:p>
    <w:p>
      <w:pPr>
        <w:spacing w:after="0" w:line="217" w:lineRule="exact"/>
        <w:rPr>
          <w:sz w:val="20"/>
          <w:szCs w:val="20"/>
          <w:color w:val="auto"/>
        </w:rPr>
      </w:pPr>
    </w:p>
    <w:p>
      <w:pPr>
        <w:jc w:val="both"/>
        <w:spacing w:after="0" w:line="365" w:lineRule="auto"/>
        <w:rPr>
          <w:sz w:val="20"/>
          <w:szCs w:val="20"/>
          <w:color w:val="auto"/>
        </w:rPr>
      </w:pPr>
      <w:r>
        <w:rPr>
          <w:rFonts w:ascii="Arial" w:cs="Arial" w:eastAsia="Arial" w:hAnsi="Arial"/>
          <w:sz w:val="15"/>
          <w:szCs w:val="15"/>
          <w:b w:val="1"/>
          <w:bCs w:val="1"/>
          <w:i w:val="1"/>
          <w:iCs w:val="1"/>
          <w:color w:val="auto"/>
        </w:rPr>
        <w:t>If the use of our products harms patients, or is perceived to harm patients even when such harm is unrelated to our products, our regulatory approvals could be revoked or otherwise negatively impacted or we could be subject to costly and damaging product liability claims.</w:t>
      </w:r>
    </w:p>
    <w:p>
      <w:pPr>
        <w:spacing w:after="0" w:line="111"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The testing of JAKAFI, ICLUSIG, PEMAZYRE, MONJUVI/MINJUVI, OPZELURA and ZYNYZ, the manufacturing, marketing and sale of JAKAFI, PEMAZYRE and OPZELURA and the marketing and sale of ICLUSIG, MONJUVI/MINJUVI and ZYNYZ expose us to product liability and other risks. Side effects and other problems experienced by patients from the use of our products could:</w:t>
      </w:r>
    </w:p>
    <w:p>
      <w:pPr>
        <w:spacing w:after="0" w:line="188" w:lineRule="exact"/>
        <w:rPr>
          <w:sz w:val="20"/>
          <w:szCs w:val="20"/>
          <w:color w:val="auto"/>
        </w:rPr>
      </w:pPr>
    </w:p>
    <w:p>
      <w:pPr>
        <w:ind w:left="960" w:hanging="318"/>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lessen the frequency with which physicians decide to prescribe our products;</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encourage physicians to stop prescribing our products to their patients who previously had been prescribed our products;</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cause serious harm to patients that may give rise to product liability claims against us; and</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result in our need to withdraw or recall our products from the marketplace.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If our products are used by a wide patient population, new risks and side effects may be discovered, the rate of known risks or side effects may increase, and risks previously viewed as less significant could be determined to be significant.</w:t>
      </w:r>
    </w:p>
    <w:p>
      <w:pPr>
        <w:spacing w:after="0" w:line="181" w:lineRule="exact"/>
        <w:rPr>
          <w:sz w:val="20"/>
          <w:szCs w:val="20"/>
          <w:color w:val="auto"/>
        </w:rPr>
      </w:pPr>
    </w:p>
    <w:p>
      <w:pPr>
        <w:jc w:val="both"/>
        <w:ind w:firstLine="636"/>
        <w:spacing w:after="0" w:line="302" w:lineRule="auto"/>
        <w:rPr>
          <w:sz w:val="20"/>
          <w:szCs w:val="20"/>
          <w:color w:val="auto"/>
        </w:rPr>
      </w:pPr>
      <w:r>
        <w:rPr>
          <w:rFonts w:ascii="Arial" w:cs="Arial" w:eastAsia="Arial" w:hAnsi="Arial"/>
          <w:sz w:val="15"/>
          <w:szCs w:val="15"/>
          <w:color w:val="auto"/>
        </w:rPr>
        <w:t>Previously unknown risks and adverse effects of our products may also be discovered in connection with unapproved, or off-label, uses of our products. We are prohibited by law from promoting or in any way supporting or encouraging the promotion of our products for off-label uses, but physicians are permitted to use products for off-label purposes. In addition, we are studying and expect to continue to study JAKAFI in diseases for potential additional indications in controlled clinical settings, and independent investigators are doing so as well. In the event of any new risks or adverse effects discovered as new patients are treated for intermediate or high-risk myelofibrosis, uncontrolled polycythemia vera or acute graft-versus-host disease and as JAKAFI is studied in or used by patients for off-label indications, regulatory authorities may delay or revoke their approvals, we may be required to conduct additional clinical trials, make changes in labeling of JAKAFI, reformulate JAKAFI or make changes and obtain new approvals. We may also experience a significant drop in the sales of JAKAFI, experience harm to our reputation and the reputation of JAKAFI in the marketplace or become subject to lawsuits, including class actions. Any of these results could decrease or prevent sales of JAKAFI or substantially increase the costs and expenses of commercializing JAKAFI. Similar results could occur with respect to our commercialization of ICLUSIG, PEMAZYRE, MONJUVI/MINJUVI, OPZELURA and ZYNYZ.</w:t>
      </w:r>
    </w:p>
    <w:p>
      <w:pPr>
        <w:spacing w:after="0" w:line="162" w:lineRule="exact"/>
        <w:rPr>
          <w:sz w:val="20"/>
          <w:szCs w:val="20"/>
          <w:color w:val="auto"/>
        </w:rPr>
      </w:pPr>
    </w:p>
    <w:p>
      <w:pPr>
        <w:jc w:val="both"/>
        <w:ind w:firstLine="636"/>
        <w:spacing w:after="0" w:line="306" w:lineRule="auto"/>
        <w:rPr>
          <w:sz w:val="20"/>
          <w:szCs w:val="20"/>
          <w:color w:val="auto"/>
        </w:rPr>
      </w:pPr>
      <w:r>
        <w:rPr>
          <w:rFonts w:ascii="Arial" w:cs="Arial" w:eastAsia="Arial" w:hAnsi="Arial"/>
          <w:sz w:val="15"/>
          <w:szCs w:val="15"/>
          <w:color w:val="auto"/>
        </w:rPr>
        <w:t>Patients who have been enrolled in our clinical trials or who may use our products in the future often have severe and advanced stages of disease and known as well as unknown significant pre-existing and potentially life-threatening health risks. During the course of treatment, patients may suffer adverse events, including death, for reasons that may or may not be related to our products.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 consuming or inconclusive. These investigations may interrupt our sales efforts, impact and limit the type of regulatory approvals our products receive or maintain, or delay the regulatory approval process in other countries.</w:t>
      </w:r>
    </w:p>
    <w:p>
      <w:pPr>
        <w:spacing w:after="0" w:line="157"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Factors similar to those listed above also apply to our collaborator Novartis for jurisdictions in which it has development and commercialization rights, to ICLUSIG for jurisdictions outside the United States, to our collaborator Lilly for all jurisdictions and to our collaborator Innovent for PEMAZYRE in the jurisdictions in which it has development and commercialization rights.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market our products in a manner that violates various laws and regulations, we may be subject to civil or criminal penalties.</w:t>
      </w:r>
    </w:p>
    <w:p>
      <w:pPr>
        <w:spacing w:after="0" w:line="217"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17"/>
          <w:szCs w:val="17"/>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knowingly and willfully offering, paying, soliciting or receiving remuneration to induce, or in return for purchasing, leasing, ordering or arranging for the purchase, lease or order of any health care item or service reimbursable under Medicare, Medicaid, or other federally- or state-financed health care programs. 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302" w:lineRule="auto"/>
        <w:rPr>
          <w:sz w:val="20"/>
          <w:szCs w:val="20"/>
          <w:color w:val="auto"/>
        </w:rPr>
      </w:pPr>
      <w:r>
        <w:rPr>
          <w:rFonts w:ascii="Arial" w:cs="Arial" w:eastAsia="Arial" w:hAnsi="Arial"/>
          <w:sz w:val="15"/>
          <w:szCs w:val="15"/>
          <w:color w:val="auto"/>
        </w:rPr>
        <w:t>Although physicians are permitted, based on their medical judgment, to prescribe products for indications other than those approved by the FDA, manufacturers are prohibited from promoting their products for such off-label uses. We market JAKAFI for intermediate or high-risk myelofibrosis, uncontrolled polycythemia vera and acute graft-versus-host disease and provide promotional materials to physicians regarding the use of JAKAFI for these indications. Although we believe that our promotional materials for physicians do not constitute improper promotion of JAKAFI, the FDA or other agencies may disagree. If the FDA or another agency determines that our promotional materials or other activities constitute improper promotion of JAKAFI, it could request that we modify our promotional materials or other activities or subject us to regulatory enforcement actions, including the issuance of a warning letter, injunction, seizure, civil fine and criminal penalties. It is also possible that other federal, state or foreign enforcement authorities might take action if they believe that the alleged improper promotion led to the submission and payment of claims for an unapproved use, which could result in significant fines or penalties under other statutory authorities, such as laws prohibiting false claims for reimbursement. Even if it is later determined we are not in violation of these laws, we may be faced with negative publicity, incur significant expenses defending our position and have to divert significant management resources from other matters. Similar risks exist for our marketing of our other products and our collaborator MorphoSys’s marketing of MONJUVI.</w:t>
      </w:r>
    </w:p>
    <w:p>
      <w:pPr>
        <w:spacing w:after="0" w:line="157"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The European Union and member countries, as well as governmental authorities in other countries, impose similar strict restrictions on the promotion and marketing of drug products. The off-label promotion of medicinal products is prohibited in the EU and in other territories, and the EU also maintains strict controls on advertising and promotional materials. The promotion of medicinal products that are not subject to a marketing authorization is also prohibited in the EU. Violations of the rules governing the promotion of medicinal products in the EU and in other territories could be penalized by administrative measures, fines and imprisonment.</w:t>
      </w:r>
    </w:p>
    <w:p>
      <w:pPr>
        <w:spacing w:after="0" w:line="194" w:lineRule="exact"/>
        <w:rPr>
          <w:sz w:val="20"/>
          <w:szCs w:val="20"/>
          <w:color w:val="auto"/>
        </w:rPr>
      </w:pPr>
    </w:p>
    <w:p>
      <w:pPr>
        <w:jc w:val="both"/>
        <w:ind w:firstLine="636"/>
        <w:spacing w:after="0" w:line="301" w:lineRule="auto"/>
        <w:rPr>
          <w:sz w:val="20"/>
          <w:szCs w:val="20"/>
          <w:color w:val="auto"/>
        </w:rPr>
      </w:pPr>
      <w:r>
        <w:rPr>
          <w:rFonts w:ascii="Arial" w:cs="Arial" w:eastAsia="Arial" w:hAnsi="Arial"/>
          <w:sz w:val="15"/>
          <w:szCs w:val="15"/>
          <w:color w:val="auto"/>
        </w:rPr>
        <w:t>The majority of states also have statutes or regulations similar to the federal anti-kickback law and false claims laws, which apply to items and services reimbursed under Medicaid and other state programs, or, in several states, apply regardless of the payor. Numerous states and localities have enacted or are considering enacting legislation requiring pharmaceutical companies to establish marketing compliance programs, file periodic reports or make periodic public disclosures on sales, marketing, pricing, clinical trials, and other activities. Additionally, as part of the Patient Protection and Affordable Care Act, the federal government has enacted the Physician Payment Sunshine provisions. The Sunshine provisions and similar laws and regulations in other jurisdictions where we do business require manufacturers to publicly report certain payments or other transfers of value made to physicians and teaching hospitals. Many of these requirements are new and uncertain, and the penalties for failure to comply with these requirements are unclear. Nonetheless, if we are found not to be in full compliance with these laws, we could face enforcement action and fines and other penalties, which could be significant in amount or result in exclusion from federal healthcare programs such as Medicare and Medicaid. Any action initiated against us for violation of these laws, even if we successfully defend against it, could require the expenditure of significant resources and generate negative publicity, which could harm our business and operating results, and any settlement of such action initiated against us, regardless of the merits, could result in the payment of significant amounts, which could harm our financial condition and operating results. See also “—Other Risks Relating to our Business—If we fail to comply with the extensive legal and regulatory requirements affecting the health care industry, we could face increased costs, penalties and a loss of business” below.</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for our products could harm our business and result in a decrease in our revenue.</w:t>
      </w:r>
    </w:p>
    <w:p>
      <w:pPr>
        <w:spacing w:after="0" w:line="217" w:lineRule="exact"/>
        <w:rPr>
          <w:sz w:val="20"/>
          <w:szCs w:val="20"/>
          <w:color w:val="auto"/>
        </w:rPr>
      </w:pPr>
    </w:p>
    <w:p>
      <w:pPr>
        <w:jc w:val="both"/>
        <w:ind w:firstLine="636"/>
        <w:spacing w:after="0" w:line="300" w:lineRule="auto"/>
        <w:rPr>
          <w:sz w:val="20"/>
          <w:szCs w:val="20"/>
          <w:color w:val="auto"/>
        </w:rPr>
      </w:pPr>
      <w:r>
        <w:rPr>
          <w:rFonts w:ascii="Arial" w:cs="Arial" w:eastAsia="Arial" w:hAnsi="Arial"/>
          <w:sz w:val="15"/>
          <w:szCs w:val="15"/>
          <w:color w:val="auto"/>
        </w:rPr>
        <w:t>Our products compete, and our product candidates may in the future compete, with currently existing therapies, including generic drugs, product candidates currently under development by us and others, or future product candidates, including new chemical entities that may be safer or more effective or more convenient than our products. Any products that we develop may be commercialized in competitive markets, and our competitors, which include large global pharmaceutical and biopharmaceutical companies and smaller research-based biotechnology companies, may succeed in developing products that render our products obsolete or noncompetitive. Many of our competitors, particularly large pharmaceutical and biopharmaceutical companies, have substantially greater financial, operational and human resources than we do. Smaller or earlier stage companies may also prove to be significant competitors, particularly through focused development programs and collaborative arrangements with large, established companies. In addition, many of our competitors deploy more personnel to market and sell their products than we do, and we compete with other companies to recruit, hire, train and retain pharmaceutical sales and marketing personnel. If our sales force and sales support organization are not appropriately resourced and sized to adequately promote our products, the commercial potential of our current and any future products may be diminished. In any event, the commercial potential of our current products and any future products may be reduced or eliminated if our competitors develop or acquire and commercialize generic or branded products that are safer or more effective, are more convenient or are less expensive than our products. See “Item 1. Business —Competition” in our Annual Report on Form 10-K for the year ended December 31, 2022 for additional information regarding the effects of competition. If we are unable to compete successfully, our commercial opportunities will be reduced and our business, results of operations and financial conditions may be materially harmed.</w:t>
      </w:r>
    </w:p>
    <w:p>
      <w:pPr>
        <w:spacing w:after="0" w:line="377" w:lineRule="exact"/>
        <w:rPr>
          <w:sz w:val="20"/>
          <w:szCs w:val="20"/>
          <w:color w:val="auto"/>
        </w:rPr>
      </w:pPr>
    </w:p>
    <w:p>
      <w:pPr>
        <w:jc w:val="both"/>
        <w:ind w:firstLine="636"/>
        <w:spacing w:after="0" w:line="301" w:lineRule="auto"/>
        <w:rPr>
          <w:sz w:val="20"/>
          <w:szCs w:val="20"/>
          <w:color w:val="auto"/>
        </w:rPr>
      </w:pPr>
      <w:r>
        <w:rPr>
          <w:rFonts w:ascii="Arial" w:cs="Arial" w:eastAsia="Arial" w:hAnsi="Arial"/>
          <w:sz w:val="15"/>
          <w:szCs w:val="15"/>
          <w:color w:val="auto"/>
        </w:rPr>
        <w:t>Present and potential competitors for JAKAFI include major pharmaceutical and biotechnology companies, as well as specialty pharmaceutical firms. In addition, JAKAFI could face competition from generic products. As a result of the Drug Price Competition and Patent Term Restoration Act of 1984, commonly known as the Hatch-Waxman Act, in the United States, generic manufacturers may seek approval of a generic version of an innovative pharmaceutical by filing with the FDA an Abbreviated New Drug Application, or ANDA. The Hatch-Waxman Act provides significant incentives to generic manufacturers to challenge U.S. patents on successful innovative pharmaceutical products. In February 2016, we received a notice letter regarding an ANDA that requested approval to market a generic version of JAKAFI and purported to challenge patents covering ruxolitinib phosphate and its use that expire in 2028. The notice letter does not challenge the ruxolitinib composition of matter patent, which expires in December 2027. To date, to our knowledge, the FDA has taken no action with respect to this ANDA. Separately, in January 2018 the Patent Trial and Appeal Board (PTAB) of United States Patent and Trademark Office denied a petition challenging our patent covering deuterated ruxolitinib analogs and the PTAB subsequently denied the petitioner’s request for rehearing in May 2018. Nevertheless, the petitioner still has the right separately to challenge the validity of our patent in federal court. There can be no assurance that our patents will be upheld or that any litigation in which we might engage with any such generic manufacturer would be successful in protecting JAKAFI’s exclusivity. The entry of a competitive drug product from another company or a generic version of JAKAFI could result in a decrease in JAKAFI sales and materially harm our business, operating results and financial condition.</w:t>
      </w:r>
    </w:p>
    <w:p>
      <w:pPr>
        <w:spacing w:after="0" w:line="372" w:lineRule="exact"/>
        <w:rPr>
          <w:sz w:val="20"/>
          <w:szCs w:val="20"/>
          <w:color w:val="auto"/>
        </w:rPr>
      </w:pPr>
    </w:p>
    <w:p>
      <w:pPr>
        <w:jc w:val="both"/>
        <w:ind w:firstLine="636"/>
        <w:spacing w:after="0" w:line="249" w:lineRule="auto"/>
        <w:rPr>
          <w:sz w:val="20"/>
          <w:szCs w:val="20"/>
          <w:color w:val="auto"/>
        </w:rPr>
      </w:pPr>
      <w:r>
        <w:rPr>
          <w:rFonts w:ascii="Arial" w:cs="Arial" w:eastAsia="Arial" w:hAnsi="Arial"/>
          <w:sz w:val="18"/>
          <w:szCs w:val="18"/>
          <w:color w:val="auto"/>
        </w:rPr>
        <w:t>ICLUSIG currently competes with existing therapies that are approved for the treatment of patients with chronic myeloid leukemia, or CML, who are resistant or intolerant to prior tyrosine kinase inhibitor, or TKI, therapies, on the basis of, among other things, efficacy, cost, breadth of approved use and the safety and side-effect profile. In addition, generic versions of imatinib are available and, while we currently believe that generic versions of imatinib will not materially impact our commercialization of ICLUSIG, given ICLUSIG’s various indication statements globally that are currently focused on resistant or intolerant CML, we cannot be certain how physicians, payors, patients, regulatory authorities and other market participants will respond to the availability of generic versions of imatinib.</w:t>
      </w:r>
    </w:p>
    <w:p>
      <w:pPr>
        <w:spacing w:after="0" w:line="196" w:lineRule="exact"/>
        <w:rPr>
          <w:sz w:val="20"/>
          <w:szCs w:val="20"/>
          <w:color w:val="auto"/>
        </w:rPr>
      </w:pPr>
    </w:p>
    <w:p>
      <w:pPr>
        <w:jc w:val="both"/>
        <w:ind w:firstLine="636"/>
        <w:spacing w:after="0" w:line="306" w:lineRule="auto"/>
        <w:rPr>
          <w:sz w:val="20"/>
          <w:szCs w:val="20"/>
          <w:color w:val="auto"/>
        </w:rPr>
      </w:pPr>
      <w:r>
        <w:rPr>
          <w:rFonts w:ascii="Arial" w:cs="Arial" w:eastAsia="Arial" w:hAnsi="Arial"/>
          <w:sz w:val="15"/>
          <w:szCs w:val="15"/>
          <w:color w:val="auto"/>
        </w:rPr>
        <w:t>MONJUVI/MINJUVI currently competes with existing therapies that are approved for the treatment of patients with diffuse large B-cell lymphoma on the basis of, among other things, efficacy, cost, breadth of approved use and the safety and side-effect profile. These existing therapies are offered by major pharmaceutical and biotechnology companies, as well as specialty pharmaceutical firms. Competitors and potential competitors for PEMAZYRE and ZYNYZ include major pharmaceutical and biotechnology companies, as well as specialty pharmaceutical firms. Competitors for OPZELURA include existing over-the-counter topical treatments, prescription topical treatments, including generic versions, such as tacrolimus, pimecrolimus, topical steroids, and EUCRISA (crisaborole) from Pfizer Inc., as well as oral and injectable therapies such as prednisone and other oral steroids, injectable DUPIXENT (dupilimab) from Sanofi and Regeneron Pharmaceuticals, Inc., and oral CIBINQO (abrocitinib) from Pfizer Inc. and RINVOQ (upadacitinib) from AbbVie Inc.</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Factors similar to those listed above also apply to our collaborator Novartis for JAKAVI and TABRECTA in jurisdictions in which it has commercialization rights and to our collaborator Lilly for OLUMIANT all jurisdictions. With respect to OLUMIANT, in August 2022 we and Lilly received notice letters with respect to ANDAs that requested approval to market generic versions of OLUMIANT prior to the expiration of the three U.S. Patents that expire in 2030.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RISKS RELATING TO OUR BUSINESS</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Public health epidemics and pandemics, such as the COVID-19 pandemic, have adversely affected and could in the future adversely affect our business, results of operations, and financial condition.</w:t>
      </w:r>
    </w:p>
    <w:p>
      <w:pPr>
        <w:spacing w:after="0" w:line="181"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Our global operations expose us to risks associated with public health epidemics and pandemics, such as the COVID-19 pandemic. The extent to which a public health pandemic and the measures taken to limit the disease's spread can impact our operations and those of our suppliers, collaborators, service providers and healthcare organizations serving patients, as well as demand for our drug products, will depend on developments, that are highly uncertain, including the duration of the outbreak and any related government actions.</w:t>
      </w:r>
    </w:p>
    <w:p>
      <w:pPr>
        <w:spacing w:after="0" w:line="191"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As a result of the COVID-19 pandemic, we experienced, and as a result of future pandemics we may in the future experience disruptions that could severely impact our business, results of operations and financial condition, including the following:</w:t>
      </w:r>
    </w:p>
    <w:p>
      <w:pPr>
        <w:spacing w:after="0" w:line="181" w:lineRule="exact"/>
        <w:rPr>
          <w:sz w:val="20"/>
          <w:szCs w:val="20"/>
          <w:color w:val="auto"/>
        </w:rPr>
      </w:pPr>
    </w:p>
    <w:p>
      <w:pPr>
        <w:jc w:val="both"/>
        <w:ind w:left="640" w:hanging="316"/>
        <w:spacing w:after="0" w:line="264" w:lineRule="auto"/>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When the COVID-19 pandemic commenced, to protect the health of our employees and their families, and our communities, in accordance with – and in some cases in advance of – direction from state and local government authorities, we limited access to our facilities and a significant percentage of our personnel worked remotely. In the event that governmental authorities were to establish any form of similar workplace restrictions, our employees conducting research and development activities may not be able to access our laboratory space or access may be limited, and our research and development activities may be significantly limited or curtailed, possibly for an extended period of time. These research and development activities could include completing Investigational New Drug (IND)/Clinical Trial Application (CTA)-enabling studies, our ability to select future development candidates, and initiation of additional clinical trials for our development programs. Having a significant portion of our employees work from home can strain our information technology infrastructure, which may affect our ability to operate effectively, may make us more susceptible to communications disruptions, and expose us to greater cybersecurity risks.</w:t>
      </w:r>
    </w:p>
    <w:p>
      <w:pPr>
        <w:spacing w:after="0" w:line="184" w:lineRule="exact"/>
        <w:rPr>
          <w:rFonts w:ascii="Arial" w:cs="Arial" w:eastAsia="Arial" w:hAnsi="Arial"/>
          <w:sz w:val="17"/>
          <w:szCs w:val="17"/>
          <w:color w:val="auto"/>
        </w:rPr>
      </w:pPr>
    </w:p>
    <w:p>
      <w:pPr>
        <w:jc w:val="both"/>
        <w:ind w:left="640" w:hanging="316"/>
        <w:spacing w:after="0" w:line="267" w:lineRule="auto"/>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sales and marketing activities, including our interactions with healthcare professionals, were limited and made more difficult by government or employer imposed work from home orders and travel and workplace visitor restrictions resulting from measures to address the COVID-19 pandemic, as well as employee-initiated remote work and travel limitations resulting from, among other things, the spread of the COVID-19 variants. In addition, demand for our products was affected by decreases in new patients, which we believe resulted in large part from decreases in patient visits to healthcare professionals and prioritization of hospital resources for the COVID-19 pandemic, resulting in decreases in disease screening and diagnosis. A future public epidemic or pandemic could have similar effects on our operations.</w:t>
      </w:r>
    </w:p>
    <w:p>
      <w:pPr>
        <w:spacing w:after="0" w:line="179" w:lineRule="exact"/>
        <w:rPr>
          <w:rFonts w:ascii="Arial" w:cs="Arial" w:eastAsia="Arial" w:hAnsi="Arial"/>
          <w:sz w:val="17"/>
          <w:szCs w:val="17"/>
          <w:color w:val="auto"/>
        </w:rPr>
      </w:pPr>
    </w:p>
    <w:p>
      <w:pPr>
        <w:jc w:val="both"/>
        <w:ind w:left="640" w:hanging="316"/>
        <w:spacing w:after="0" w:line="265" w:lineRule="auto"/>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clinical trials were affected by delays in site initiation, patient screening, patient enrollment, and monitoring and data collection as a result of prioritization of hospital resources for the COVID-19 pandemic, difficulty in recruiting and retaining healthcare providers and staff due to their diversion toward treating COVID-19 patients, the potential unwillingness of patients to enroll or continue in clinical trials for fear of exposure to COVID-19 at sites, and the inability to access sites for initiation and monitoring. Also, we rely on independent clinical investigators, contract research organizations and other third-party service providers to assist us in managing, monitoring and otherwise carrying out our preclinical studies and clinical trials, and the COVID-19 pandemic affected their ability to devote sufficient time and resources to our programs or to travel to sites to perform work for us. A future public health epidemic or pandemic could have similar effects.</w:t>
      </w:r>
    </w:p>
    <w:p>
      <w:pPr>
        <w:spacing w:after="0" w:line="185" w:lineRule="exact"/>
        <w:rPr>
          <w:rFonts w:ascii="Arial" w:cs="Arial" w:eastAsia="Arial" w:hAnsi="Arial"/>
          <w:sz w:val="17"/>
          <w:szCs w:val="17"/>
          <w:color w:val="auto"/>
        </w:rPr>
      </w:pPr>
    </w:p>
    <w:p>
      <w:pPr>
        <w:jc w:val="both"/>
        <w:ind w:left="640" w:hanging="316"/>
        <w:spacing w:after="0" w:line="250"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agencies globally experienced disruptions in their operations as a result of the COVID-19 pandemic and could experience similar disruptions with a future public health epidemic or pandemic. The FDA and comparable foreign regulatory agencies may have slower response times or be under-resourced to continue to monitor our clinical trials as a result of any future public health epidemic or pandemic and, as a result, review, inspection, and other timelines may be materially delayed. Our drug candidate application reviews and potential approvals could be impacted or delayed by these disruptions, if they occur.</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640" w:hanging="316"/>
        <w:spacing w:after="0" w:line="306" w:lineRule="auto"/>
        <w:tabs>
          <w:tab w:leader="none" w:pos="6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 public health epidemic or pandemic and measures taken to limit the spread of the outbreak, especially if prolonged, could also disrupt our supply chain or limit our ability to obtain sufficient materials for our drug products and product candidates, which could adversely affect our revenues and clinical trial timelines. Currently, our supply chain for our drug products and product candidates depends on operations by us and by other companies in multiple countries around the world, and the effects of a public health epidemic or pandemic on any or all of these countries is uncertain and unpredictable and potential disruption is possible. In addition, our third-party manufacturers might experience capacity constraints and delays in producing materials for our drug products and product candidates if they are required, under the U.S. Defense Production Act or similar governmental mandates, to prioritize production of raw materials, supplies, drugs or vaccines to address a public health epidemic or pandemic.</w:t>
      </w:r>
    </w:p>
    <w:p>
      <w:pPr>
        <w:spacing w:after="0" w:line="156" w:lineRule="exact"/>
        <w:rPr>
          <w:rFonts w:ascii="Arial" w:cs="Arial" w:eastAsia="Arial" w:hAnsi="Arial"/>
          <w:sz w:val="15"/>
          <w:szCs w:val="15"/>
          <w:color w:val="auto"/>
        </w:rPr>
      </w:pPr>
    </w:p>
    <w:p>
      <w:pPr>
        <w:ind w:left="640" w:hanging="316"/>
        <w:spacing w:after="0" w:line="294" w:lineRule="auto"/>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deterioration of worldwide credit and financial markets could result in losses on our holdings of cash and investments due to failures of financial institutions and other parties, and interruptions and delays in our ability to collect, or potential losses on, our accounts receivable.</w:t>
      </w:r>
    </w:p>
    <w:p>
      <w:pPr>
        <w:spacing w:after="0" w:line="157"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Our collaborators could be affected by similar factors as those that have or could affect our business. The ultimate impact of a public health epidemic or pandemic is highly uncertain, but the potential impacts or delays on our or our collaborators’ businesses, our revenues, including milestone and royalty revenues from our collaborators, our and our collaborators’ clinical trials, healthcare systems or the global economy as a whole could have a material adverse impact on our business, results of operations, and financial condition.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unsuccessful in our efforts to discover and develop drug candidates and commercialize drug products.</w:t>
      </w:r>
    </w:p>
    <w:p>
      <w:pPr>
        <w:spacing w:after="0" w:line="217"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Our long term success, revenue growth and diversification of revenues depends on our ability to obtain regulatory approval for new drug products and additional indications for our existing drug products. Our ability to discover and develop drug candidates and to commercialize additional drug products and indications will depend on our ability to:</w:t>
      </w:r>
    </w:p>
    <w:p>
      <w:pPr>
        <w:spacing w:after="0" w:line="188" w:lineRule="exact"/>
        <w:rPr>
          <w:sz w:val="20"/>
          <w:szCs w:val="20"/>
          <w:color w:val="auto"/>
        </w:rPr>
      </w:pPr>
    </w:p>
    <w:p>
      <w:pPr>
        <w:ind w:left="960" w:hanging="318"/>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hire and retain key employees;</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identify high quality therapeutic targets;</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identify potential drug candidates;</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 products internally or license or acquire drug candidates from others;</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identify and enroll suitable human subjects, either in the United States or abroad, for our clinical trials;</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complete laboratory testing;</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commence, conduct and complete safe and effective clinical trials on humans;</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and maintain necessary intellectual property rights to our products;</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and maintain necessary regulatory approvals for our products, both in the United States and abroad;</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enter into arrangements with third parties to provide services or to manufacture our products on our behalf;</w:t>
      </w:r>
    </w:p>
    <w:p>
      <w:pPr>
        <w:spacing w:after="0" w:line="217" w:lineRule="exact"/>
        <w:rPr>
          <w:rFonts w:ascii="Arial" w:cs="Arial" w:eastAsia="Arial" w:hAnsi="Arial"/>
          <w:sz w:val="18"/>
          <w:szCs w:val="18"/>
          <w:color w:val="auto"/>
        </w:rPr>
      </w:pPr>
    </w:p>
    <w:p>
      <w:pPr>
        <w:ind w:left="960" w:hanging="318"/>
        <w:spacing w:after="0" w:line="264"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deploy sales, marketing, distribution and manufacturing resources effectively or enter into arrangements with third parties to provide these functions in compliance with all applicable laws;</w:t>
      </w:r>
    </w:p>
    <w:p>
      <w:pPr>
        <w:spacing w:after="0" w:line="180" w:lineRule="exact"/>
        <w:rPr>
          <w:rFonts w:ascii="Arial" w:cs="Arial" w:eastAsia="Arial" w:hAnsi="Arial"/>
          <w:sz w:val="18"/>
          <w:szCs w:val="18"/>
          <w:color w:val="auto"/>
        </w:rPr>
      </w:pPr>
    </w:p>
    <w:p>
      <w:pPr>
        <w:ind w:left="960" w:hanging="318"/>
        <w:spacing w:after="0" w:line="264"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appropriate coverage and reimbursement levels for the cost of our products from governmental authorities, private health insurers and other third-party payors;</w:t>
      </w:r>
    </w:p>
    <w:p>
      <w:pPr>
        <w:spacing w:after="0" w:line="180" w:lineRule="exact"/>
        <w:rPr>
          <w:rFonts w:ascii="Arial" w:cs="Arial" w:eastAsia="Arial" w:hAnsi="Arial"/>
          <w:sz w:val="18"/>
          <w:szCs w:val="18"/>
          <w:color w:val="auto"/>
        </w:rPr>
      </w:pPr>
    </w:p>
    <w:p>
      <w:pPr>
        <w:ind w:left="960" w:hanging="318"/>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lease facilities at reasonable rates to support our growth; and</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enter into arrangements with third parties to license and commercialize our products.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We may not be successful in discovering, developing, or commercializing additional drug products or our existing drug products in new indications. Discovery and development of drug candidates are expensive, uncertain and time-consuming, and we do not know if our efforts will lead to discovery of any drug candidates that can be successfully developed and marketed. Of the compounds or biologics that we identify as potential drug products or that we may in-license from other companies, including potential products for which we are conducting clinical trials, only a few, if any, are likely to lead to successful drug development programs and commercialized drug products.</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7"/>
          <w:szCs w:val="17"/>
          <w:b w:val="1"/>
          <w:bCs w:val="1"/>
          <w:i w:val="1"/>
          <w:iCs w:val="1"/>
          <w:color w:val="auto"/>
        </w:rPr>
        <w:t>We depend heavily on the success of our most advanced drug candidates. We and our collaborators might not be able to commercialize any of our or their drug candidates successfully, and we may spend significant time and money attempting to do so.</w:t>
      </w:r>
    </w:p>
    <w:p>
      <w:pPr>
        <w:spacing w:after="0" w:line="157" w:lineRule="exact"/>
        <w:rPr>
          <w:sz w:val="20"/>
          <w:szCs w:val="20"/>
          <w:color w:val="auto"/>
        </w:rPr>
      </w:pPr>
    </w:p>
    <w:p>
      <w:pPr>
        <w:jc w:val="both"/>
        <w:ind w:firstLine="636"/>
        <w:spacing w:after="0" w:line="305" w:lineRule="auto"/>
        <w:rPr>
          <w:sz w:val="20"/>
          <w:szCs w:val="20"/>
          <w:color w:val="auto"/>
        </w:rPr>
      </w:pPr>
      <w:r>
        <w:rPr>
          <w:rFonts w:ascii="Arial" w:cs="Arial" w:eastAsia="Arial" w:hAnsi="Arial"/>
          <w:sz w:val="15"/>
          <w:szCs w:val="15"/>
          <w:color w:val="auto"/>
        </w:rPr>
        <w:t>We have invested significant resources in the development of our most advanced drug candidates. We have a number of drug candidates in Phase III clinical trials as monotherapies or in combination with other drugs and drug candidates, including parsaclisib, pemigatinib, retifanlimab, ruxolitinib, ruxolitinib cream and tafasitamab. Our ability to generate product revenues will depend on the successful development and eventual commercialization of our most advanced drug candidates. We, or our collaborators or licensees, may decide to discontinue development of any or all of our drug candidates at any time for commercial, scientific or other reasons. For example, in April 2018, we along with Merck stopped the ECHO-301 study with epacadostat, and we also significantly downsized the epacadostat development program. If a product is developed but not approved or marketed, or becomes approved for a narrower set of indications than those for which we initially conducted clinical trials, we may have spent significant amounts of time and money on it without achieving potential returns initially anticipated, which could adversely affect our operating results and financial condition as well as our business plans.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or our collaborators are unable to obtain regulatory approval for our drug candidates in the United States and foreign jurisdictions, we or our collaborators will not be permitted to commercialize products resulting from our research.</w:t>
      </w:r>
    </w:p>
    <w:p>
      <w:pPr>
        <w:spacing w:after="0" w:line="181" w:lineRule="exact"/>
        <w:rPr>
          <w:sz w:val="20"/>
          <w:szCs w:val="20"/>
          <w:color w:val="auto"/>
        </w:rPr>
      </w:pPr>
    </w:p>
    <w:p>
      <w:pPr>
        <w:jc w:val="both"/>
        <w:ind w:firstLine="636"/>
        <w:spacing w:after="0" w:line="248" w:lineRule="auto"/>
        <w:rPr>
          <w:sz w:val="20"/>
          <w:szCs w:val="20"/>
          <w:color w:val="auto"/>
        </w:rPr>
      </w:pPr>
      <w:r>
        <w:rPr>
          <w:rFonts w:ascii="Arial" w:cs="Arial" w:eastAsia="Arial" w:hAnsi="Arial"/>
          <w:sz w:val="18"/>
          <w:szCs w:val="18"/>
          <w:color w:val="auto"/>
        </w:rPr>
        <w:t>In order to commercialize drug products in the United States, drug candidates will have to obtain regulatory approval from the FDA. Satisfaction of regulatory requirements typically takes many years. To obtain regulatory approval, we or our collaborators, as the case may be, must first show that our or our collaborators’ drug candidates are safe and effective for target indications through preclinical testing (animal testing) and clinical trials (human testing). Preclinical testing and clinical development are long, expensive and uncertain processes, and we do not know whether the FDA will allow us or our collaborators to undertake clinical trials of any drug candidates in addition to our or our collaborators’ compounds currently in clinical trials. If regulatory approval of a product is granted, this approval will be limited to those disease states and conditions for which the product is demonstrated through clinical trials to be safe and effective.</w:t>
      </w:r>
    </w:p>
    <w:p>
      <w:pPr>
        <w:spacing w:after="0" w:line="199" w:lineRule="exact"/>
        <w:rPr>
          <w:sz w:val="20"/>
          <w:szCs w:val="20"/>
          <w:color w:val="auto"/>
        </w:rPr>
      </w:pPr>
    </w:p>
    <w:p>
      <w:pPr>
        <w:jc w:val="both"/>
        <w:ind w:firstLine="636"/>
        <w:spacing w:after="0" w:line="312" w:lineRule="auto"/>
        <w:rPr>
          <w:sz w:val="20"/>
          <w:szCs w:val="20"/>
          <w:color w:val="auto"/>
        </w:rPr>
      </w:pPr>
      <w:r>
        <w:rPr>
          <w:rFonts w:ascii="Arial" w:cs="Arial" w:eastAsia="Arial" w:hAnsi="Arial"/>
          <w:sz w:val="15"/>
          <w:szCs w:val="15"/>
          <w:color w:val="auto"/>
        </w:rPr>
        <w:t>Completion of clinical trials may take several years and failure may occur at any stage of testing. The length of time required varies substantially according to the type, complexity, novelty and intended use of the drug candidate. Interim results of a preclinical test or clinical trial do not necessarily predict final results, and acceptable results in early clinical trials may not be repeated in later clinical trials. For example, a drug candidate that is successful at the preclinical level may cause harmful or dangerous side effects when tested at the clinical level. Our rate of commencement and completion of clinical trials may be delayed, and existing clinical trials with our or our collaborators’ drug candidates may be stopped, due to many potential factors, including:</w:t>
      </w:r>
    </w:p>
    <w:p>
      <w:pPr>
        <w:spacing w:after="0" w:line="151" w:lineRule="exact"/>
        <w:rPr>
          <w:sz w:val="20"/>
          <w:szCs w:val="20"/>
          <w:color w:val="auto"/>
        </w:rPr>
      </w:pPr>
    </w:p>
    <w:p>
      <w:pPr>
        <w:ind w:left="960" w:hanging="318"/>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high degree of risk and uncertainty associated with drug development;</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inability to formulate or manufacture sufficient quantities of materials for use in clinical trials;</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variability in the number and types of patients available for each study;</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difficulty in maintaining contact with patients after treatment, resulting in incomplete data;</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unforeseen safety issues or side effects;</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poor or unanticipated effectiveness of drug candidates during the clinical trials; or</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government or regulatory delays.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62" w:lineRule="auto"/>
        <w:rPr>
          <w:sz w:val="20"/>
          <w:szCs w:val="20"/>
          <w:color w:val="auto"/>
        </w:rPr>
      </w:pPr>
      <w:r>
        <w:rPr>
          <w:rFonts w:ascii="Arial" w:cs="Arial" w:eastAsia="Arial" w:hAnsi="Arial"/>
          <w:sz w:val="17"/>
          <w:szCs w:val="17"/>
          <w:color w:val="auto"/>
        </w:rPr>
        <w:t>Data obtained from clinical trials are susceptible to varying interpretation, which may delay, limit or prevent regulatory approval. Many companies in the pharmaceutical and biopharmaceutical industry, including our company, have suffered significant setbacks in advanced clinical trials, even after achieving promising results in earlier clinical trials. In addition, regulatory authorities may refuse or delay approval as a result of other factors, such as changes in regulatory policy during the period of product development and regulatory agency review. For example, the FDA has in the past required, and could in the future require, that we or our collaborators conduct additional trials of any of our drug candidates, which would result in delays. In April 2017, we and our collaborator Lilly announced that the FDA had issued a complete response letter for the New Drug Application, or NDA, of OLUMIANT as a once-daily oral medication for the treatment of moderate-to-severe rheumatoid arthritis. The letter indicated that additional clinical data were needed to determine the most appropriate doses and to further characterize safety concerns across treatment arms. In June 2018, after a resubmission of the NDA, the FDA approved the 2mg dose of OLUMIANT for the treatment of adults with moderately-to-severely active rheumatoid arthritis who have had an inadequate response to one or more tumor necrosis factor inhibitor therapies. The FDA did not at that time approve any higher dose of OLUMIANT and required a warning label in connection with its approval. In addition, in January 2022, we announced that we withdrew the NDA seeking approval of parsaclisib for the treatment of patients with relapsed or refractory follicular lymphoma, marginal zone lymphoma and mantle cell lymphoma. The decision to withdraw the NDA followed discussions with FDA regarding confirmatory clinical trials that we determined cannot be completed within the time period to support the investment. In addition, in March 2023, we received a complete response letter for ruxolitinib extended-release (XR) tablets, which identified additional requirements for approval.</w:t>
      </w:r>
    </w:p>
    <w:p>
      <w:pPr>
        <w:spacing w:after="0" w:line="191" w:lineRule="exact"/>
        <w:rPr>
          <w:sz w:val="20"/>
          <w:szCs w:val="20"/>
          <w:color w:val="auto"/>
        </w:rPr>
      </w:pPr>
    </w:p>
    <w:p>
      <w:pPr>
        <w:jc w:val="both"/>
        <w:ind w:firstLine="636"/>
        <w:spacing w:after="0" w:line="302" w:lineRule="auto"/>
        <w:rPr>
          <w:sz w:val="20"/>
          <w:szCs w:val="20"/>
          <w:color w:val="auto"/>
        </w:rPr>
      </w:pPr>
      <w:r>
        <w:rPr>
          <w:rFonts w:ascii="Arial" w:cs="Arial" w:eastAsia="Arial" w:hAnsi="Arial"/>
          <w:sz w:val="15"/>
          <w:szCs w:val="15"/>
          <w:color w:val="auto"/>
        </w:rPr>
        <w:t>Compounds or biologics developed by us or with or by our collaborators and licensees may not prove to be safe and effective in clinical trials and may not meet all of the applicable regulatory requirements needed to receive marketing approval. For example, in January 2016, a Phase II trial that was evaluating ruxolitinib in combination with regorafenib in patients with relapsed or refractory metastatic colorectal cancer and high C-reactive protein was stopped early after a planned analysis of interim efficacy data determined that the likelihood of the trial meeting its efficacy endpoint was insufficient. In addition, in February 2016, we made a decision to discontinue our JANUS 1 study, our JANUS 2 study, our other studies of ruxolitinib in colorectal, breast and lung cancer, and our study of INCB39110 in pancreatic cancer after a planned analysis of interim efficacy data of JANUS 1 demonstrated that ruxolitinib plus capecitabine did not show a sufficient level of efficacy to warrant continuation. Also, in April 2018, we along with Merck announced that the ECHO-301 study had been stopped and we also significantly downsized the epacadostat development program and in January 2020 we stopped our Phase III trial of itacitinib for the treatment of acute graft-versus-host-disease. If clinical trials of any of our or our collaborators’ compounds or biologics are stopped for safety, efficacy or other reasons or fail to meet their respective endpoints, our overall development plans, business, prospects, expected operating results and financial condition could be materially harmed and the value of our company could be negatively affected.</w:t>
      </w:r>
    </w:p>
    <w:p>
      <w:pPr>
        <w:spacing w:after="0" w:line="374" w:lineRule="exact"/>
        <w:rPr>
          <w:sz w:val="20"/>
          <w:szCs w:val="20"/>
          <w:color w:val="auto"/>
        </w:rPr>
      </w:pPr>
    </w:p>
    <w:p>
      <w:pPr>
        <w:jc w:val="both"/>
        <w:ind w:firstLine="636"/>
        <w:spacing w:after="0" w:line="263" w:lineRule="auto"/>
        <w:rPr>
          <w:sz w:val="20"/>
          <w:szCs w:val="20"/>
          <w:color w:val="auto"/>
        </w:rPr>
      </w:pPr>
      <w:r>
        <w:rPr>
          <w:rFonts w:ascii="Arial" w:cs="Arial" w:eastAsia="Arial" w:hAnsi="Arial"/>
          <w:sz w:val="17"/>
          <w:szCs w:val="17"/>
          <w:color w:val="auto"/>
        </w:rPr>
        <w:t>Even if any of our applications receives an FDA Fast Track or priority review designation (including based on a priority review voucher, one of which we recently acquired and used in connection with our submission seeking FDA approval of ruxolitinib cream for atopic dermatitis), these designations may not result in faster review or approval for our product candidate compared to product candidates considered for approval under conventional FDA procedures and, in any event, do not assure ultimate approval of our product candidate by FDA. For example, in June 2021 we were informed by the FDA that the FDA had extended by three months the review period for the NDA for ruxolitinib cream for atopic dermatitis. Also, in July 2021, we announced that the FDA issued a complete response letter for the BLA of retifanlimab for the treatment of squamous cell carcinoma of the anal canal, in which the FDA stated it cannot approve the BLA and that additional data are needed. In addition, while the FDA had granted orphan drug designation and Fast Track designation to parsaclisib as a treatment for patients with follicular lymphoma, marginal zone lymphoma and mantle cell lymphoma, as discussed above we withdrew our NDA seeking approval for treatment of patients with those lymphomas. The FDA has recently increased its attention on mandated confirmatory trials for oncology drug candidates with accelerated approvals, and the logistics, cost and timing required for confirmatory trials may conflict with the investment thesis for drug candidates, resulting in withdrawal of approval applications.</w:t>
      </w:r>
    </w:p>
    <w:p>
      <w:pPr>
        <w:spacing w:after="0" w:line="188" w:lineRule="exact"/>
        <w:rPr>
          <w:sz w:val="20"/>
          <w:szCs w:val="20"/>
          <w:color w:val="auto"/>
        </w:rPr>
      </w:pPr>
    </w:p>
    <w:p>
      <w:pPr>
        <w:jc w:val="both"/>
        <w:ind w:firstLine="636"/>
        <w:spacing w:after="0" w:line="249" w:lineRule="auto"/>
        <w:rPr>
          <w:sz w:val="20"/>
          <w:szCs w:val="20"/>
          <w:color w:val="auto"/>
        </w:rPr>
      </w:pPr>
      <w:r>
        <w:rPr>
          <w:rFonts w:ascii="Arial" w:cs="Arial" w:eastAsia="Arial" w:hAnsi="Arial"/>
          <w:sz w:val="18"/>
          <w:szCs w:val="18"/>
          <w:color w:val="auto"/>
        </w:rPr>
        <w:t>Outside the United States, our and our collaborators’ ability to market a product is contingent upon receiving a marketing authorization from the appropriate regulatory authorities. This foreign regulatory approval process typically includes all of the risks associated with the FDA approval process described above and may also include additional risks. The requirements governing the conduct of clinical trials, product licensing, pricing and reimbursement vary greatly from country to country and may require us to perform additional testing and expend additional resources. Approval by the FDA does not ensure approval by regulatory authorities in other countries, and approval by one foreign regulatory authority does not ensure approval by regulatory authorities in other countries or by the FDA.</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Health care reform measures could impact the pricing and profitability of pharmaceuticals, and adversely affect the commercial viability of our or our collaborators’ products and drug candidates.</w:t>
      </w:r>
    </w:p>
    <w:p>
      <w:pPr>
        <w:spacing w:after="0" w:line="181" w:lineRule="exact"/>
        <w:rPr>
          <w:sz w:val="20"/>
          <w:szCs w:val="20"/>
          <w:color w:val="auto"/>
        </w:rPr>
      </w:pPr>
    </w:p>
    <w:p>
      <w:pPr>
        <w:jc w:val="both"/>
        <w:ind w:firstLine="636"/>
        <w:spacing w:after="0" w:line="299" w:lineRule="auto"/>
        <w:rPr>
          <w:sz w:val="20"/>
          <w:szCs w:val="20"/>
          <w:color w:val="auto"/>
        </w:rPr>
      </w:pPr>
      <w:r>
        <w:rPr>
          <w:rFonts w:ascii="Arial" w:cs="Arial" w:eastAsia="Arial" w:hAnsi="Arial"/>
          <w:sz w:val="15"/>
          <w:szCs w:val="15"/>
          <w:color w:val="auto"/>
        </w:rPr>
        <w:t>In recent years, through legislative and regulatory actions and executive orders, the U.S. federal government has made substantial changes to various payment systems under the Medicare and other federal health care programs. Comprehensive reforms to the U.S. healthcare system were enacted, including changes to the methods for, and amounts of, Medicare reimbursement. For example, a provision in the American Rescue Plan Act of 2021 that is expected to be implemented in 2024 will have the effect of increasing the Medicaid rebate liability for some medicines that increase prices in excess of inflation. Further, in August 2022, the Inflation Reduction Act of 2022 was enacted, which includes provisions allowing the federal government to negotiate prices for certain high-expenditure single source Medicare drugs, to impose penalties and to implement a potential excise tax for manufacturers that fail to comply with the negotiation by offering a price that is not equal to or less than the negotiated “maximum fair price” under the law, and to impose rebate liability on manufacturers that take price increases that exceed inflation. The new law also reduced the out-of-pocket prescription drug costs for Medicare Part D beneficiaries, and to help pay for this change in benefit design, the law imposes a new discount program starting in 2025, in which manufacturers pay specified discounts on Medicare Part D utilization of their drugs as a condition of selling such drugs in the Medicare Part D program. The Inflation Reduction Act includes certain exemptions for small biotech drug manufacturers, including Incyte. These exemptions apply on a drug-specific basis, and qualifying drugs will be exempt from possible negotiation through 2028 and subject to reduced discounts that will be phased-in over a number of years under the new Part D benefit. While there is currently significant uncertainty regarding the implementation of some of these reforms or the scope of amended or additional reforms, the implementation of reforms could significantly reduce net sales resulting from the Medicare programs and limit our ability to increase the prices that we charge for our drugs. Reforms or other changes to these payment systems may change the availability, methods and rates of reimbursements from Medicare, private insurers and other third-party payors for our current and any future approved products. These reforms may affect future investments in our drug development, should the reforms affect our risk-benefit analysis of investing in a drug candidate. Some of these changes and proposed changes could result in reduced reimbursement rates or the elimination of dual sources of payment, which could reduce the price that we or any of our collaborators or licensees receive for any products in the future, and which would adversely affect our business strategy, operations and financial results.</w:t>
      </w:r>
    </w:p>
    <w:p>
      <w:pPr>
        <w:spacing w:after="0" w:line="372" w:lineRule="exact"/>
        <w:rPr>
          <w:sz w:val="20"/>
          <w:szCs w:val="20"/>
          <w:color w:val="auto"/>
        </w:rPr>
      </w:pPr>
    </w:p>
    <w:p>
      <w:pPr>
        <w:jc w:val="both"/>
        <w:ind w:firstLine="636"/>
        <w:spacing w:after="0" w:line="300" w:lineRule="auto"/>
        <w:rPr>
          <w:sz w:val="20"/>
          <w:szCs w:val="20"/>
          <w:color w:val="auto"/>
        </w:rPr>
      </w:pPr>
      <w:r>
        <w:rPr>
          <w:rFonts w:ascii="Arial" w:cs="Arial" w:eastAsia="Arial" w:hAnsi="Arial"/>
          <w:sz w:val="15"/>
          <w:szCs w:val="15"/>
          <w:color w:val="auto"/>
        </w:rPr>
        <w:t>In addition, there has been an increasing legislative and enforcement interest in the United States with respect to drug pricing practices. This has resulted in significant legislative activity and proposals from the prior and current Administrations relating to prescription drug prices and reimbursement, any of which, if enacted, could impose downward pressure on the prices that we can charge for our products and may further limit the commercial viability of our products and drug candidates. Specifically, there have been ongoing federal congressional inquiries and proposed and enacted federal and state legislation, executive orders and administrative agency rules designed to, among other things, bring more transparency to drug pricing, reduce drug prices, reform government program reimbursement methodologies for prescription drugs, expand access to government-mandated discounted pricing (known as 340B pricing) through broader contract pharmacy arrangements, allow importation of drugs into the United States from other countries, and limit allowable prices for drugs through reference to an average price from foreign markets that may be substantially lower than what we currently or would otherwise charge. In certain foreign markets, pricing or profitability of prescription pharmaceuticals is subject to government control. We expect that the health care reform measures that have been adopted in the United States and in foreign markets, and further reforms that may be adopted in the future, could result in more rigorous coverage criteria and additional downward pressure on the prices that we may receive for our approved products. If reimbursement for our products is unavailable or limited in scope or amount, or if pricing is set at unsatisfactory levels, our business could be materially harmed, including by our revenue potentially being materially adversely affected and our research and development efforts potentially being materially curtailed or, in some cases, ceasing. There may be future changes that result in reductions in current prices, coverage and reimbursement levels for our current or any future approved products, and we cannot predict the scope of any future changes or the impact that those changes would have on our operations.</w:t>
      </w:r>
    </w:p>
    <w:p>
      <w:pPr>
        <w:spacing w:after="0" w:line="374"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Further, if we become the subject of any governmental or other regulatory hearing or investigation with respect to the pricing of our products or other business practices, we could incur significant expenses and could be distracted from the operation of our business and execution of our business strategy. Any such hearing or investigation could also result in significant negative publicity and harm to our reputation, reduced market acceptance and demand, which could adversely affect our financial results and growth prospects.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306" w:lineRule="auto"/>
        <w:rPr>
          <w:sz w:val="20"/>
          <w:szCs w:val="20"/>
          <w:color w:val="auto"/>
        </w:rPr>
      </w:pPr>
      <w:r>
        <w:rPr>
          <w:rFonts w:ascii="Arial" w:cs="Arial" w:eastAsia="Arial" w:hAnsi="Arial"/>
          <w:sz w:val="15"/>
          <w:szCs w:val="15"/>
          <w:color w:val="auto"/>
        </w:rPr>
        <w:t>In addition, the trend toward managed health care in the United States, the organizations for which could control or significantly influence the purchase of health care services and products, as well as legislative and regulatory proposals to reform health care or address the cost of government insurance programs, may all result in lower prices for or rejection of our products. Adoption of our products by the medical community and patients may be limited without adequate reimbursement for those products. Cost control initiatives may decrease coverage and payment levels for our products and, in turn, the price that we will be able to charge for any product. Our products may not be considered cost-effective, and coverage and reimbursement may not be available or sufficient to allow us to sell our products on a profitable basis. We are unable to predict all changes to the coverage or reimbursement methodologies that will be applied by private or government payors to our current and any future approved products.</w:t>
      </w:r>
    </w:p>
    <w:p>
      <w:pPr>
        <w:spacing w:after="0" w:line="157"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The continuing efforts of legislatures, health agencies and third-party payors to contain or reduce the costs of health care, any denial of private or government payor coverage or inadequate reimbursement for our drug candidates could materially and adversely affect our business strategy, operations, future revenues and profitability, and the future revenues and profitability of our potential customers, suppliers, collaborators and licensees and the availability of capital. The same risks apply to our compounds developed and marketed by our collaborators, and our future potential milestone and royalty revenues could be affected in a similar manner.</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w:t>
      </w:r>
    </w:p>
    <w:p>
      <w:pPr>
        <w:spacing w:after="0" w:line="188" w:lineRule="exact"/>
        <w:rPr>
          <w:sz w:val="20"/>
          <w:szCs w:val="20"/>
          <w:color w:val="auto"/>
        </w:rPr>
      </w:pPr>
    </w:p>
    <w:p>
      <w:pPr>
        <w:jc w:val="both"/>
        <w:ind w:firstLine="636"/>
        <w:spacing w:after="0" w:line="263" w:lineRule="auto"/>
        <w:rPr>
          <w:sz w:val="20"/>
          <w:szCs w:val="20"/>
          <w:color w:val="auto"/>
        </w:rPr>
      </w:pPr>
      <w:r>
        <w:rPr>
          <w:rFonts w:ascii="Arial" w:cs="Arial" w:eastAsia="Arial" w:hAnsi="Arial"/>
          <w:sz w:val="17"/>
          <w:szCs w:val="17"/>
          <w:color w:val="auto"/>
        </w:rPr>
        <w:t>We have licensed to Novartis rights to ruxolitinib outside of the United States and worldwide rights to our MET inhibitor compounds, including TABRECTA, and licensed to Lilly worldwide rights to baricitinib. In addition, we have licensed to CMS, Innovent, InnoCare and Maruho certain Asian rights to some of our drug products and clinical stage compounds. Under the terms of our agreements with these collaborators, we have no or limited control over the further clinical development of these drug candidates in the relevant territories and any revenues we may receive if these drug candidates receive regulatory approval and are commercialized in the relevant territories will depend primarily on the development and commercialization efforts of others. While OLUMIANT was approved by the European Commission in February 2017 for the treatment of moderate-to-severe rheumatoid arthritis in adult patients and by Japan’s Ministry of Health, Labor and Welfare in July 2017 for the treatment of rheumatoid arthritis in patients with inadequate response to standard-of-care therapies, the NDA for OLUMIANT for the treatment of moderate-to-severe rheumatoid arthritis was approved in June 2018, and only in the lower dosage tablet and with a warning label. Delays in any marketing approval by the FDA, European or other regulatory authorities, or any label modifications or restrictions in connection with any such approval, or the existence of other risks relating to approved drug products, including those described under “Risks Relating to Commercialization of Our Products,” could delay the receipt of and reduce resulting potential royalty and milestone revenue from baricitinib or any of our other out-licensed drug candidates.</w:t>
      </w:r>
    </w:p>
    <w:p>
      <w:pPr>
        <w:spacing w:after="0" w:line="186" w:lineRule="exact"/>
        <w:rPr>
          <w:sz w:val="20"/>
          <w:szCs w:val="20"/>
          <w:color w:val="auto"/>
        </w:rPr>
      </w:pPr>
    </w:p>
    <w:p>
      <w:pPr>
        <w:jc w:val="both"/>
        <w:ind w:firstLine="636"/>
        <w:spacing w:after="0" w:line="303" w:lineRule="auto"/>
        <w:rPr>
          <w:sz w:val="20"/>
          <w:szCs w:val="20"/>
          <w:color w:val="auto"/>
        </w:rPr>
      </w:pPr>
      <w:r>
        <w:rPr>
          <w:rFonts w:ascii="Arial" w:cs="Arial" w:eastAsia="Arial" w:hAnsi="Arial"/>
          <w:sz w:val="15"/>
          <w:szCs w:val="15"/>
          <w:color w:val="auto"/>
        </w:rPr>
        <w:t>Conflicts may arise with our collaborators and licensees if they pursue alternative technologies or develop alternative products either on their own or in collaboration with others as a means for developing treatments for the diseases that we have targeted. Competing products and product opportunities may lead our collaborators and licensees to withdraw their support for our drug candidates. Any failure of our collaborators and licensees to perform their obligations under our agreements with them or otherwise to support our drug candidates could negatively impact the development of our drug candidates, lead to our loss of potential revenues from product sales and milestones and delay our achievement, if any, of profitability. Additionally, conflicts have from time to time occurred, and may in the future arise, relating to, among other things, disputes about the achievement and payment of milestone amounts and royalties owed, the ownership of intellectual property that is developed during the course of a collaborative relationship or the operation or interpretation of other provisions in our collaboration agreements. These disputes have led and could in the future lead to litigation or arbitration, which could be costly and divert the efforts of our management and scientific staff, and could diminish the expected effectiveness of the collaboration.</w:t>
      </w:r>
    </w:p>
    <w:p>
      <w:pPr>
        <w:spacing w:after="0" w:line="160"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Our existing collaborative and license agreements can be terminated by our collaborators and licensees for convenience, among other circumstances. If any of our collaborators or licensees terminates its agreement with us, or terminates its rights with respect to certain indications or drug candidates, we may not be able to find a new collaborator for them, and our business could be adversely affected. Should an agreement be terminated before we have realized the benefits of the collaboration or license, our reputation could be harmed, we may not obtain revenues that we anticipated receiving, and our business could be adversely affected.</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The success of our drug discovery and development efforts may depend on our ability to find suitable collaborators to fully exploit our capabilities. If we are unable to establish collaborations or if these future collaborations are unsuccessful in the development and commercialization of our drug candidates, our research, development and commercialization efforts may be unsuccessful, which could adversely affect our results of operations, financial condition and future revenue prospects.</w:t>
      </w:r>
    </w:p>
    <w:p>
      <w:pPr>
        <w:spacing w:after="0" w:line="191" w:lineRule="exact"/>
        <w:rPr>
          <w:sz w:val="20"/>
          <w:szCs w:val="20"/>
          <w:color w:val="auto"/>
        </w:rPr>
      </w:pPr>
    </w:p>
    <w:p>
      <w:pPr>
        <w:jc w:val="both"/>
        <w:ind w:firstLine="636"/>
        <w:spacing w:after="0" w:line="303" w:lineRule="auto"/>
        <w:rPr>
          <w:sz w:val="20"/>
          <w:szCs w:val="20"/>
          <w:color w:val="auto"/>
        </w:rPr>
      </w:pPr>
      <w:r>
        <w:rPr>
          <w:rFonts w:ascii="Arial" w:cs="Arial" w:eastAsia="Arial" w:hAnsi="Arial"/>
          <w:sz w:val="15"/>
          <w:szCs w:val="15"/>
          <w:color w:val="auto"/>
        </w:rPr>
        <w:t>An element of our business strategy is to enter into collaborative or license arrangements with other parties, under which we license our drug candidates to those parties for development and commercialization or under which we study our drug candidates in combination with other parties’ compounds or biologics. For example, in addition to our Novartis, Lilly, Innovent, InnoCare, Maruho and CMS collaborations, we are evaluating strategic relationships with respect to several of our other programs. However, because collaboration and license arrangements are complex to negotiate, we may not be successful in our attempts to establish these arrangements. Also, we may not have drug candidates that are desirable to other parties, or we may be unwilling to license a drug candidate to a particular party because such party interested in it is a competitor or for other reasons. The terms of any such arrangements that we establish may not be favorable to us. Alternatively, potential collaborators may decide against entering into an agreement with us because of our financial, regulatory or intellectual property position or for scientific, commercial or other reasons. If we are not able to establish collaboration or license arrangements, we may not be able to develop and commercialize a drug product, which could adversely affect our business, our revenues and our future revenue prospects.</w:t>
      </w:r>
    </w:p>
    <w:p>
      <w:pPr>
        <w:spacing w:after="0" w:line="160" w:lineRule="exact"/>
        <w:rPr>
          <w:sz w:val="20"/>
          <w:szCs w:val="20"/>
          <w:color w:val="auto"/>
        </w:rPr>
      </w:pPr>
    </w:p>
    <w:p>
      <w:pPr>
        <w:jc w:val="both"/>
        <w:ind w:firstLine="636"/>
        <w:spacing w:after="0" w:line="248" w:lineRule="auto"/>
        <w:rPr>
          <w:sz w:val="20"/>
          <w:szCs w:val="20"/>
          <w:color w:val="auto"/>
        </w:rPr>
      </w:pPr>
      <w:r>
        <w:rPr>
          <w:rFonts w:ascii="Arial" w:cs="Arial" w:eastAsia="Arial" w:hAnsi="Arial"/>
          <w:sz w:val="18"/>
          <w:szCs w:val="18"/>
          <w:color w:val="auto"/>
        </w:rPr>
        <w:t>We will likely not be able to control the amount and timing of resources that our collaborators or licensees devote to our programs or drug candidates. If our collaborators or licensees prove difficult to work with, are less skilled than we originally expected, do not devote adequate resources to the program, are unable to obtain regulatory approval of our drug candidates, pursue alternative technologies or develop alternative products, or do not agree with our approach to development or manufacturing of the drug candidate, the relationship could be unsuccessful. Our collaborations with respect to epacadostat involved the study of our collaborators’ drugs used in combination with epacadostat on a number of indications or tumor types, many of which were the same across multiple collaborations. We cannot assure you that potential conflicts will not arise or be alleged among these or future collaborations. If a business combination involving a collaborator or licensee and a third-party were to occur, the effect could be to terminate or cause delays in development of a drug candidate.</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enter into additional licensing agreements or if these arrangements are unsuccessful, our business and operations might be adversely affected.</w:t>
      </w:r>
    </w:p>
    <w:p>
      <w:pPr>
        <w:spacing w:after="0" w:line="252" w:lineRule="exact"/>
        <w:rPr>
          <w:sz w:val="20"/>
          <w:szCs w:val="20"/>
          <w:color w:val="auto"/>
        </w:rPr>
      </w:pPr>
    </w:p>
    <w:p>
      <w:pPr>
        <w:jc w:val="both"/>
        <w:ind w:firstLine="636"/>
        <w:spacing w:after="0" w:line="299" w:lineRule="auto"/>
        <w:rPr>
          <w:sz w:val="20"/>
          <w:szCs w:val="20"/>
          <w:color w:val="auto"/>
        </w:rPr>
      </w:pPr>
      <w:r>
        <w:rPr>
          <w:rFonts w:ascii="Arial" w:cs="Arial" w:eastAsia="Arial" w:hAnsi="Arial"/>
          <w:sz w:val="15"/>
          <w:szCs w:val="15"/>
          <w:color w:val="auto"/>
        </w:rPr>
        <w:t>In addition to establishing collaborative or license arrangements under which other parties license our drug candidates for development and commercialization or under which we study our drug candidates in combination with such parties’ compounds or biologics, we may explore opportunities to develop our clinical pipeline by in-licensing drug candidates or therapeutics targets that fit within our focus on oncology, such as our collaborations with Agenus Inc., MacroGenics, Inc., Merus N.V., MorphoSys, Syros Pharmaceuticals, Inc., and Syndax Pharmaceuticals, Inc., or explore additional opportunities to further develop and commercialize existing drug candidates in specific jurisdictions, such as our June 2016 acquisition of the development and commercialization rights to ICLUSIG in certain countries. We may be unable to enter into any additional in-licensing agreements because suitable drug candidates that are within our expertise may not be available to us on terms that are acceptable to us or because competitors with greater resources seek to in-license the same drug candidates. Drug candidates that we would like to develop or commercialize may not be available to us because they are controlled by competitors who are unwilling to license the rights to the drug candidate to us. In addition, we may enter into license agreements that are unsuccessful and our business and operations might be adversely affected if we are unable to realize the expected economic benefits of a collaboration or other licensing arrangement, by the termination of a drug candidate and termination and winding down of the related license agreement, or due to other business or regulatory issues, including financial difficulties, that may adversely affect a licensor’s ability to continue to perform its obligations under an in-license agreement. For example, in January 2022, we decided to opt-out of the continued development with Merus of MCLA-145, which was the most advanced compound under our collaboration with Merus, and in September 2022, we decided to terminate our collaboration with Calithera Biosciences, Inc. If we make or incur contractual obligations to make significant upfront payments in connection with licenses for late-stage drug candidates, as we did in March 2020 in connection with the effectiveness of our collaboration agreement with MorphoSys, and if any of those drug candidates do not receive marketing approval or commercial sales as anticipated or we have to fund additional clinical trials before marketing approval can be obtained, we will have expended significant funds that might otherwise be applied for other uses or have to expend funds that were not otherwise budgeted or anticipated in connection with the collaboration, and such developments could have a material adverse effect on our stock price and our ability to pursue other transactions. As discussed above under “We depend on our collaborators and licensees for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development and commercialization of some of our drug candidates. Conflicts may arise between our collaborators and licensees and us, or our collaborators and licensees may choose to terminate their agreements with us, which may adversely affect our business,” conflicts or other issues may arise with our licensors. Those conflicts could result in delays in our plans to develop drug candidates or result in the expenditure of additional funds to resolve those conflicts that could have an adverse effect on our results of operations. We may also need to license drug delivery or other technology in order to continue to develop our drug candidates. If we are unable to enter into additional agreements to license drug candidates, drug delivery technology or other technology or if these arrangements are unsuccessful, our research and development efforts could be adversely affected, and we may be unable to increase our number of successfully marketed products and our revenues.</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Even if a drug candidate that we develop receives regulatory approval, we may decide not to commercialize it if we determine that commercialization of that product would require more money and time than we are willing to invest.</w:t>
      </w:r>
    </w:p>
    <w:p>
      <w:pPr>
        <w:spacing w:after="0" w:line="181" w:lineRule="exact"/>
        <w:rPr>
          <w:sz w:val="20"/>
          <w:szCs w:val="20"/>
          <w:color w:val="auto"/>
        </w:rPr>
      </w:pPr>
    </w:p>
    <w:p>
      <w:pPr>
        <w:jc w:val="both"/>
        <w:ind w:firstLine="636"/>
        <w:spacing w:after="0" w:line="306" w:lineRule="auto"/>
        <w:rPr>
          <w:sz w:val="20"/>
          <w:szCs w:val="20"/>
          <w:color w:val="auto"/>
        </w:rPr>
      </w:pPr>
      <w:r>
        <w:rPr>
          <w:rFonts w:ascii="Arial" w:cs="Arial" w:eastAsia="Arial" w:hAnsi="Arial"/>
          <w:sz w:val="15"/>
          <w:szCs w:val="15"/>
          <w:color w:val="auto"/>
        </w:rPr>
        <w:t>Even if any of our drug candidates receives regulatory approval, it could be subject to post-regulatory surveillance, and may have to be withdrawn from the market or subject to restrictions if previously unknown problems occur. Regulatory agencies may also require additional clinical trials or testing, and the drug product may be recalled or may be subject to reformulation, additional studies, changes in labeling, warnings to the public and negative publicity. As a result, we may not continue to commercialize a product even though it has obtained regulatory approval. Further, we may decide not to continue to commercialize a product if the market does not accept the product because it is too expensive or because third parties such as insurance companies or Medicare, will not cover it for substantial reimbursement. In addition, we may decide not to continue to commercialize a product if competitors develop and commercialize similar or superior products or have proprietary rights that preclude us from ultimately marketing our products.</w:t>
      </w:r>
    </w:p>
    <w:p>
      <w:pPr>
        <w:spacing w:after="0" w:line="1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Any approved drug product that we bring to the market may not gain market acceptance by physicians, patients, healthcare payors and others in the medical community.</w:t>
      </w:r>
    </w:p>
    <w:p>
      <w:pPr>
        <w:spacing w:after="0" w:line="181"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17"/>
          <w:szCs w:val="17"/>
          <w:color w:val="auto"/>
        </w:rPr>
        <w:t>Even if we or our collaborators are successful in gaining regulatory approval of any of our or our collaborators’ drug candidates in addition to JAKAFI, OLUMIANT, PEMAZYRE, MONJUVI/MINJUVI, OPZELURA and ZYNYZ or acquire rights to approved drug products in addition to ICLUSIG, we may not generate significant product revenues if these drug products do not achieve an adequate level of acceptance. Physicians may not recommend our or our collaborators’ drug products until longer-term clinical data or other factors demonstrate the safety and efficacy of our or our collaborators’ drug products as compared to other alternative treatments. Even if the clinical safety and efficacy of our or our collaborators’ drug products is established, physicians may elect not to prescribe these drug products for a variety of reasons, including the reimbursement policies of government and other third-party payors and the effectiveness of our or our collaborators’ competitors in marketing their products.</w:t>
      </w:r>
    </w:p>
    <w:p>
      <w:pPr>
        <w:spacing w:after="0" w:line="185"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Market acceptance of our drug products, if approved for commercial sale, will depend on a number of factors, including the following, and market acceptance of our collaborators’ drug products will depend on similar factors:</w:t>
      </w:r>
    </w:p>
    <w:p>
      <w:pPr>
        <w:spacing w:after="0" w:line="181" w:lineRule="exact"/>
        <w:rPr>
          <w:sz w:val="20"/>
          <w:szCs w:val="20"/>
          <w:color w:val="auto"/>
        </w:rPr>
      </w:pPr>
    </w:p>
    <w:p>
      <w:pPr>
        <w:ind w:left="960" w:hanging="318"/>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willingness and ability of patients and the healthcare community to use our drug products;</w:t>
      </w:r>
    </w:p>
    <w:p>
      <w:pPr>
        <w:spacing w:after="0" w:line="217" w:lineRule="exact"/>
        <w:rPr>
          <w:rFonts w:ascii="Arial" w:cs="Arial" w:eastAsia="Arial" w:hAnsi="Arial"/>
          <w:sz w:val="18"/>
          <w:szCs w:val="18"/>
          <w:color w:val="auto"/>
        </w:rPr>
      </w:pPr>
    </w:p>
    <w:p>
      <w:pPr>
        <w:ind w:left="960" w:hanging="318"/>
        <w:spacing w:after="0" w:line="264"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to manufacture our drug products in sufficient quantities that meet all applicable quality standards and to offer our drug products for sale at competitive prices;</w:t>
      </w:r>
    </w:p>
    <w:p>
      <w:pPr>
        <w:spacing w:after="0" w:line="180" w:lineRule="exact"/>
        <w:rPr>
          <w:rFonts w:ascii="Arial" w:cs="Arial" w:eastAsia="Arial" w:hAnsi="Arial"/>
          <w:sz w:val="18"/>
          <w:szCs w:val="18"/>
          <w:color w:val="auto"/>
        </w:rPr>
      </w:pPr>
    </w:p>
    <w:p>
      <w:pPr>
        <w:ind w:left="960" w:right="380" w:hanging="318"/>
        <w:spacing w:after="0" w:line="264"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perception of patients and the healthcare community, including third-party payors, regarding the safety, efficacy and benefits of our drug products compared to those of competing products or therapies;</w:t>
      </w:r>
    </w:p>
    <w:p>
      <w:pPr>
        <w:spacing w:after="0" w:line="180" w:lineRule="exact"/>
        <w:rPr>
          <w:rFonts w:ascii="Arial" w:cs="Arial" w:eastAsia="Arial" w:hAnsi="Arial"/>
          <w:sz w:val="18"/>
          <w:szCs w:val="18"/>
          <w:color w:val="auto"/>
        </w:rPr>
      </w:pPr>
    </w:p>
    <w:p>
      <w:pPr>
        <w:ind w:left="960" w:hanging="318"/>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label and promotional claims allowed by the FDA;</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pricing and reimbursement of our drug products relative to existing treatments; and</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marketing and distribution support for our drug products.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49" w:lineRule="auto"/>
        <w:rPr>
          <w:sz w:val="20"/>
          <w:szCs w:val="20"/>
          <w:color w:val="auto"/>
        </w:rPr>
      </w:pPr>
      <w:r>
        <w:rPr>
          <w:rFonts w:ascii="Arial" w:cs="Arial" w:eastAsia="Arial" w:hAnsi="Arial"/>
          <w:sz w:val="18"/>
          <w:szCs w:val="18"/>
          <w:color w:val="auto"/>
        </w:rPr>
        <w:t>In September 2021, the FDA updated labeling for JAKAFI and other JAK-inhibitor drugs to include warnings of increased risk of major adverse cardiovascular events, thrombosis, and secondary malignancies related to another JAK-inhibitor treating rheumatoid arthritis, a condition for which JAKAFI is not indicated. The label for OPZELURA contains similar warnings seen with JAK inhibitors for inflammatory conditions. We cannot predict the effects on sales of JAKAFI as a result of the labeling change or OPZELURA as a result of warning included in its label, but it is possible that future sales of JAKAFI and the commercial success of OPZELURA can be negatively affected by the updated labeling, which could have a material and adverse effect on our business, results of operations and prospects.</w:t>
      </w:r>
    </w:p>
    <w:p>
      <w:pPr>
        <w:spacing w:after="0" w:line="19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have limited capacity to conduct preclinical testing and clinical trials, and our resulting dependence on other parties could result in delays in and additional costs for our drug development efforts.</w:t>
      </w:r>
    </w:p>
    <w:p>
      <w:pPr>
        <w:spacing w:after="0" w:line="181"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17"/>
          <w:szCs w:val="17"/>
          <w:color w:val="auto"/>
        </w:rPr>
        <w:t>We have limited internal resources and capacity to perform preclinical testing and clinical trials. As part of our development strategy, we often hire contract research organizations, or CROs, to perform preclinical testing and clinical trials for drug candidates. If the CROs that we hire to perform our preclinical testing and clinical trials do not meet deadlines, do not follow proper procedures, or a conflict arises between us and our CROs, our preclinical testing and clinical trials may take longer than expected, may cost more, may be delayed or may be terminated. If we were forced to find a replacement entity to perform any of our preclinical testing or clinical trials, we may not be able to find a suitable entity on favorable terms, or at all. Even if we were able to find another company to perform a preclinical test or clinical trial, the delay in the test or trial may result in significant additional expenditures. Events such as these may result in delays in our obtaining regulatory approval for our drug candidates or our ability to commercialize our products and could result in increased expenditures that would adversely affect our operating results.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face significant competition for our drug discovery and development efforts, and if we do not compete effectively, our commercial opportunities will be reduced or eliminated.</w:t>
      </w:r>
    </w:p>
    <w:p>
      <w:pPr>
        <w:spacing w:after="0" w:line="181" w:lineRule="exact"/>
        <w:rPr>
          <w:sz w:val="20"/>
          <w:szCs w:val="20"/>
          <w:color w:val="auto"/>
        </w:rPr>
      </w:pPr>
    </w:p>
    <w:p>
      <w:pPr>
        <w:jc w:val="both"/>
        <w:ind w:firstLine="636"/>
        <w:spacing w:after="0" w:line="263" w:lineRule="auto"/>
        <w:rPr>
          <w:sz w:val="20"/>
          <w:szCs w:val="20"/>
          <w:color w:val="auto"/>
        </w:rPr>
      </w:pPr>
      <w:r>
        <w:rPr>
          <w:rFonts w:ascii="Arial" w:cs="Arial" w:eastAsia="Arial" w:hAnsi="Arial"/>
          <w:sz w:val="17"/>
          <w:szCs w:val="17"/>
          <w:color w:val="auto"/>
        </w:rPr>
        <w:t>The biotechnology and pharmaceutical industries are intensely competitive and subject to rapid and significant technological change. Our drug discovery and development efforts may target diseases and conditions that are already subject to existing therapies or that are being developed by our competitors, many of which have substantially greater resources, larger research and development staffs and facilities, more experience in completing preclinical testing and clinical trials, and formulation, marketing and manufacturing capabilities. As a result of these resources, our competitors may develop drug products that render our products obsolete or noncompetitive by developing more effective drugs, developing their products more efficiently or pricing their products more competitively. Our ability to develop competitive products would be limited if our competitors succeeded in obtaining regulatory approvals for drug candidates more rapidly than we were able to or in obtaining patent protection or other intellectual property rights that limited our drug development efforts. Any drug products resulting from our research and development efforts, or from our joint efforts with collaborators or licensees, might not be able to compete successfully with our competitors’ existing and future products, or obtain regulatory approval in the United States or elsewhere. The development of products or processes by our competitors with significant advantages over those that we are developing could harm our future revenues and profitability.</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reliance on other parties to manufacture our drug products and drug candidates could result in a short supply of the drugs, delays in clinical trials or drug development, increased costs, and withdrawal or denial of a regulatory authority’s approval.</w:t>
      </w:r>
    </w:p>
    <w:p>
      <w:pPr>
        <w:spacing w:after="0" w:line="181" w:lineRule="exact"/>
        <w:rPr>
          <w:sz w:val="20"/>
          <w:szCs w:val="20"/>
          <w:color w:val="auto"/>
        </w:rPr>
      </w:pPr>
    </w:p>
    <w:p>
      <w:pPr>
        <w:jc w:val="both"/>
        <w:ind w:firstLine="636"/>
        <w:spacing w:after="0" w:line="301" w:lineRule="auto"/>
        <w:rPr>
          <w:sz w:val="20"/>
          <w:szCs w:val="20"/>
          <w:color w:val="auto"/>
        </w:rPr>
      </w:pPr>
      <w:r>
        <w:rPr>
          <w:rFonts w:ascii="Arial" w:cs="Arial" w:eastAsia="Arial" w:hAnsi="Arial"/>
          <w:sz w:val="15"/>
          <w:szCs w:val="15"/>
          <w:color w:val="auto"/>
        </w:rPr>
        <w:t>We do not currently operate manufacturing facilities for clinical or commercial production of JAKAFI, PEMAZYRE, ICLUSIG, OPZELURA or for most of our drug candidates. Our current manufacturing strategy for these products and drug candidates is to contract with third parties to manufacture the related raw materials, API and finished drug product. For MONJUVI/MINJUVI, our collaborator MorphoSys currently is responsible for sourcing and manufacturing MONJUVI for the US market, while we are responsible for the sourcing and manufacturing of MINJUVI for ex-US markets. We are also in the process of having our own bioplant manufacturing site in Switzerland registered for the MONJUVI/MINJUVI API manufacturing. For ZYNYZ, together with our collaborator MacroGenics, we are responsible for the sourcing and manufacturing of ZYNYZ. While continuing to increase our own manufacturing capacity through our Swiss bioplant site, we expect to continue to rely on third parties for the manufacture of commercial supplies of raw materials, API and finished drug product for any drugs that we successfully develop. We also contract with third parties to package and label our products. The FDA requires that the raw materials, API and finished product for drug products such as JAKAFI, PEMAZYRE and OPZELURA and our drug candidates be manufactured according to its current Good Manufacturing Practices regulations, and regulatory authorities in other countries have similar requirements. Failure to comply with Good Manufacturing Practices and the applicable regulatory requirements of other countries in the manufacture of our drug candidates and products could result in the FDA or a foreign regulatory authority halting our clinical trials, withdrawing or denying regulatory approval of our drug product, initiating product recalls or taking other enforcement actions, which could have a material adverse effect on our business.</w:t>
      </w:r>
    </w:p>
    <w:p>
      <w:pPr>
        <w:spacing w:after="0" w:line="372" w:lineRule="exact"/>
        <w:rPr>
          <w:sz w:val="20"/>
          <w:szCs w:val="20"/>
          <w:color w:val="auto"/>
        </w:rPr>
      </w:pPr>
    </w:p>
    <w:p>
      <w:pPr>
        <w:jc w:val="both"/>
        <w:ind w:firstLine="636"/>
        <w:spacing w:after="0" w:line="299" w:lineRule="auto"/>
        <w:rPr>
          <w:sz w:val="20"/>
          <w:szCs w:val="20"/>
          <w:color w:val="auto"/>
        </w:rPr>
      </w:pPr>
      <w:r>
        <w:rPr>
          <w:rFonts w:ascii="Arial" w:cs="Arial" w:eastAsia="Arial" w:hAnsi="Arial"/>
          <w:sz w:val="15"/>
          <w:szCs w:val="15"/>
          <w:color w:val="auto"/>
        </w:rPr>
        <w:t>We may not be able to obtain sufficient quantities of our drug candidates or any drug products we may develop if our designated manufacturers do not have the capacity or capability to manufacture them according to our schedule and specifications. Manufacturers of pharmaceutical products often encounter difficulties in production, especially in scaling up initial production to commercial quantities from clinical quantities. These problems include difficulties with production costs and yields, quality control and assurance and shortages of qualified personnel. To the extent problems are experienced, we could encounter difficulties in supplying sufficient product to meet demand or incur additional costs to remedy the problems or to recall defective products. Any such recall could also harm our sales efforts and our reputation. To the extent our supply chain involves parties in China or materials originating in areas of China that are or could be affected by disease outbreaks such as the COVID-19 pandemic or geopolitical events such as the Russian invasion of Ukraine, we could see disruptions to our supply chain. Currently, our supply chain for our drug products and product candidates depends on operations by us and by other companies in multiple countries around the world, and the effects of public health pandemics, natural disasters, or geopolitical events on any or all of these countries is uncertain and unpredictable and potential disruption is possible. And, for JAKAFI, while our strategy is to maintain a 24 months stock of API, inclusive of finished product, ruxolitinib phosphate might be used by us either to make JAKAFI or for ruxolitinib drug candidates in clinical trials. In addition, we may not be able to arrange for our drug candidates or any drug products that we may develop to be manufactured by one of these parties on reasonable terms, if at all. We generally have a single source or a limited number of suppliers that are qualified to supply each of the API and finished product of our drug products and our other drug candidates and, in the case of JAKAFI, we only have a single source for its raw materials. If any of these suppliers were to become unable or unwilling to supply us with raw materials, API or finished product that complies with applicable regulatory requirements, we could incur significant delays in our clinical trials or interruption of commercial supply that could have a material adverse effect on our business. If we have promised delivery of a drug candidate or drug product and are unable to meet the delivery requirement due to manufacturing difficulties, our development programs could be delayed, we may have to expend additional sums in order to ensure that manufacturing capacity is available when we need it even if we do not use all of the manufacturing capacity, and our business and operating results could be harmed.</w:t>
      </w:r>
    </w:p>
    <w:p>
      <w:pPr>
        <w:spacing w:after="0" w:line="372"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We may not be able to adequately manage and oversee the manufacturers we choose, they may not perform as agreed or they may terminate their agreements with us. Foreign manufacturing approval processes typically include all of the risks associated with the FDA approval process for manufacturing and may also include additional risks.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7"/>
          <w:szCs w:val="17"/>
          <w:color w:val="auto"/>
        </w:rPr>
        <w:t>A number of our collaborations involve the manufacture of antibodies. Either we or our collaborators have primary responsibility for manufacturing activities, and we intend to continue to use third-party contract manufacturing organizations for the manufacture of antibodies in conjunction with our manufacturing facility in Switzerland, which became accredited by the Swiss Health Authority in June 2022. Manufacturing antibodies and products containing antibodies is a more complex process than manufacturing small molecule drugs and subject to additional risks. The process of manufacturing antibodies and products containing antibodies is highly susceptible to product loss due to contamination, equipment failure or improper installation or operation of equipment, vendor or operator error, inconsistency in yields, variability in product characteristics, and difficulties in scaling up the production process.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 We may encounter delays and difficulties in scaling up production at our new facility.</w:t>
      </w:r>
    </w:p>
    <w:p>
      <w:pPr>
        <w:spacing w:after="0" w:line="18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If we fail to comply with the extensive legal and regulatory requirements affecting the health care industry, we could face increased costs, penalties and a loss of business.</w:t>
      </w:r>
    </w:p>
    <w:p>
      <w:pPr>
        <w:spacing w:after="0" w:line="181" w:lineRule="exact"/>
        <w:rPr>
          <w:sz w:val="20"/>
          <w:szCs w:val="20"/>
          <w:color w:val="auto"/>
        </w:rPr>
      </w:pPr>
    </w:p>
    <w:p>
      <w:pPr>
        <w:jc w:val="both"/>
        <w:ind w:firstLine="636"/>
        <w:spacing w:after="0" w:line="297" w:lineRule="auto"/>
        <w:rPr>
          <w:sz w:val="20"/>
          <w:szCs w:val="20"/>
          <w:color w:val="auto"/>
        </w:rPr>
      </w:pPr>
      <w:r>
        <w:rPr>
          <w:rFonts w:ascii="Arial" w:cs="Arial" w:eastAsia="Arial" w:hAnsi="Arial"/>
          <w:sz w:val="15"/>
          <w:szCs w:val="15"/>
          <w:color w:val="auto"/>
        </w:rPr>
        <w:t>Our activities, and the activities of our collaborators, partners and third-party providers, are subject to extensive government regulation and oversight both in the United States and in foreign jurisdictions. The FDA and comparable agencies in other jurisdictions directly regulate many of our most critical business activities, including the conduct of preclinical and clinical studies, product manufacturing, advertising and promotion, product distribution, adverse event reporting and product risk management. States increasingly have been placing greater restrictions on the marketing practices of healthcare companies and have instituted pricing disclosure and other requirements for companies selling pharmaceuticals. In addition, pharmaceutical and biotechnology companies have been the target of lawsuits and investigations alleging violations of government regulations, including claims asserting submission of incorrect pricing information, improper promotion of pharmaceutical products, payments intended to influence the referral of federal or state healthcare business, submission of false claims for government reimbursement, antitrust violations, violations of the U.S. Foreign Corrupt Practices Act, the U.K. Bribery Act and similar anti-bribery or anti-corruption laws, or violations related to environmental matters. There is also enhanced scrutiny of company-sponsored patient assistance programs, including insurance premium and co-pay assistance programs and donations to third-party charities that provide such assistance. In December 2018, we received a civil investigative demand from the U.S. Department of Justice, or DOJ, for documents and information relating to our speaker programs and patient assistance programs, including our support of non-profit organizations that provide financial assistance to eligible patients and in November 2019, the qui tam complaint underlying the DOJ inquiry was unsealed, at which time we learned that a former employee whom we had terminated had made certain allegations relating to the programs described above. While we deny that any improper claims were submitted to government payers, we agreed in May 2021 to settle the matter with the DOJ Civil Division for $12.6 million, plus certain statutory fees. Violations of governmental regulation by us, our vendors or donation recipients may be punishable by criminal and civil sanctions, including damages, fines and penalties and exclusion from participation in government programs, including Medicare and Medicaid. In addition to damages, fines and penalties for violation of laws and regulations, we could be required to repay amounts we received from government payors, or pay additional rebates and interest if we are found to have miscalculated the pricing information we have submitted to the government. Actions taken by federal or local governments, legislative bodies and enforcement agencies with respect to these legal and regulatory compliance matters could also result in reduced demand for our products, reduced coverage of our products by health care payors, or both. We cannot ensure that our compliance controls, policies, and procedures will in every instance protect us from acts committed by our employees, collaborators, partners or third-party providers that would violate the laws or regulations of the jurisdictions in which we operate. Whether or not we have complied with the law, an investigation into alleged unlawful conduct could increase our expenses, damage our reputation, divert management time and attention and adversely affect our business, and any settlement of these proceedings could result in significant payments by us. Risks relating to compliance with laws and regulations may be heightened as we continue to expand our global operations and enter new therapeutic areas with different patient populations, which due to different product distribution methods, marketing programs or patient assistance programs may result in additional regulatory burdens and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illegal distribution and sale by third parties of counterfeit or unfit versions of our or our collaborators’ products or stolen products could harm our business and reputation.</w:t>
      </w:r>
    </w:p>
    <w:p>
      <w:pPr>
        <w:spacing w:after="0" w:line="181"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17"/>
          <w:szCs w:val="17"/>
          <w:color w:val="auto"/>
        </w:rPr>
        <w:t>We are aware that counterfeit versions of our products have been distributed or sold by entities not authorized by us using product packaging suggesting that the product was provided by us. If unauthorized third parties illegally distribute and sell counterfeit versions of our or our collaborators’ products, those products may not meet our or our collaborators’ rigorous manufacturing, distribution and handling standards. In addition, inventory that is stolen from warehouses, plants or while in-transit, and that is subsequently improperly stored and sold through unauthorized channels, may not meet our or our collaborators’ distribution and handling standards. A patient who receives a counterfeit or unfit drug may suffer dangerous health consequences. Our reputation and business could suffer harm as a result of counterfeit or unfit drugs sold under our brand name and could result in lost sales for us and decreased revenues. If counterfeit or unfit drugs are sold under our or our collaborators’ brand names, our reputation and business could suffer harm and we could experience decreased royalty revenues.</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As most of our drug discovery and development operations are conducted at our headquarters in Wilmington, Delaware, the loss of access to this facility would negatively impact our business.</w:t>
      </w:r>
    </w:p>
    <w:p>
      <w:pPr>
        <w:spacing w:after="0" w:line="181"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Our facility in Wilmington, Delaware is our headquarters and is also where we conduct most of our drug discovery, research, development and marketing activities. In addition, natural disasters, the effects of or measures taken to limit the effects of health epidemics such as the COVID-19 pandemic, or actions of activists opposed to aspects of pharmaceutical research may disrupt our experiments or our ability to access or use our facility. The loss of access to or use of our Wilmington, Delaware facility, either on a temporary or permanent basis, would result in an interruption of our business and, consequently, would adversely affect our overall business.</w:t>
      </w:r>
    </w:p>
    <w:p>
      <w:pPr>
        <w:spacing w:after="0" w:line="194" w:lineRule="exact"/>
        <w:rPr>
          <w:sz w:val="20"/>
          <w:szCs w:val="20"/>
          <w:color w:val="auto"/>
        </w:rPr>
      </w:pPr>
    </w:p>
    <w:p>
      <w:pPr>
        <w:jc w:val="both"/>
        <w:spacing w:after="0" w:line="365" w:lineRule="auto"/>
        <w:rPr>
          <w:sz w:val="20"/>
          <w:szCs w:val="20"/>
          <w:color w:val="auto"/>
        </w:rPr>
      </w:pPr>
      <w:r>
        <w:rPr>
          <w:rFonts w:ascii="Arial" w:cs="Arial" w:eastAsia="Arial" w:hAnsi="Arial"/>
          <w:sz w:val="15"/>
          <w:szCs w:val="15"/>
          <w:b w:val="1"/>
          <w:bCs w:val="1"/>
          <w:i w:val="1"/>
          <w:iCs w:val="1"/>
          <w:color w:val="auto"/>
        </w:rPr>
        <w:t>We depend on key employees in a competitive market for skilled personnel, and the loss of the services of any of our key employees or our inability to attract and retain additional personnel would affect our ability to expand our drug discovery and development programs and achieve our objectives.</w:t>
      </w:r>
    </w:p>
    <w:p>
      <w:pPr>
        <w:spacing w:after="0" w:line="111" w:lineRule="exact"/>
        <w:rPr>
          <w:sz w:val="20"/>
          <w:szCs w:val="20"/>
          <w:color w:val="auto"/>
        </w:rPr>
      </w:pPr>
    </w:p>
    <w:p>
      <w:pPr>
        <w:jc w:val="both"/>
        <w:ind w:firstLine="636"/>
        <w:spacing w:after="0" w:line="249" w:lineRule="auto"/>
        <w:rPr>
          <w:sz w:val="20"/>
          <w:szCs w:val="20"/>
          <w:color w:val="auto"/>
        </w:rPr>
      </w:pPr>
      <w:r>
        <w:rPr>
          <w:rFonts w:ascii="Arial" w:cs="Arial" w:eastAsia="Arial" w:hAnsi="Arial"/>
          <w:sz w:val="18"/>
          <w:szCs w:val="18"/>
          <w:color w:val="auto"/>
        </w:rPr>
        <w:t>We are highly dependent on the members of our executive management team and principal members of our commercial, development, medical, operations and scientific staff. We experience intense competition for qualified personnel. Our future success also depends in part on the continued service of our executive management team and key personnel and our ability to recruit, train and retain essential personnel for our drug discovery and development programs, and for our medical affairs and commercialization activities. If we lose the services of any of these people or if we are unable to recruit sufficient qualified personnel, our research and product development goals, and our commercialization efforts could be delayed or curtailed. We do not maintain “key person” insurance on any of our employees.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manage our growth effectively, our ability to develop and commercialize products could suffer.</w:t>
      </w:r>
    </w:p>
    <w:p>
      <w:pPr>
        <w:spacing w:after="0" w:line="217" w:lineRule="exact"/>
        <w:rPr>
          <w:sz w:val="20"/>
          <w:szCs w:val="20"/>
          <w:color w:val="auto"/>
        </w:rPr>
      </w:pPr>
    </w:p>
    <w:p>
      <w:pPr>
        <w:jc w:val="both"/>
        <w:ind w:firstLine="636"/>
        <w:spacing w:after="0" w:line="312" w:lineRule="auto"/>
        <w:rPr>
          <w:sz w:val="20"/>
          <w:szCs w:val="20"/>
          <w:color w:val="auto"/>
        </w:rPr>
      </w:pPr>
      <w:r>
        <w:rPr>
          <w:rFonts w:ascii="Arial" w:cs="Arial" w:eastAsia="Arial" w:hAnsi="Arial"/>
          <w:sz w:val="15"/>
          <w:szCs w:val="15"/>
          <w:color w:val="auto"/>
        </w:rPr>
        <w:t>We expect that if our drug discovery efforts continue to generate drug candidates, our clinical drug candidates continue to progress in development, and we continue to build our development, medical and commercial organizations, we will require significant additional investment in personnel, management and resources. Our ability to achieve our research, development and commercialization objectives depends on our ability to respond effectively to these demands and expand our internal organization, systems, controls and facilities to accommodate additional anticipated growth. If we are unable to manage our growth effectively, our business could be harmed and our ability to execute our business strategy could suffer.</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acquire businesses or assets, form joint ventures or make investments in other companies that may be unsuccessful, divert our management’s attention and harm our operating results and prospects.</w:t>
      </w:r>
    </w:p>
    <w:p>
      <w:pPr>
        <w:spacing w:after="0" w:line="181" w:lineRule="exact"/>
        <w:rPr>
          <w:sz w:val="20"/>
          <w:szCs w:val="20"/>
          <w:color w:val="auto"/>
        </w:rPr>
      </w:pPr>
    </w:p>
    <w:p>
      <w:pPr>
        <w:jc w:val="both"/>
        <w:ind w:firstLine="636"/>
        <w:spacing w:after="0" w:line="267" w:lineRule="auto"/>
        <w:rPr>
          <w:sz w:val="20"/>
          <w:szCs w:val="20"/>
          <w:color w:val="auto"/>
        </w:rPr>
      </w:pPr>
      <w:r>
        <w:rPr>
          <w:rFonts w:ascii="Arial" w:cs="Arial" w:eastAsia="Arial" w:hAnsi="Arial"/>
          <w:sz w:val="17"/>
          <w:szCs w:val="17"/>
          <w:color w:val="auto"/>
        </w:rPr>
        <w:t>As part of our business strategy, we may pursue acquisitions of what we believe to be complementary businesses or assets or seek to enter into joint ventures. We also may pursue strategic alliances in an effort to leverage our existing infrastructure and industry experience to expand our product offerings or distribution, or make investments in other companies. For example, in June 2016, we completed the acquisition of the European operations of ARIAD. The success of our acquisitions, joint ventures, strategic alliances and investments will depend on our ability to identify, negotiate, complete and, in the case of acquisitions, integrate those transactions and, if necessary, obtain satisfactory debt or equity financing to fund those transactions. These strategic transactions are complex, time consuming and expensive and entail numerous risks, including:</w:t>
      </w:r>
    </w:p>
    <w:p>
      <w:pPr>
        <w:spacing w:after="0" w:line="179" w:lineRule="exact"/>
        <w:rPr>
          <w:sz w:val="20"/>
          <w:szCs w:val="20"/>
          <w:color w:val="auto"/>
        </w:rPr>
      </w:pPr>
    </w:p>
    <w:p>
      <w:pPr>
        <w:ind w:left="960" w:hanging="318"/>
        <w:spacing w:after="0" w:line="264"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unanticipated costs, delays or other operational or financial problems related to integrating the products, product candidates, technologies, business operations, systems, controls and personnel of an acquired company or asset with our company;</w:t>
      </w:r>
    </w:p>
    <w:p>
      <w:pPr>
        <w:spacing w:after="0" w:line="180" w:lineRule="exact"/>
        <w:rPr>
          <w:rFonts w:ascii="Arial" w:cs="Arial" w:eastAsia="Arial" w:hAnsi="Arial"/>
          <w:sz w:val="18"/>
          <w:szCs w:val="18"/>
          <w:color w:val="auto"/>
        </w:rPr>
      </w:pPr>
    </w:p>
    <w:p>
      <w:pPr>
        <w:ind w:left="960" w:hanging="318"/>
        <w:spacing w:after="0"/>
        <w:tabs>
          <w:tab w:leader="none" w:pos="9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failure to successfully develop and commercialize acquired products, product candidates or technologies or to achieve other strategic objectives;</w:t>
      </w:r>
    </w:p>
    <w:p>
      <w:pPr>
        <w:spacing w:after="0" w:line="251" w:lineRule="exact"/>
        <w:rPr>
          <w:rFonts w:ascii="Arial" w:cs="Arial" w:eastAsia="Arial" w:hAnsi="Arial"/>
          <w:sz w:val="15"/>
          <w:szCs w:val="15"/>
          <w:color w:val="auto"/>
        </w:rPr>
      </w:pPr>
    </w:p>
    <w:p>
      <w:pPr>
        <w:ind w:left="960" w:hanging="318"/>
        <w:spacing w:after="0" w:line="264"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or inability to progress preclinical programs into clinical development or unfavorable data from clinical trials evaluating acquired or licensed products or product candidates;</w:t>
      </w:r>
    </w:p>
    <w:p>
      <w:pPr>
        <w:spacing w:after="0" w:line="180" w:lineRule="exact"/>
        <w:rPr>
          <w:rFonts w:ascii="Arial" w:cs="Arial" w:eastAsia="Arial" w:hAnsi="Arial"/>
          <w:sz w:val="18"/>
          <w:szCs w:val="18"/>
          <w:color w:val="auto"/>
        </w:rPr>
      </w:pPr>
    </w:p>
    <w:p>
      <w:pPr>
        <w:ind w:left="960" w:hanging="318"/>
        <w:spacing w:after="0" w:line="264"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disruption of our ongoing business and diversion of our management’s and employees’ attention from ongoing development of our existing business and other opportunities and challenges;</w:t>
      </w:r>
    </w:p>
    <w:p>
      <w:pPr>
        <w:spacing w:after="0" w:line="180" w:lineRule="exact"/>
        <w:rPr>
          <w:rFonts w:ascii="Arial" w:cs="Arial" w:eastAsia="Arial" w:hAnsi="Arial"/>
          <w:sz w:val="18"/>
          <w:szCs w:val="18"/>
          <w:color w:val="auto"/>
        </w:rPr>
      </w:pPr>
    </w:p>
    <w:p>
      <w:pPr>
        <w:ind w:left="960" w:hanging="318"/>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achieve planned synergies or cost savings;</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potential loss of key employees of an acquired company;</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entry into markets in which we have no or limited direct prior experience or where competitors in such markets have stronger market positions;</w:t>
      </w:r>
    </w:p>
    <w:p>
      <w:pPr>
        <w:spacing w:after="0" w:line="251" w:lineRule="exact"/>
        <w:rPr>
          <w:rFonts w:ascii="Arial" w:cs="Arial" w:eastAsia="Arial" w:hAnsi="Arial"/>
          <w:sz w:val="15"/>
          <w:szCs w:val="15"/>
          <w:color w:val="auto"/>
        </w:rPr>
      </w:pPr>
    </w:p>
    <w:p>
      <w:pPr>
        <w:ind w:left="960" w:hanging="318"/>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uncertainties in our ability to maintain key business relationships of business we acquire;</w:t>
      </w:r>
    </w:p>
    <w:p>
      <w:pPr>
        <w:spacing w:after="0" w:line="217" w:lineRule="exact"/>
        <w:rPr>
          <w:rFonts w:ascii="Arial" w:cs="Arial" w:eastAsia="Arial" w:hAnsi="Arial"/>
          <w:sz w:val="18"/>
          <w:szCs w:val="18"/>
          <w:color w:val="auto"/>
        </w:rPr>
      </w:pPr>
    </w:p>
    <w:p>
      <w:pPr>
        <w:jc w:val="both"/>
        <w:ind w:left="960" w:hanging="318"/>
        <w:spacing w:after="0" w:line="255"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exposure to unknown or contingent liabilities or the incurrence of unanticipated expenses, including those with respect to intellectual property, pre-clinical or clinical data, safety, compliance or internal controls, and including as a result of the failure of the due diligence processes to identify significant problems, liabilities or challenges of an acquired company or asset; and</w:t>
      </w:r>
    </w:p>
    <w:p>
      <w:pPr>
        <w:spacing w:after="0" w:line="188" w:lineRule="exact"/>
        <w:rPr>
          <w:rFonts w:ascii="Arial" w:cs="Arial" w:eastAsia="Arial" w:hAnsi="Arial"/>
          <w:sz w:val="18"/>
          <w:szCs w:val="18"/>
          <w:color w:val="auto"/>
        </w:rPr>
      </w:pPr>
    </w:p>
    <w:p>
      <w:pPr>
        <w:ind w:left="960" w:hanging="318"/>
        <w:spacing w:after="0" w:line="264"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exposure to litigation or other claims in connection with, or inheritance of claims or litigation risk as a result of, the strategic transaction, including claims from terminated employees, customers, former equity holders or other third parties.</w:t>
      </w:r>
    </w:p>
    <w:p>
      <w:pPr>
        <w:spacing w:after="0" w:line="181" w:lineRule="exact"/>
        <w:rPr>
          <w:sz w:val="20"/>
          <w:szCs w:val="20"/>
          <w:color w:val="auto"/>
        </w:rPr>
      </w:pPr>
    </w:p>
    <w:p>
      <w:pPr>
        <w:jc w:val="both"/>
        <w:ind w:firstLine="636"/>
        <w:spacing w:after="0" w:line="302" w:lineRule="auto"/>
        <w:rPr>
          <w:sz w:val="20"/>
          <w:szCs w:val="20"/>
          <w:color w:val="auto"/>
        </w:rPr>
      </w:pPr>
      <w:r>
        <w:rPr>
          <w:rFonts w:ascii="Arial" w:cs="Arial" w:eastAsia="Arial" w:hAnsi="Arial"/>
          <w:sz w:val="15"/>
          <w:szCs w:val="15"/>
          <w:color w:val="auto"/>
        </w:rPr>
        <w:t>As a result of these or other problems and risks, businesses, products or technologies we acquire or invest in or obtain licenses to may not produce the revenues, earnings, business synergies or other benefits that we anticipated, within the expected timeframe or at all. As a result, we may incur higher costs and realize lower revenues than we had anticipated. We cannot assure you that any acquisitions or investments we may make in the future will be completed or that, if completed, the acquired business, licenses, investments, products, or technologies will generate sufficient revenue to offset the costs or other negative effects on our business. Other pharmaceutical companies, many of which may have substantially greater resources, compete with us for these opportunities., and we may be unable to effectively advance our business strategy through strategic transactions, which could impair our ability to grow or obtain access to products or technology that could be important to the development of our business. Any acquisitions or investments made by us also could result in significant write-offs or the incurrence of debt and contingent liabilities, any of which could harm our operating results. For example, in each of the fiscal quarters in 2022 we recorded unrealized losses related to our investments in our collaboration partners, and we may in experience additional losses related to our investments in future period. In addition, if we choose to issue equity securities as consideration for any acquisition, dilution to our stockholders could result.</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associated with our operations outside of the United States could adversely affect our business.</w:t>
      </w:r>
    </w:p>
    <w:p>
      <w:pPr>
        <w:spacing w:after="0" w:line="217"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7"/>
          <w:szCs w:val="17"/>
          <w:color w:val="auto"/>
        </w:rPr>
        <w:t>Our acquisition of ARIAD’s European operations significantly expanded our operations in Europe, and we plan to continue to expand our operations and conduct certain development activities outside of the United States. For example, as part of our plans to expand our activities outside of the United States, we now conduct some of our operations in Canada, commercial and clinical development activities in Japan and have opened an office in China. International operations and business expansion plans are subject to numerous additional risks, including:</w:t>
      </w:r>
    </w:p>
    <w:p>
      <w:pPr>
        <w:spacing w:after="0" w:line="177" w:lineRule="exact"/>
        <w:rPr>
          <w:sz w:val="20"/>
          <w:szCs w:val="20"/>
          <w:color w:val="auto"/>
        </w:rPr>
      </w:pPr>
    </w:p>
    <w:p>
      <w:pPr>
        <w:jc w:val="both"/>
        <w:ind w:left="960" w:hanging="318"/>
        <w:spacing w:after="0" w:line="255"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tax laws, privacy regulations, tariffs, export and import restrictions, employment, immigration and labor laws, regulatory requirements, and other governmental approvals, permits and licenses, compliance with which can increase in complexity as we enter into additional jurisdictions;</w:t>
      </w:r>
    </w:p>
    <w:p>
      <w:pPr>
        <w:spacing w:after="0" w:line="188" w:lineRule="exact"/>
        <w:rPr>
          <w:rFonts w:ascii="Arial" w:cs="Arial" w:eastAsia="Arial" w:hAnsi="Arial"/>
          <w:sz w:val="18"/>
          <w:szCs w:val="18"/>
          <w:color w:val="auto"/>
        </w:rPr>
      </w:pPr>
    </w:p>
    <w:p>
      <w:pPr>
        <w:ind w:left="960" w:hanging="318"/>
        <w:spacing w:after="0" w:line="264"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in staffing and managing operations in diverse countries and difficulties in connection with assimilating and integrating any operations and personnel we might acquire into our company;</w:t>
      </w:r>
    </w:p>
    <w:p>
      <w:pPr>
        <w:spacing w:after="0" w:line="180" w:lineRule="exact"/>
        <w:rPr>
          <w:rFonts w:ascii="Arial" w:cs="Arial" w:eastAsia="Arial" w:hAnsi="Arial"/>
          <w:sz w:val="18"/>
          <w:szCs w:val="18"/>
          <w:color w:val="auto"/>
        </w:rPr>
      </w:pPr>
    </w:p>
    <w:p>
      <w:pPr>
        <w:ind w:left="960" w:hanging="318"/>
        <w:spacing w:after="0" w:line="264"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risks associated with obtaining and maintaining, or the failure to obtain or maintain, regulatory approvals for the sale or use of our products in various countries;</w:t>
      </w:r>
    </w:p>
    <w:p>
      <w:pPr>
        <w:spacing w:after="0" w:line="180" w:lineRule="exact"/>
        <w:rPr>
          <w:rFonts w:ascii="Arial" w:cs="Arial" w:eastAsia="Arial" w:hAnsi="Arial"/>
          <w:sz w:val="18"/>
          <w:szCs w:val="18"/>
          <w:color w:val="auto"/>
        </w:rPr>
      </w:pPr>
    </w:p>
    <w:p>
      <w:pPr>
        <w:ind w:left="960" w:hanging="318"/>
        <w:spacing w:after="0"/>
        <w:tabs>
          <w:tab w:leader="none" w:pos="9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complexities associated with managing government payor systems, multiple payor-reimbursement regimes or patient self-pay systems;</w:t>
      </w:r>
    </w:p>
    <w:p>
      <w:pPr>
        <w:spacing w:after="0" w:line="228" w:lineRule="exact"/>
        <w:rPr>
          <w:rFonts w:ascii="Arial" w:cs="Arial" w:eastAsia="Arial" w:hAnsi="Arial"/>
          <w:sz w:val="17"/>
          <w:szCs w:val="17"/>
          <w:color w:val="auto"/>
        </w:rPr>
      </w:pPr>
    </w:p>
    <w:p>
      <w:pPr>
        <w:ind w:left="960" w:hanging="318"/>
        <w:spacing w:after="0" w:line="264"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obtaining financing in foreign markets, difficulty enforcing contracts and intellectual property rights, difficulty collecting accounts receivable and exposure to foreign currency exchange rate fluctuations;</w:t>
      </w:r>
    </w:p>
    <w:p>
      <w:pPr>
        <w:spacing w:after="0" w:line="180" w:lineRule="exact"/>
        <w:rPr>
          <w:rFonts w:ascii="Arial" w:cs="Arial" w:eastAsia="Arial" w:hAnsi="Arial"/>
          <w:sz w:val="18"/>
          <w:szCs w:val="18"/>
          <w:color w:val="auto"/>
        </w:rPr>
      </w:pPr>
    </w:p>
    <w:p>
      <w:pPr>
        <w:jc w:val="both"/>
        <w:ind w:left="960" w:hanging="318"/>
        <w:spacing w:after="0" w:line="255"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political and economic conditions in the countries in which we operate, including terrorism and political unrest, geopolitical events such as the Russian invasion of Ukraine, curtailment of trade and other business restrictions, and uncertainties associated with the implementation of the relationship between the United Kingdom and the European Union;</w:t>
      </w:r>
    </w:p>
    <w:p>
      <w:pPr>
        <w:spacing w:after="0" w:line="188" w:lineRule="exact"/>
        <w:rPr>
          <w:rFonts w:ascii="Arial" w:cs="Arial" w:eastAsia="Arial" w:hAnsi="Arial"/>
          <w:sz w:val="18"/>
          <w:szCs w:val="18"/>
          <w:color w:val="auto"/>
        </w:rPr>
      </w:pPr>
    </w:p>
    <w:p>
      <w:pPr>
        <w:ind w:left="960" w:hanging="318"/>
        <w:spacing w:after="0" w:line="264"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public health risks and related effects on new patient starts, clinical trial activity, regulatory agency response times, supply chain, travel and employee health and availability; and</w:t>
      </w:r>
    </w:p>
    <w:p>
      <w:pPr>
        <w:spacing w:after="0" w:line="180" w:lineRule="exact"/>
        <w:rPr>
          <w:rFonts w:ascii="Arial" w:cs="Arial" w:eastAsia="Arial" w:hAnsi="Arial"/>
          <w:sz w:val="18"/>
          <w:szCs w:val="18"/>
          <w:color w:val="auto"/>
        </w:rPr>
      </w:pPr>
    </w:p>
    <w:p>
      <w:pPr>
        <w:jc w:val="both"/>
        <w:ind w:left="960" w:hanging="318"/>
        <w:spacing w:after="0" w:line="252"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activities that may fall within the purview of the U.S. Foreign Corrupt Practices Act, its books and records provisions or its anti-bribery provisions, or similar anti-bribery or anti-corruption laws and regulations in other countries, such as the U.K. Anti-Bribery Act and the U.K. Criminal Finances Act, which may have similarly broad extraterritorial reach.</w:t>
      </w:r>
    </w:p>
    <w:p>
      <w:pPr>
        <w:spacing w:after="0" w:line="191" w:lineRule="exact"/>
        <w:rPr>
          <w:sz w:val="20"/>
          <w:szCs w:val="20"/>
          <w:color w:val="auto"/>
        </w:rPr>
      </w:pPr>
    </w:p>
    <w:p>
      <w:pPr>
        <w:jc w:val="both"/>
        <w:ind w:firstLine="636"/>
        <w:spacing w:after="0" w:line="312" w:lineRule="auto"/>
        <w:rPr>
          <w:sz w:val="20"/>
          <w:szCs w:val="20"/>
          <w:color w:val="auto"/>
        </w:rPr>
      </w:pPr>
      <w:r>
        <w:rPr>
          <w:rFonts w:ascii="Arial" w:cs="Arial" w:eastAsia="Arial" w:hAnsi="Arial"/>
          <w:sz w:val="15"/>
          <w:szCs w:val="15"/>
          <w:color w:val="auto"/>
        </w:rPr>
        <w:t>In addition, our revenues are subject to foreign currency exchange rate fluctuations due to the global nature of our operations and unfavorable changes in foreign currency exchange rates may adversely affect our revenues and net income. To the extent that our non-U.S. source revenues represent a more significant portion of our total revenues, these fluctuations could materially affect our operating results. Any of the risks described above, if encountered, could significantly increase our costs of operating internationally, prevent us from operating in certain jurisdictions, or otherwise significantly harm our future international expansion and operations, which could have a material adverse effect on our business, financial condition and results of operations.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product liability lawsuits are brought against us, we could face substantial liabilities and may be required to limit commercialization of our products and our results of operations could be harmed.</w:t>
      </w:r>
    </w:p>
    <w:p>
      <w:pPr>
        <w:spacing w:after="0" w:line="181" w:lineRule="exact"/>
        <w:rPr>
          <w:sz w:val="20"/>
          <w:szCs w:val="20"/>
          <w:color w:val="auto"/>
        </w:rPr>
      </w:pPr>
    </w:p>
    <w:p>
      <w:pPr>
        <w:jc w:val="both"/>
        <w:ind w:firstLine="636"/>
        <w:spacing w:after="0" w:line="305" w:lineRule="auto"/>
        <w:rPr>
          <w:sz w:val="20"/>
          <w:szCs w:val="20"/>
          <w:color w:val="auto"/>
        </w:rPr>
      </w:pPr>
      <w:r>
        <w:rPr>
          <w:rFonts w:ascii="Arial" w:cs="Arial" w:eastAsia="Arial" w:hAnsi="Arial"/>
          <w:sz w:val="15"/>
          <w:szCs w:val="15"/>
          <w:color w:val="auto"/>
        </w:rPr>
        <w:t>In addition to the risks described above under “—Risks Relating to Commercialization of Our Products—If the use of our products harms patients, or is perceived to harm patients even when such harm is unrelated to our products, our regulatory approvals could be revoked or otherwise negatively impacted or we could be subject to costly and damaging product liability claims,” the conduct of clinical trials of medical products that are intended for human use entails an inherent risk of product liability. If any product that we or any of our collaborators or licensees develops causes or is alleged to cause injury during clinical trials or commercialization, we may be held liable. If we cannot successfully defend ourselves against product liability claims, we may incur substantial liabilities, including substantial damages to be paid to the plaintiffs and legal costs, or we may be required to limit further development and commercialization of our products. Additionally, any product liability lawsuit could cause injury to our reputation, participants and investigators to withdraw from clinical trials, and potential collaborators or licensees to seek other partners, any of which could impact our results of operations.</w:t>
      </w:r>
    </w:p>
    <w:p>
      <w:pPr>
        <w:spacing w:after="0" w:line="154" w:lineRule="exact"/>
        <w:rPr>
          <w:sz w:val="20"/>
          <w:szCs w:val="20"/>
          <w:color w:val="auto"/>
        </w:rPr>
      </w:pPr>
    </w:p>
    <w:p>
      <w:pPr>
        <w:jc w:val="both"/>
        <w:ind w:firstLine="636"/>
        <w:spacing w:after="0" w:line="248" w:lineRule="auto"/>
        <w:rPr>
          <w:sz w:val="20"/>
          <w:szCs w:val="20"/>
          <w:color w:val="auto"/>
        </w:rPr>
      </w:pPr>
      <w:r>
        <w:rPr>
          <w:rFonts w:ascii="Arial" w:cs="Arial" w:eastAsia="Arial" w:hAnsi="Arial"/>
          <w:sz w:val="18"/>
          <w:szCs w:val="18"/>
          <w:color w:val="auto"/>
        </w:rPr>
        <w:t>Our product liability insurance policy may not fully cover our potential liabilities. In addition, we may determine that we should increase our coverage, and this insurance may be prohibitively expensive to us or our collaborators or licensees and may not fully cover our potential liabilities. Since December 30, 2017, we elected to self-insure a portion of our exposure to product liability risks through our wholly-owned captive insurance subsidiary, in tandem with third-party insurance policies. Our inability to obtain sufficient product liability insurance at an acceptable cost to protect against potential product liability claims could prevent or inhibit the development or commercialization of our drug candidates and products, and if our liabilities from any such claims exceed our third-party insurance limits and self-insurance reserves, our results of operations, cash flows and financial condition could be adversely impacted.</w:t>
      </w:r>
    </w:p>
    <w:p>
      <w:pPr>
        <w:spacing w:after="0" w:line="19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Because our activities involve the use of hazardous materials, we may be subject to claims relating to improper handling, storage or disposal of these materials that could be time consuming and costly.</w:t>
      </w:r>
    </w:p>
    <w:p>
      <w:pPr>
        <w:spacing w:after="0" w:line="181"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7"/>
          <w:szCs w:val="17"/>
          <w:color w:val="auto"/>
        </w:rPr>
        <w:t>We are subject to various environmental, health and safety laws and regulations governing, among other things, the use, handling, storage and disposal of regulated substances and the health and safety of our employees. Our research and development processes involve the controlled use of hazardous and radioactive materials and biological waste resulting in the production of hazardous waste products. We cannot completely eliminate the risk of accidental contamination or discharge and any resultant injury from these materials. If any injury or contamination results from our use or the use by our collaborators or licensees of these materials, we may be sued and our liability may exceed our insurance coverage and our total assets. Further, we may be required to indemnify our collaborators or licensees against all damages and other liabilities arising out of our development activities or products produced in connection with these collaborations or licenses. Compliance with the applicable environmental and workplace laws and regulations is expensive. Future changes to environmental, health, workplace and safety laws could cause us to incur additional expense or may restrict our operations or impair our research, development and production efforts.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Business disruptions could seriously harm our operations, future revenues and financial condition and increase our costs and expenses.</w:t>
      </w:r>
    </w:p>
    <w:p>
      <w:pPr>
        <w:spacing w:after="0" w:line="252" w:lineRule="exact"/>
        <w:rPr>
          <w:sz w:val="20"/>
          <w:szCs w:val="20"/>
          <w:color w:val="auto"/>
        </w:rPr>
      </w:pPr>
    </w:p>
    <w:p>
      <w:pPr>
        <w:jc w:val="both"/>
        <w:ind w:firstLine="636"/>
        <w:spacing w:after="0" w:line="263" w:lineRule="auto"/>
        <w:rPr>
          <w:sz w:val="20"/>
          <w:szCs w:val="20"/>
          <w:color w:val="auto"/>
        </w:rPr>
      </w:pPr>
      <w:r>
        <w:rPr>
          <w:rFonts w:ascii="Arial" w:cs="Arial" w:eastAsia="Arial" w:hAnsi="Arial"/>
          <w:sz w:val="17"/>
          <w:szCs w:val="17"/>
          <w:color w:val="auto"/>
        </w:rPr>
        <w:t>Our operations, and those of our CROs, suppliers, and other contractors and consultants, could be subject to geopolitical events, natural disasters, power and other infrastructure failures or shortages, public health pandemics or epidemics, and other natural or man-made disasters or business interruptions. In addition, geopolitical and other events, such as the Russian invasion of Ukraine, could lead to sanctions, embargoes, supply shortages, regional instability, geopolitical shifts, cyberattacks, other retaliatory actions, and adverse effects on macroeconomic conditions, currency exchange rates, and financial markets, which could adversely impact our operations and financial results, as well as those of third parties with whom we conduct business. The occurrence of any of these business disruptions could seriously harm our operations, future revenues and financial condition and increase our costs and expenses. We have engaged CROs to conduct clinical trials outside the United States, including a limited number of trials in Ukraine and Russia. We may not be able to complete any additional dosing or follow-up visits of patients in Ukraine and Russia who are participating in these clinical trials. We may also be unable to ship additional clinical drug and other supplies necessary to complete the clinical trials in Ukraine and Russia. Although the impact of Russia’s invasion is highly unpredictable, certain clinical trial activities have already been changed or suspended, and may continue to be changed, suspended or terminated, which could potentially increase our costs, slow down our product candidate development and approval process and jeopardize our ability to commence product sales and generate revenues.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OUR FINANCIAL RESULTS</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incur losses in the future, and we expect to continue to incur significant expenses to discover and develop drugs, which may make it difficult for us to achieve sustained profitability on a quarterly or annual basis in the future.</w:t>
      </w:r>
    </w:p>
    <w:p>
      <w:pPr>
        <w:spacing w:after="0" w:line="181"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Due to historical net losses, we had an accumulated deficit of $212 million as of June 30, 2023. We intend to continue to spend significant amounts on our efforts to discover and develop drugs. As a result, we may incur losses in future periods as well. Our revenues, expenses and net income (loss) may fluctuate, even significantly, due to the risks described in these “Risk Factors” and factors discussed in “Management’s Discussion and Analysis of Financial Condition and Results of Operations” as well as the timing of charges and expenses that we may take, including those relating to transactions such as acquisitions and the entry into collaborative agreements.</w:t>
      </w:r>
    </w:p>
    <w:p>
      <w:pPr>
        <w:spacing w:after="0" w:line="194"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We anticipate that our drug discovery and development efforts and related expenditures will increase as we focus on the studies, including preclinical tests and clinical trials prior to seeking regulatory approval, that are required before we can sell a drug product.</w:t>
      </w:r>
    </w:p>
    <w:p>
      <w:pPr>
        <w:spacing w:after="0" w:line="181"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The development of drug products will require us to spend significant funds on research, development, testing, obtaining regulatory approvals, manufacturing and marketing. To date, we do not have any drug products that have generated significant revenues other than from sales of JAKAFI and we cannot assure you that we will generate substantial revenues from the drug candidates that we license or develop, including ICLUSIG, PEMAZYRE, MONJUVI/MINJUVI, OPZELURA and ZYNYZ, for several years, if ever.</w:t>
      </w:r>
    </w:p>
    <w:p>
      <w:pPr>
        <w:spacing w:after="0" w:line="191"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We cannot be certain whether or when we will achieve sustained or increased profitability on a quarterly or annual basis because of the factors discussed under “Risks Relating to Commercialization of our Products” and in the above paragraphs and the significant uncertainties relating to our ability to generate commercially successful drug products. Even if we are successful in obtaining regulatory approvals for manufacturing and commercializing drug products in addition to JAKAFI, ICLUSIG, PEMAZYRE, MONJUVI/MINJUVI, OPZELURA and ZYNYZ, we may incur losses if our drug products do not generate significant revenues.</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We may need additional capital in the future. If we are unable to generate sufficient funds from operations, the capital markets may not permit us to raise additional capital at the time that we require it, which could result in limitations on our research and development or commercialization efforts or the loss of certain of our rights in our technologies or drug candidates.</w:t>
      </w:r>
    </w:p>
    <w:p>
      <w:pPr>
        <w:spacing w:after="0" w:line="188"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Our future funding requirements will depend on many factors and we anticipate that we may need to raise additional capital to fund our business plan and research and development efforts going-forward.</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Additional factors that may affect our future funding requirements include:</w:t>
      </w:r>
    </w:p>
    <w:p>
      <w:pPr>
        <w:spacing w:after="0" w:line="217" w:lineRule="exact"/>
        <w:rPr>
          <w:sz w:val="20"/>
          <w:szCs w:val="20"/>
          <w:color w:val="auto"/>
        </w:rPr>
      </w:pPr>
    </w:p>
    <w:p>
      <w:pPr>
        <w:ind w:left="960" w:hanging="318"/>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acquisition of businesses, technologies, or drug candidates, or the licensing of technologies or drug candidates, if any;</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 of revenues generated from our business activities;</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changes in the breadth of our research and development programs;</w:t>
      </w:r>
    </w:p>
    <w:p>
      <w:pPr>
        <w:spacing w:after="0" w:line="217" w:lineRule="exact"/>
        <w:rPr>
          <w:rFonts w:ascii="Arial" w:cs="Arial" w:eastAsia="Arial" w:hAnsi="Arial"/>
          <w:sz w:val="18"/>
          <w:szCs w:val="18"/>
          <w:color w:val="auto"/>
        </w:rPr>
      </w:pPr>
    </w:p>
    <w:p>
      <w:pPr>
        <w:ind w:left="960" w:hanging="318"/>
        <w:spacing w:after="0" w:line="264"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results of research and development, preclinical testing and clinical trials conducted by us or our current or future collaborators or licensees, if any;</w:t>
      </w:r>
    </w:p>
    <w:p>
      <w:pPr>
        <w:spacing w:after="0" w:line="180" w:lineRule="exact"/>
        <w:rPr>
          <w:rFonts w:ascii="Arial" w:cs="Arial" w:eastAsia="Arial" w:hAnsi="Arial"/>
          <w:sz w:val="18"/>
          <w:szCs w:val="18"/>
          <w:color w:val="auto"/>
        </w:rPr>
      </w:pPr>
    </w:p>
    <w:p>
      <w:pPr>
        <w:ind w:left="960" w:hanging="318"/>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exercise of any co-development options with collaborators that may require us to fund future development;</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costs for future facility requirements;</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maintain and establish new corporate relationships and research collaborations;</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competing technological and market developments;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960" w:hanging="318"/>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time and costs involved in filing, prosecuting, defending and enforcing patent and intellectual property claims;</w:t>
      </w:r>
    </w:p>
    <w:p>
      <w:pPr>
        <w:spacing w:after="0" w:line="217" w:lineRule="exact"/>
        <w:rPr>
          <w:rFonts w:ascii="Arial" w:cs="Arial" w:eastAsia="Arial" w:hAnsi="Arial"/>
          <w:sz w:val="18"/>
          <w:szCs w:val="18"/>
          <w:color w:val="auto"/>
        </w:rPr>
      </w:pPr>
    </w:p>
    <w:p>
      <w:pPr>
        <w:ind w:left="960" w:hanging="318"/>
        <w:spacing w:after="0" w:line="264"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receipt or payment of contingent licensing or milestone fees or royalties on product sales from our current or future collaborative and license arrangements, if established; and</w:t>
      </w:r>
    </w:p>
    <w:p>
      <w:pPr>
        <w:spacing w:after="0" w:line="180" w:lineRule="exact"/>
        <w:rPr>
          <w:rFonts w:ascii="Arial" w:cs="Arial" w:eastAsia="Arial" w:hAnsi="Arial"/>
          <w:sz w:val="18"/>
          <w:szCs w:val="18"/>
          <w:color w:val="auto"/>
        </w:rPr>
      </w:pPr>
    </w:p>
    <w:p>
      <w:pPr>
        <w:ind w:left="960" w:hanging="318"/>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of regulatory approvals, if any.</w:t>
      </w:r>
    </w:p>
    <w:p>
      <w:pPr>
        <w:spacing w:after="0" w:line="217"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17"/>
          <w:szCs w:val="17"/>
          <w:color w:val="auto"/>
        </w:rPr>
        <w:t>If we require additional capital at a time when investment in companies such as ours, or in the marketplace generally, is limited due to the then prevailing market or other conditions, we may have to scale back our operations, eliminate one or more of our research or development programs, or attempt to obtain funds by entering into an agreement with a collaborator or licensee that would result in terms that are not favorable to us or relinquishing our rights in certain of our proprietary technologies or drug candidates. If we are unable to raise funds at the time that we desire or at any time thereafter on acceptable terms, we may not be able to continue to develop our drug candidates. The sale of equity or equity-linked securities in the future may be dilutive to our stockholders and may provide for rights, preferences or privileges senior to those of our holders of common stock, and debt financing arrangements may require us to pledge certain assets or enter into covenants that could restrict our operations or our ability to pay dividends or other distributions on our common stock or incur further indebtedness.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marketable securities and long term investments are subject to risks that could adversely affect our overall financial position.</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invest our cash in accordance with an established internal policy and customarily in short-term instruments, money market funds, U.S.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government backed-funds and Treasury securities, which are investment grade and historically have been highly liquid and carried relatively low risk.</w:t>
      </w:r>
    </w:p>
    <w:p>
      <w:pPr>
        <w:spacing w:after="0" w:line="217"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Should a portion of our cash or marketable securities lose value or have their liquidity impaired, it could adversely affect our overall financial position by imperiling our ability to fund our operations and forcing us to seek additional financing sooner than we would otherwise. Such financing, if available, may not be available on commercially attractive terms.</w:t>
      </w:r>
    </w:p>
    <w:p>
      <w:pPr>
        <w:spacing w:after="0" w:line="188" w:lineRule="exact"/>
        <w:rPr>
          <w:sz w:val="20"/>
          <w:szCs w:val="20"/>
          <w:color w:val="auto"/>
        </w:rPr>
      </w:pPr>
    </w:p>
    <w:p>
      <w:pPr>
        <w:jc w:val="both"/>
        <w:ind w:firstLine="636"/>
        <w:spacing w:after="0" w:line="268" w:lineRule="auto"/>
        <w:rPr>
          <w:sz w:val="20"/>
          <w:szCs w:val="20"/>
          <w:color w:val="auto"/>
        </w:rPr>
      </w:pPr>
      <w:r>
        <w:rPr>
          <w:rFonts w:ascii="Arial" w:cs="Arial" w:eastAsia="Arial" w:hAnsi="Arial"/>
          <w:sz w:val="17"/>
          <w:szCs w:val="17"/>
          <w:color w:val="auto"/>
        </w:rPr>
        <w:t>As discussed under “Other Risks Relating to Our Business— We may acquire businesses or assets, form joint ventures or make investments in other companies that may be unsuccessful, divert our management’s attention and harm our operating results and prospects,” any investments that we may make in companies with which we have strategic alliances, such as Agenus, Merus and MorphoSys, could result in our recognition of losses on those investments. In addition, to the extent we may seek to sell or otherwise monetize those investments, we may not be able to do so at our desired price or valuation levels, or at all, due to the limited liquidity of some or all of those investments.</w:t>
      </w:r>
    </w:p>
    <w:p>
      <w:pPr>
        <w:spacing w:after="0" w:line="181"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Any loss in value of our long term investments could adversely affect our financial position on the consolidated balance sheets and consolidated statements of operations.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or regulations could adversely affect our results of operations, business and financial condition.</w:t>
      </w:r>
    </w:p>
    <w:p>
      <w:pPr>
        <w:spacing w:after="0" w:line="217" w:lineRule="exact"/>
        <w:rPr>
          <w:sz w:val="20"/>
          <w:szCs w:val="20"/>
          <w:color w:val="auto"/>
        </w:rPr>
      </w:pPr>
    </w:p>
    <w:p>
      <w:pPr>
        <w:jc w:val="both"/>
        <w:ind w:firstLine="636"/>
        <w:spacing w:after="0" w:line="299" w:lineRule="auto"/>
        <w:rPr>
          <w:sz w:val="20"/>
          <w:szCs w:val="20"/>
          <w:color w:val="auto"/>
        </w:rPr>
      </w:pPr>
      <w:r>
        <w:rPr>
          <w:rFonts w:ascii="Arial" w:cs="Arial" w:eastAsia="Arial" w:hAnsi="Arial"/>
          <w:sz w:val="15"/>
          <w:szCs w:val="15"/>
          <w:color w:val="auto"/>
        </w:rPr>
        <w:t xml:space="preserve">New tax laws or regulations could be enacted at any time, and existing tax laws or regulations could be interpreted, modified or applied in a manner that is adverse to us or our customers, which could adversely affect our results of operations, business and financial condition. For example, beginning in 2022, the Tax Cuts and Jobs Act of 2017 eliminated the option to deduct research and development expenditures for tax purposes in the year incurred and instead requires taxpayers to capitalize and subsequently amortize such expenditures over five years for research activities conducted in the United States and over 15 years for research activities conducted outside the United States. If the requirement to amortize research and development expenditures is not repealed or otherwise modified, it will continue to have an adverse effect on our tax liability, and the amount of that effect could be material. As another example, in August 2022, the Inflation Reduction Act of 2022 was enacted, which, among other things, includes a new 15% alternative minimum tax on the adjusted financial statement income of certain large corporations for tax years beginning after December 31, 2022. Furthermore, the enactment of some or all of the recommendations set forth or that may be forthcoming in the Organization for Economic Co-Operation and Development (OECD) project on “Base Erosion and Profit Shifting” (commonly known as BEPS 2.0) by tax authorities and economic blocs in the countries in which we operate, could unfavorably impact our effective tax rate. Broadly speaking, BEPS 2.0 would make fundamental changes to the international tax system, including with respect to the entitlement to tax global corporate profits and minimum global tax rates. For example, in December 2022, </w:t>
      </w:r>
      <w:r>
        <w:rPr>
          <w:rFonts w:ascii="Arial" w:cs="Arial" w:eastAsia="Arial" w:hAnsi="Arial"/>
          <w:sz w:val="15"/>
          <w:szCs w:val="15"/>
          <w:color w:val="222222"/>
        </w:rPr>
        <w:t>the EU member states agreed to implement in their domestic</w:t>
      </w:r>
      <w:r>
        <w:rPr>
          <w:rFonts w:ascii="Arial" w:cs="Arial" w:eastAsia="Arial" w:hAnsi="Arial"/>
          <w:sz w:val="15"/>
          <w:szCs w:val="15"/>
          <w:color w:val="auto"/>
        </w:rPr>
        <w:t xml:space="preserve"> </w:t>
      </w:r>
      <w:r>
        <w:rPr>
          <w:rFonts w:ascii="Arial" w:cs="Arial" w:eastAsia="Arial" w:hAnsi="Arial"/>
          <w:sz w:val="15"/>
          <w:szCs w:val="15"/>
          <w:color w:val="222222"/>
        </w:rPr>
        <w:t xml:space="preserve">tax laws a 15% global minimum tax on the profits of large multinational enterprises with a target effective date for fiscal years beginning on or after December 31, 2023. Although </w:t>
      </w:r>
      <w:r>
        <w:rPr>
          <w:rFonts w:ascii="Arial" w:cs="Arial" w:eastAsia="Arial" w:hAnsi="Arial"/>
          <w:sz w:val="15"/>
          <w:szCs w:val="15"/>
          <w:color w:val="000000"/>
        </w:rPr>
        <w:t>we continue to evaluate and assess the potential impact of the recent U.S. legislation and BEPS 2.0 on us, the minimum tax rules could</w:t>
      </w:r>
      <w:r>
        <w:rPr>
          <w:rFonts w:ascii="Arial" w:cs="Arial" w:eastAsia="Arial" w:hAnsi="Arial"/>
          <w:sz w:val="15"/>
          <w:szCs w:val="15"/>
          <w:color w:val="222222"/>
        </w:rPr>
        <w:t xml:space="preserve"> </w:t>
      </w:r>
      <w:r>
        <w:rPr>
          <w:rFonts w:ascii="Arial" w:cs="Arial" w:eastAsia="Arial" w:hAnsi="Arial"/>
          <w:sz w:val="15"/>
          <w:szCs w:val="15"/>
          <w:color w:val="000000"/>
        </w:rPr>
        <w:t>result in tax increases in both the United States and many foreign jurisdictions where we operate or have a presence. Any new tax legislation or initiatives could not only significantly increase our tax provision, cash tax liabilities, and effective tax rate, but could also significantly increase tax uncertainty due to differing interpretations and increased audit scrutiny.</w:t>
      </w:r>
    </w:p>
    <w:p>
      <w:pPr>
        <w:spacing w:after="0" w:line="378" w:lineRule="exact"/>
        <w:rPr>
          <w:sz w:val="20"/>
          <w:szCs w:val="20"/>
          <w:color w:val="auto"/>
        </w:rPr>
      </w:pPr>
    </w:p>
    <w:p>
      <w:pPr>
        <w:jc w:val="both"/>
        <w:spacing w:after="0" w:line="330" w:lineRule="auto"/>
        <w:rPr>
          <w:sz w:val="20"/>
          <w:szCs w:val="20"/>
          <w:color w:val="auto"/>
        </w:rPr>
      </w:pPr>
      <w:r>
        <w:rPr>
          <w:rFonts w:ascii="Arial" w:cs="Arial" w:eastAsia="Arial" w:hAnsi="Arial"/>
          <w:sz w:val="15"/>
          <w:szCs w:val="15"/>
          <w:b w:val="1"/>
          <w:bCs w:val="1"/>
          <w:i w:val="1"/>
          <w:iCs w:val="1"/>
          <w:color w:val="auto"/>
        </w:rPr>
        <w:t>We derive a substantial portion of our revenues from royalties, milestone payments and other payments under our collaboration agreements. If we are unable to achieve milestones, develop product candidates to license or renew or enter into new collaborations, our revenues may decrease, and future milestone and royalty payments may not contribute significantly to revenues for several years, and may never result in revenues.</w:t>
      </w:r>
    </w:p>
    <w:p>
      <w:pPr>
        <w:spacing w:after="0" w:line="137"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7"/>
          <w:szCs w:val="17"/>
          <w:color w:val="auto"/>
        </w:rPr>
        <w:t>We derived a substantial portion of our revenues for the year ended December 31, 2022 and the three and six months ended June 30, 2023 from JAKAVI and OLUMIANT product royalties and from milestone payments under our collaboration agreements. Future revenues from research and development collaborations depend upon continuation of the collaborations, the achievement of milestones and royalties we earn from any future products developed from our research. If we are unable to successfully achieve milestones or our collaborators fail to develop successful products, we will not earn the future revenues contemplated under our collaborative agreements. For example, delays in or other limitations with respect to the approval of baricitinib in the United States for the treatment of moderate-to-severe rheumatoid arthritis, or the failure to obtain such approval as a first line therapy, as discussed under “— 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could affect potential future royalty and milestone and contract revenue.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INTELLECTUAL PROPERTY AND LEGAL MATTERS</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subject to arbitration, litigation and infringement claims, they could be costly and disrupt our drug discovery and development efforts.</w:t>
      </w:r>
    </w:p>
    <w:p>
      <w:pPr>
        <w:spacing w:after="0" w:line="252" w:lineRule="exact"/>
        <w:rPr>
          <w:sz w:val="20"/>
          <w:szCs w:val="20"/>
          <w:color w:val="auto"/>
        </w:rPr>
      </w:pPr>
    </w:p>
    <w:p>
      <w:pPr>
        <w:jc w:val="both"/>
        <w:ind w:firstLine="636"/>
        <w:spacing w:after="0" w:line="306" w:lineRule="auto"/>
        <w:rPr>
          <w:sz w:val="20"/>
          <w:szCs w:val="20"/>
          <w:color w:val="auto"/>
        </w:rPr>
      </w:pPr>
      <w:r>
        <w:rPr>
          <w:rFonts w:ascii="Arial" w:cs="Arial" w:eastAsia="Arial" w:hAnsi="Arial"/>
          <w:sz w:val="15"/>
          <w:szCs w:val="15"/>
          <w:color w:val="auto"/>
        </w:rPr>
        <w:t>The technology that we use to make and develop our drug products, the technology that we incorporate in our products, and the products we are developing may be subject to claims that they infringe the patents or proprietary rights of others. The success of our drug discovery and development efforts will also depend on our ability to develop new compounds, drugs and technologies without infringing or misappropriating the proprietary rights of others. We are aware of patents and patent applications filed in certain countries claiming intellectual property relating to some of our drug discovery targets and drug candidates. While the validity of issued patents, patentability of pending patent applications and applicability of any of them to our programs are uncertain, if any of these patents are asserted against us or if we choose to license any of these patents, our ability to commercialize our products could be harmed or the potential return to us from any product that may be successfully commercialized could be diminished.</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From time to time we have received, and we may in the future receive, notices from third parties offering licenses to technology or alleging patent, trademark, or copyright infringement, claims regarding trade secrets or other contract claims. Receipt of these notices could result in significant costs as a result of the diversion of the attention of management from our drug discovery and development efforts. Parties sending these notices may have brought and in the future may bring litigation against us or seek arbitration relating to contract claims.</w:t>
      </w:r>
    </w:p>
    <w:p>
      <w:pPr>
        <w:spacing w:after="0" w:line="191"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We may be involved in future lawsuits or other legal proceedings alleging patent infringement or other intellectual property rights or contract violations. In addition, litigation or other legal proceedings may be necessary to:</w:t>
      </w:r>
    </w:p>
    <w:p>
      <w:pPr>
        <w:spacing w:after="0" w:line="181" w:lineRule="exact"/>
        <w:rPr>
          <w:sz w:val="20"/>
          <w:szCs w:val="20"/>
          <w:color w:val="auto"/>
        </w:rPr>
      </w:pPr>
    </w:p>
    <w:p>
      <w:pPr>
        <w:ind w:left="960" w:hanging="318"/>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assert claims of infringement;</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enforce our patents or trademarks;</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protect our trade secrets or know-how; or</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determine the enforceability, scope and validity of the proprietary rights of others.</w:t>
      </w:r>
    </w:p>
    <w:p>
      <w:pPr>
        <w:spacing w:after="0" w:line="217" w:lineRule="exact"/>
        <w:rPr>
          <w:sz w:val="20"/>
          <w:szCs w:val="20"/>
          <w:color w:val="auto"/>
        </w:rPr>
      </w:pPr>
    </w:p>
    <w:p>
      <w:pPr>
        <w:jc w:val="both"/>
        <w:ind w:firstLine="636"/>
        <w:spacing w:after="0" w:line="249" w:lineRule="auto"/>
        <w:rPr>
          <w:sz w:val="20"/>
          <w:szCs w:val="20"/>
          <w:color w:val="auto"/>
        </w:rPr>
      </w:pPr>
      <w:r>
        <w:rPr>
          <w:rFonts w:ascii="Arial" w:cs="Arial" w:eastAsia="Arial" w:hAnsi="Arial"/>
          <w:sz w:val="18"/>
          <w:szCs w:val="18"/>
          <w:color w:val="auto"/>
        </w:rPr>
        <w:t>We may be unsuccessful in defending or pursuing these lawsuits, claims or other legal proceedings. Regardless of the outcome, litigation or other legal proceedings can be very costly and can divert management’s efforts. An adverse determination may subject us to significant liabilities or require us or our collaborators or licensees to seek licenses to other parties’ patents or proprietary rights. We or our collaborators or licensees may also be restricted or prevented from manufacturing or selling a drug or other product that we or they develop. Further, we or our future collaborators or licensees may not be able to obtain any necessary licenses on acceptable terms, if at all. If we are unable to develop non-infringing technology or license technology on a timely basis or on reasonable terms, our business could be harmed.</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We may be unable to adequately protect or enforce our proprietary information, which may result in its unauthorized use, a loss of revenue under a collaboration agreement or loss of sales to generic versions of our products or otherwise reduce our ability to compete in developing and commercializing products.</w:t>
      </w:r>
    </w:p>
    <w:p>
      <w:pPr>
        <w:spacing w:after="0" w:line="188" w:lineRule="exact"/>
        <w:rPr>
          <w:sz w:val="20"/>
          <w:szCs w:val="20"/>
          <w:color w:val="auto"/>
        </w:rPr>
      </w:pPr>
    </w:p>
    <w:p>
      <w:pPr>
        <w:jc w:val="both"/>
        <w:ind w:firstLine="636"/>
        <w:spacing w:after="0" w:line="302" w:lineRule="auto"/>
        <w:rPr>
          <w:sz w:val="20"/>
          <w:szCs w:val="20"/>
          <w:color w:val="auto"/>
        </w:rPr>
      </w:pPr>
      <w:r>
        <w:rPr>
          <w:rFonts w:ascii="Arial" w:cs="Arial" w:eastAsia="Arial" w:hAnsi="Arial"/>
          <w:sz w:val="15"/>
          <w:szCs w:val="15"/>
          <w:color w:val="auto"/>
        </w:rPr>
        <w:t>Our business and competitive position depends in significant part upon our ability to protect our proprietary technology, including any drug products that we create. Despite our efforts to protect this information, unauthorized parties may attempt to obtain and use information that we regard as proprietary. For example, one of our collaborators may disclose proprietary information pertaining to our drug discovery efforts. In addition, while we have filed numerous patent applications with respect to ruxolitinib and our drug candidates in the United States and in foreign countries, our patent applications may fail to result in issued patents. In addition, because patent applications can take several years to issue as patents, there may be pending patent applications of others that may later issue as patents that cover some aspect of ruxolitinib and our drug candidates. Our existing patents and any future patents we may obtain may not be broad enough to protect our products or all of the potential uses of our products, or otherwise prevent others from developing competing products or technologies. In addition, our patents may be challenged and invalidated or may fail to provide us with any competitive advantages if, for example, others were first to invent or first to file a patent application for the technologies and products covered by our patents. As noted above under “—Risks Relating to Commercialization of Our Products—Competition for our products could potentially harm our business and result in a decrease in our revenue,” a potential generic drug company competitor has challenged certain patents relating to JAKAFI.</w:t>
      </w:r>
    </w:p>
    <w:p>
      <w:pPr>
        <w:spacing w:after="0" w:line="374"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Additionally, when we do not control the prosecution, maintenance and enforcement of certain important intellectual property, such as a drug candidate in-licensed to us or subject to a collaboration with a third-party, the protection of the intellectual property rights may not be in our hands. If we do not control the intellectual property rights in-licensed to us with respect to a drug candidate and the entity that controls the intellectual property rights does not adequately protect those rights, our rights may be impaired, which may impact our ability to develop, market and commercialize the in-licensed drug candidate.</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means of protecting our proprietary rights may not be adequate, and our competitors may:</w:t>
      </w:r>
    </w:p>
    <w:p>
      <w:pPr>
        <w:spacing w:after="0" w:line="217" w:lineRule="exact"/>
        <w:rPr>
          <w:sz w:val="20"/>
          <w:szCs w:val="20"/>
          <w:color w:val="auto"/>
        </w:rPr>
      </w:pPr>
    </w:p>
    <w:p>
      <w:pPr>
        <w:ind w:left="960" w:hanging="318"/>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independently develop substantially equivalent proprietary information, products and techniques;</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otherwise gain access to our proprietary information; or</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 around patents issued to us or our other intellectual property.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77" w:lineRule="auto"/>
        <w:rPr>
          <w:sz w:val="20"/>
          <w:szCs w:val="20"/>
          <w:color w:val="auto"/>
        </w:rPr>
      </w:pPr>
      <w:r>
        <w:rPr>
          <w:rFonts w:ascii="Arial" w:cs="Arial" w:eastAsia="Arial" w:hAnsi="Arial"/>
          <w:sz w:val="17"/>
          <w:szCs w:val="17"/>
          <w:color w:val="auto"/>
        </w:rPr>
        <w:t>We pursue a policy of having our employees, consultants and advisors execute proprietary information and invention agreements when they begin working for us. However, these agreements may not provide meaningful protection for our trade secrets or other proprietary information in the event of unauthorized use or disclosure. If we fail to maintain trade secret and patent protection, our potential future revenues may be decreased.</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the effective term of our patents is decreased due to changes in the United States patent laws or if we need to refile some of our patent applications, the value of our patent portfolio and the revenues we derive from it may be decreased.</w:t>
      </w:r>
    </w:p>
    <w:p>
      <w:pPr>
        <w:spacing w:after="0" w:line="181" w:lineRule="exact"/>
        <w:rPr>
          <w:sz w:val="20"/>
          <w:szCs w:val="20"/>
          <w:color w:val="auto"/>
        </w:rPr>
      </w:pPr>
    </w:p>
    <w:p>
      <w:pPr>
        <w:jc w:val="both"/>
        <w:ind w:firstLine="636"/>
        <w:spacing w:after="0" w:line="318" w:lineRule="auto"/>
        <w:rPr>
          <w:sz w:val="20"/>
          <w:szCs w:val="20"/>
          <w:color w:val="auto"/>
        </w:rPr>
      </w:pPr>
      <w:r>
        <w:rPr>
          <w:rFonts w:ascii="Arial" w:cs="Arial" w:eastAsia="Arial" w:hAnsi="Arial"/>
          <w:sz w:val="15"/>
          <w:szCs w:val="15"/>
          <w:color w:val="auto"/>
        </w:rPr>
        <w:t>The value of our patents depends, in part, on their duration. A shorter period of patent protection could lessen the value of our rights under any patents that we obtain and may decrease the revenues we derive from our patents. The United States patent laws provide a term of patent protection of 20 years from the earliest effective filing date of the patent application. Because the time from filing to issuance of biotechnology applications may be more than three years depending on the subject matter, a 20-year patent term from the filing date may result in substantially shorter patent protection.</w:t>
      </w:r>
    </w:p>
    <w:p>
      <w:pPr>
        <w:spacing w:after="0" w:line="146"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17"/>
          <w:szCs w:val="17"/>
          <w:color w:val="auto"/>
        </w:rPr>
        <w:t>Additionally, United States patent laws were amended in 2011 with the enactment of the America Invents Act and third parties are now able to challenge the validity of issued U.S. patents through various review proceedings; thus rendering the validity of U.S. patents more uncertain. We may be obligated to participate in review proceedings to determine the validity of our U.S. patents. We cannot predict the ultimate outcome of these proceedings, the conduct of which could result in substantial costs and diversion of our efforts and resources. If we are unsuccessful in these proceedings some or all of our claims in the patents may be narrowed or invalidated and the patent protection for our products and drug candidates in the United States could be substantially shortened. Further, if all of the patents covering one of our products are invalidated, the FDA could approve requests to manufacture a generic version of that product prior to the expiration date of those patents.</w:t>
      </w:r>
    </w:p>
    <w:p>
      <w:pPr>
        <w:spacing w:after="0" w:line="185" w:lineRule="exact"/>
        <w:rPr>
          <w:sz w:val="20"/>
          <w:szCs w:val="20"/>
          <w:color w:val="auto"/>
        </w:rPr>
      </w:pPr>
    </w:p>
    <w:p>
      <w:pPr>
        <w:jc w:val="both"/>
        <w:ind w:firstLine="636"/>
        <w:spacing w:after="0" w:line="309" w:lineRule="auto"/>
        <w:rPr>
          <w:sz w:val="20"/>
          <w:szCs w:val="20"/>
          <w:color w:val="auto"/>
        </w:rPr>
      </w:pPr>
      <w:r>
        <w:rPr>
          <w:rFonts w:ascii="Arial" w:cs="Arial" w:eastAsia="Arial" w:hAnsi="Arial"/>
          <w:sz w:val="15"/>
          <w:szCs w:val="15"/>
          <w:color w:val="auto"/>
        </w:rPr>
        <w:t>Other changes in the United States patent laws or changes in the interpretation of patent laws could diminish the value of our patents or narrow the scope of our patent protection. For example, the Supreme Court of the United States resolved a split among the circuit courts of appeals regarding antitrust challenges to settlements of patent infringement lawsuits under the Hatch-Waxman Act between brand-name drug companies and generic drug companies. The Court rejected the “scope of the patent” test and ruled that settlements involving “reverse payments” from brand-name drug companies to generic drug companies should be analyzed under the rule of reason. This ruling may create uncertainty and make it more difficult to settle patent litigation if a company seeking to manufacture a generic version of one of our products challenges the patents covering that product prior to the expiration date of those patents.</w:t>
      </w:r>
    </w:p>
    <w:p>
      <w:pPr>
        <w:spacing w:after="0" w:line="15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International patent protection is particularly uncertain and costly, and our involvement in opposition proceedings in foreign countries may result in the expenditure of substantial sums and management resources.</w:t>
      </w:r>
    </w:p>
    <w:p>
      <w:pPr>
        <w:spacing w:after="0" w:line="181" w:lineRule="exact"/>
        <w:rPr>
          <w:sz w:val="20"/>
          <w:szCs w:val="20"/>
          <w:color w:val="auto"/>
        </w:rPr>
      </w:pPr>
    </w:p>
    <w:p>
      <w:pPr>
        <w:jc w:val="both"/>
        <w:ind w:firstLine="636"/>
        <w:spacing w:after="0" w:line="305" w:lineRule="auto"/>
        <w:rPr>
          <w:sz w:val="20"/>
          <w:szCs w:val="20"/>
          <w:color w:val="auto"/>
        </w:rPr>
      </w:pPr>
      <w:r>
        <w:rPr>
          <w:rFonts w:ascii="Arial" w:cs="Arial" w:eastAsia="Arial" w:hAnsi="Arial"/>
          <w:sz w:val="15"/>
          <w:szCs w:val="15"/>
          <w:color w:val="auto"/>
        </w:rPr>
        <w:t>Biotechnology and pharmaceutical patent law outside the United States is even more uncertain and costly than in the United States and is currently undergoing review and revision in many countries. Further, the laws of some foreign countries may not protect our intellectual property rights to the same extent as United States laws. For example, certain countries do not grant patent claims that are directed to the treatment of humans. We have participated, and may in the future participate, in opposition proceedings to determine the validity of our foreign patents or our competitors’ foreign patents, which could result in substantial costs and diversion of our efforts. Successful challenges to our patent or other intellectual property rights through these proceedings could result in a loss of rights in the relevant jurisdiction and allow third parties to use our proprietary technologies without a license from us or our collaborators, which may also result in loss of future royalty payments. In addition, successful challenges may jeopardize or delay our ability to enter into new collaborations or commercialize potential products, which could harm our business and results of operations.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INFORMATION TECHNOLOGY AND DATA PRIVACY</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Significant disruptions of information technology systems, breaches of data security, or unauthorized disclosures of sensitive data or personally identifiable information or individually identifiable health information could adversely affect our business, and could subject us to liability or reputational damage.</w:t>
      </w:r>
    </w:p>
    <w:p>
      <w:pPr>
        <w:spacing w:after="0" w:line="188" w:lineRule="exact"/>
        <w:rPr>
          <w:sz w:val="20"/>
          <w:szCs w:val="20"/>
          <w:color w:val="auto"/>
        </w:rPr>
      </w:pPr>
    </w:p>
    <w:p>
      <w:pPr>
        <w:jc w:val="both"/>
        <w:ind w:firstLine="636"/>
        <w:spacing w:after="0" w:line="267" w:lineRule="auto"/>
        <w:rPr>
          <w:sz w:val="20"/>
          <w:szCs w:val="20"/>
          <w:color w:val="auto"/>
        </w:rPr>
      </w:pPr>
      <w:r>
        <w:rPr>
          <w:rFonts w:ascii="Arial" w:cs="Arial" w:eastAsia="Arial" w:hAnsi="Arial"/>
          <w:sz w:val="17"/>
          <w:szCs w:val="17"/>
          <w:color w:val="auto"/>
        </w:rPr>
        <w:t>Our business is increasingly dependent on critical, complex, and interdependent information technology (IT) systems, including Internet-based systems, some of which are managed or hosted by third parties, to support business processes as well as internal and external communications. The size and complexity of our IT systems make us potentially vulnerable to IT system breakdowns, malicious intrusion, and computer viruses, which may result in the impairment of our ability to operate our business effectively. In addition, having a significant portion of our employees work remotely due to the COVID-19 pandemic or otherwise can strain our information technology infrastructure, which may affect our ability to operate effectively, may make us more susceptible to communications disruptions, and expose us to greater cybersecurity risks.</w:t>
      </w:r>
    </w:p>
    <w:p>
      <w:pPr>
        <w:spacing w:after="0" w:line="179"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17"/>
          <w:szCs w:val="17"/>
          <w:color w:val="auto"/>
        </w:rPr>
        <w:t>We are continuously evaluating and, where appropriate, enhancing our IT systems to address our planned growth, including to support our planned manufacturing operations. In particular, we are currently in the process of implementing a new enterprise resource planning system. There are inherent costs and risks associated with implementing the enhancements to our IT systems, including potential delays in access to, or errors in, critical business and financial information, substantial capital expenditures, additional administrative time and operating expenses, retention of sufficiently skilled personnel to implement and operate the enhanced systems, demands on management time, and costs of delays or difficulties in transitioning to the enhanced systems, any of which could harm our business and results of operations. In addition, the implementation of enhancements to our IT systems may not result in productivity improvements at a level that outweighs the costs of implementation, or at all.</w:t>
      </w:r>
    </w:p>
    <w:p>
      <w:pPr>
        <w:spacing w:after="0" w:line="185"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17"/>
          <w:szCs w:val="17"/>
          <w:color w:val="auto"/>
        </w:rPr>
        <w:t>In addition, our systems and the systems of our third-party providers and collaborators are potentially vulnerable to data security breaches which may expose sensitive data to unauthorized persons or to the public. Such data security breaches could lead to the loss of confidential information, trade secrets or other intellectual property, could lead to the public exposure of personal information (including personally identifiable information or individually identifiable health information) of our employees, clinical trial patients, customers, business partners, and others, could lead to potential identity theft, or could lead to reputational harm. Data security breaches could also result in loss of clinical trial data or damage to the integrity of that data. In addition, the increased use of social media by our employees and contractors could result in inadvertent disclosure of sensitive data or personal information, including but not limited to, confidential information, trade secrets and other intellectual property.</w:t>
      </w:r>
    </w:p>
    <w:p>
      <w:pPr>
        <w:spacing w:after="0" w:line="185" w:lineRule="exact"/>
        <w:rPr>
          <w:sz w:val="20"/>
          <w:szCs w:val="20"/>
          <w:color w:val="auto"/>
        </w:rPr>
      </w:pPr>
    </w:p>
    <w:p>
      <w:pPr>
        <w:jc w:val="both"/>
        <w:ind w:firstLine="636"/>
        <w:spacing w:after="0" w:line="306" w:lineRule="auto"/>
        <w:rPr>
          <w:sz w:val="20"/>
          <w:szCs w:val="20"/>
          <w:color w:val="auto"/>
        </w:rPr>
      </w:pPr>
      <w:r>
        <w:rPr>
          <w:rFonts w:ascii="Arial" w:cs="Arial" w:eastAsia="Arial" w:hAnsi="Arial"/>
          <w:sz w:val="15"/>
          <w:szCs w:val="15"/>
          <w:color w:val="auto"/>
        </w:rPr>
        <w:t>Any such disruption or security breach, as well as any action by us or our employees or contractors that might be inconsistent with the rapidly evolving data privacy and security laws and regulations applicable within the United States and elsewhere where we conduct business, could result in enforcement actions by U.S. states, the U.S. Federal government or foreign governments, liability or sanctions under data privacy laws, including healthcare laws such as HIPAA, that protect certain types of sensitive information, regulatory penalties, other legal proceedings such as but not limited to private litigation, the incurrence of significant remediation costs, disruptions to our development programs, business operations and collaborations, diversion of management efforts and damage to our reputation, which could harm our business and operations. Because of the rapidly moving nature of technology and the increasing sophistication of cybersecurity threats, our measures to prevent, respond to and minimize such risks may be unsuccessful.</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301" w:lineRule="auto"/>
        <w:rPr>
          <w:sz w:val="20"/>
          <w:szCs w:val="20"/>
          <w:color w:val="auto"/>
        </w:rPr>
      </w:pPr>
      <w:r>
        <w:rPr>
          <w:rFonts w:ascii="Arial" w:cs="Arial" w:eastAsia="Arial" w:hAnsi="Arial"/>
          <w:sz w:val="15"/>
          <w:szCs w:val="15"/>
          <w:color w:val="auto"/>
        </w:rPr>
        <w:t>In addition, the European Parliament and the Council of the European Union has adopted a comprehensive general data privacy regulation, known as the GDPR, which governs the collection and use of personal data in the European Union.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 party processors in connection with the processing of the personal data. The GDPR also imposes strict rules on the transfer of personal data out of the European Union to the United States, provides an enforcement authority and imposes large penalties for noncompliance, including the potential for fines of up to €20 million or 4% of the annual global revenues of the infringer, whichever is greater. The United Kingdom has enacted legislation similar to the GDPR, the UK GDPR, which provides for potential fines of up to the greater of £17.5 million or 4% of the annual global revenue. Moreover, the European Court of Justice in July 2020 invalidated the Privacy Shield framework that had been in place between the European Union and the United States, which invalidation has created uncertainty about how data can now be shared in a compliant manner. Additionally, the California Consumer Privacy Act (CCPA) affords a private right of action to such consumers if certain data breaches result in the loss or theft of their personal information. The GDPR, UK GDPR, CCPA and other similar laws or regulations enacted or proposed to be enacted in the United States or other jurisdictions associated with the enhanced protection of certain types of sensitive data, including healthcare data or other personal information, may increase our costs of doing business, and the differing requirements of these laws and regulations can complicate our compliance efforts.</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use of social media could give rise to liability, breaches of data security, or reputational damage.</w:t>
      </w:r>
    </w:p>
    <w:p>
      <w:pPr>
        <w:spacing w:after="0" w:line="217"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17"/>
          <w:szCs w:val="17"/>
          <w:color w:val="auto"/>
        </w:rPr>
        <w:t>We and our employees are increasingly utilizing social media tools as a means of communication both internally and externally. Despite our efforts to monitor evolving social media communication guidelines and comply with applicable rules, there is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customers, and others. Furthermore, negative posts or comments about us or our products in social media could seriously damage our reputation, brand image, and goodwill.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3" w:lineRule="exact"/>
        <w:rPr>
          <w:sz w:val="20"/>
          <w:szCs w:val="20"/>
          <w:color w:val="auto"/>
        </w:rPr>
      </w:pPr>
    </w:p>
    <w:p>
      <w:pPr>
        <w:ind w:firstLine="642"/>
        <w:spacing w:after="0" w:line="264" w:lineRule="auto"/>
        <w:tabs>
          <w:tab w:leader="none" w:pos="906"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 July 27, 2023, the Board of Directors of the Company amended the Company’s bylaws, effective as of such date (as so amended, the “Bylaws”). The amendments reflected in the Bylaws:</w:t>
      </w:r>
    </w:p>
    <w:p>
      <w:pPr>
        <w:spacing w:after="0" w:line="181" w:lineRule="exact"/>
        <w:rPr>
          <w:sz w:val="20"/>
          <w:szCs w:val="20"/>
          <w:color w:val="auto"/>
        </w:rPr>
      </w:pPr>
    </w:p>
    <w:p>
      <w:pPr>
        <w:jc w:val="both"/>
        <w:ind w:left="960" w:hanging="318"/>
        <w:spacing w:after="0" w:line="255"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implement, update and enhance the procedure and information requirements for the nominations of person for election to the Company’s Board of Directors and the proposal of business to be considered by stockholders, including to address matters relating to the new universal proxy rules set forth in Rule 14a-19 under the Securities Exchange Act of 1934;</w:t>
      </w:r>
    </w:p>
    <w:p>
      <w:pPr>
        <w:spacing w:after="0" w:line="188" w:lineRule="exact"/>
        <w:rPr>
          <w:rFonts w:ascii="Arial" w:cs="Arial" w:eastAsia="Arial" w:hAnsi="Arial"/>
          <w:sz w:val="18"/>
          <w:szCs w:val="18"/>
          <w:color w:val="auto"/>
        </w:rPr>
      </w:pPr>
    </w:p>
    <w:p>
      <w:pPr>
        <w:ind w:left="960" w:hanging="318"/>
        <w:spacing w:after="0" w:line="264"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implement certain revisions to reflect recent amendments to the Delaware General Corporation Law (the “DGCL”), including to clarify certain procedures relating to stockholder meetings;</w:t>
      </w:r>
    </w:p>
    <w:p>
      <w:pPr>
        <w:spacing w:after="0" w:line="180" w:lineRule="exact"/>
        <w:rPr>
          <w:rFonts w:ascii="Arial" w:cs="Arial" w:eastAsia="Arial" w:hAnsi="Arial"/>
          <w:sz w:val="18"/>
          <w:szCs w:val="18"/>
          <w:color w:val="auto"/>
        </w:rPr>
      </w:pPr>
    </w:p>
    <w:p>
      <w:pPr>
        <w:jc w:val="both"/>
        <w:ind w:left="960" w:hanging="318"/>
        <w:spacing w:after="0" w:line="252"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adopt exclusive forum provisions designating (i) the Court of Chancery of the State of Delaware as the exclusive forum for derivative actions, actions asserting claims of breach of a fiduciary duty by directors, officers or employees, claims based on the DGCL or the Company’s certificate of incorporation or bylaws, and claims governed by the internal affairs doctrine and (ii) the federal district courts of the United States as the exclusive forum for all claims arising under the Securities Act of 1933; and</w:t>
      </w:r>
    </w:p>
    <w:p>
      <w:pPr>
        <w:spacing w:after="0" w:line="190" w:lineRule="exact"/>
        <w:rPr>
          <w:rFonts w:ascii="Arial" w:cs="Arial" w:eastAsia="Arial" w:hAnsi="Arial"/>
          <w:sz w:val="18"/>
          <w:szCs w:val="18"/>
          <w:color w:val="auto"/>
        </w:rPr>
      </w:pPr>
    </w:p>
    <w:p>
      <w:pPr>
        <w:ind w:left="960" w:hanging="318"/>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 certain other administrative, modernizing, clarifying and conforming changes.</w:t>
      </w:r>
    </w:p>
    <w:p>
      <w:pPr>
        <w:spacing w:after="0" w:line="217" w:lineRule="exact"/>
        <w:rPr>
          <w:sz w:val="20"/>
          <w:szCs w:val="20"/>
          <w:color w:val="auto"/>
        </w:rPr>
      </w:pPr>
    </w:p>
    <w:p>
      <w:pPr>
        <w:ind w:firstLine="636"/>
        <w:spacing w:after="0" w:line="365" w:lineRule="auto"/>
        <w:rPr>
          <w:sz w:val="20"/>
          <w:szCs w:val="20"/>
          <w:color w:val="auto"/>
        </w:rPr>
      </w:pPr>
      <w:r>
        <w:rPr>
          <w:rFonts w:ascii="Arial" w:cs="Arial" w:eastAsia="Arial" w:hAnsi="Arial"/>
          <w:sz w:val="15"/>
          <w:szCs w:val="15"/>
          <w:color w:val="auto"/>
        </w:rPr>
        <w:t>The foregoing description of the amendment to the Bylaws is a summary, does not purport to be complete, and is qualified in its entirety by reference to the full text of the Bylaws, a copy of which is filed as Exhibit 3.1 to this Quarterly Report on Form 10-Q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42"/>
        <w:spacing w:after="0" w:line="255" w:lineRule="auto"/>
        <w:tabs>
          <w:tab w:leader="none" w:pos="888" w:val="left"/>
        </w:tabs>
        <w:numPr>
          <w:ilvl w:val="0"/>
          <w:numId w:val="33"/>
        </w:numPr>
        <w:rPr>
          <w:rFonts w:ascii="Arial" w:cs="Arial" w:eastAsia="Arial" w:hAnsi="Arial"/>
          <w:sz w:val="18"/>
          <w:szCs w:val="18"/>
          <w:color w:val="auto"/>
        </w:rPr>
      </w:pPr>
      <w:r>
        <w:rPr>
          <w:rFonts w:ascii="Arial" w:cs="Arial" w:eastAsia="Arial" w:hAnsi="Arial"/>
          <w:sz w:val="18"/>
          <w:szCs w:val="18"/>
          <w:color w:val="auto"/>
        </w:rPr>
        <w:t>During the three months ended June 30, 2023, the following officer (as defined in Rule 16a-1(f) under the Securities Exchange Act of 1934) of our Company adopted a prearranged trading plan relating to our common stock and intended to satisfy the affirmative defense of Rule 10b5–1(c) under the Securities Exchange Act of 1934:</w:t>
      </w:r>
    </w:p>
    <w:p>
      <w:pPr>
        <w:spacing w:after="0" w:line="188"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Steven Stein, our Executive Vice President and Chief Medical Officer, adopted a trading plan on June 5, 2023 providing for the sale of up to an aggregate of 29,154 shares of our common stock until June 5, 2024.</w:t>
      </w:r>
    </w:p>
    <w:p>
      <w:pPr>
        <w:spacing w:after="0" w:line="181"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During the three months ended June 30, 2023, no director or officer (as defined in Rule 16a-1(f) under the Securities Exchange Act of 1934) of our Company adopted or terminated any contract, instruction or written plan for the purchase or sale of our securities, whether or not intended to satisfy the affirmative defense conditions of Rule 10b5-1(c), other than as set forth above.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70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9"/>
        </w:trPr>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700" w:type="dxa"/>
            <w:vAlign w:val="bottom"/>
            <w:tcBorders>
              <w:bottom w:val="single" w:sz="8" w:color="auto"/>
            </w:tcBorders>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380" w:type="dxa"/>
            <w:vAlign w:val="bottom"/>
          </w:tcPr>
          <w:p>
            <w:pPr>
              <w:ind w:left="20"/>
              <w:spacing w:after="0" w:line="198"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9"/>
          </w:tcPr>
          <w:p>
            <w:pPr>
              <w:spacing w:after="0" w:line="198" w:lineRule="exact"/>
              <w:rPr>
                <w:sz w:val="20"/>
                <w:szCs w:val="20"/>
                <w:color w:val="auto"/>
              </w:rPr>
            </w:pPr>
            <w:r>
              <w:rPr>
                <w:rFonts w:ascii="Arial" w:cs="Arial" w:eastAsia="Arial" w:hAnsi="Arial"/>
                <w:sz w:val="18"/>
                <w:szCs w:val="18"/>
                <w:color w:val="0000FF"/>
              </w:rPr>
              <w:t>Bylaws of the Company, as amended as of July 27, 2023.</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138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0"/>
              </w:rPr>
              <w:t>Offer of Employment Letter, dated April 21, 2023, from the Company to Pablo J. Cagnoni, M.D.</w:t>
            </w:r>
          </w:p>
        </w:tc>
        <w:tc>
          <w:tcPr>
            <w:tcW w:w="29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380" w:type="dxa"/>
            <w:vAlign w:val="bottom"/>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9"/>
          </w:tcPr>
          <w:p>
            <w:pPr>
              <w:spacing w:after="0"/>
              <w:rPr>
                <w:sz w:val="20"/>
                <w:szCs w:val="20"/>
                <w:color w:val="auto"/>
              </w:rPr>
            </w:pPr>
            <w:r>
              <w:rPr>
                <w:rFonts w:ascii="Arial" w:cs="Arial" w:eastAsia="Arial" w:hAnsi="Arial"/>
                <w:sz w:val="18"/>
                <w:szCs w:val="18"/>
                <w:color w:val="auto"/>
                <w:w w:val="90"/>
              </w:rPr>
              <w:t>Form of Employment Agreement between the Company and Pablo J. Cagnoni, M.D. (effective June 7, 2023) (incorporated by reference</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40" w:type="dxa"/>
            <w:vAlign w:val="bottom"/>
            <w:gridSpan w:val="9"/>
          </w:tcPr>
          <w:p>
            <w:pPr>
              <w:spacing w:after="0"/>
              <w:rPr>
                <w:sz w:val="20"/>
                <w:szCs w:val="20"/>
                <w:color w:val="auto"/>
              </w:rPr>
            </w:pPr>
            <w:r>
              <w:rPr>
                <w:rFonts w:ascii="Arial" w:cs="Arial" w:eastAsia="Arial" w:hAnsi="Arial"/>
                <w:sz w:val="18"/>
                <w:szCs w:val="18"/>
                <w:color w:val="auto"/>
              </w:rPr>
              <w:t>to Exhibit 10.14 to the Company’s Annual Report on Form 10-K for the year ended December 31, 2012).</w:t>
            </w:r>
          </w:p>
        </w:tc>
        <w:tc>
          <w:tcPr>
            <w:tcW w:w="0" w:type="dxa"/>
            <w:vAlign w:val="bottom"/>
          </w:tcPr>
          <w:p>
            <w:pPr>
              <w:spacing w:after="0"/>
              <w:rPr>
                <w:sz w:val="1"/>
                <w:szCs w:val="1"/>
                <w:color w:val="auto"/>
              </w:rPr>
            </w:pPr>
          </w:p>
        </w:tc>
      </w:tr>
      <w:tr>
        <w:trPr>
          <w:trHeight w:val="359"/>
        </w:trPr>
        <w:tc>
          <w:tcPr>
            <w:tcW w:w="1380" w:type="dxa"/>
            <w:vAlign w:val="bottom"/>
          </w:tcPr>
          <w:p>
            <w:pPr>
              <w:ind w:left="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9"/>
          </w:tcPr>
          <w:p>
            <w:pPr>
              <w:spacing w:after="0"/>
              <w:rPr>
                <w:sz w:val="20"/>
                <w:szCs w:val="20"/>
                <w:color w:val="auto"/>
              </w:rPr>
            </w:pPr>
            <w:r>
              <w:rPr>
                <w:rFonts w:ascii="Arial" w:cs="Arial" w:eastAsia="Arial" w:hAnsi="Arial"/>
                <w:sz w:val="18"/>
                <w:szCs w:val="18"/>
                <w:color w:val="0000FF"/>
                <w:w w:val="92"/>
              </w:rPr>
              <w:t>Amendment No. 1, dated as of May 10, 2023, to Revolving Credit and Guaranty Agreement dated as of August 18, 2021 among the</w:t>
            </w:r>
          </w:p>
        </w:tc>
        <w:tc>
          <w:tcPr>
            <w:tcW w:w="0" w:type="dxa"/>
            <w:vAlign w:val="bottom"/>
          </w:tcPr>
          <w:p>
            <w:pPr>
              <w:spacing w:after="0"/>
              <w:rPr>
                <w:sz w:val="1"/>
                <w:szCs w:val="1"/>
                <w:color w:val="auto"/>
              </w:rPr>
            </w:pPr>
          </w:p>
        </w:tc>
      </w:tr>
      <w:tr>
        <w:trPr>
          <w:trHeight w:val="179"/>
        </w:trPr>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20" w:type="dxa"/>
            <w:vAlign w:val="bottom"/>
            <w:tcBorders>
              <w:top w:val="single" w:sz="8" w:color="0000FF"/>
            </w:tcBorders>
            <w:gridSpan w:val="8"/>
          </w:tcPr>
          <w:p>
            <w:pPr>
              <w:spacing w:after="0" w:line="179" w:lineRule="exact"/>
              <w:rPr>
                <w:sz w:val="20"/>
                <w:szCs w:val="20"/>
                <w:color w:val="auto"/>
              </w:rPr>
            </w:pPr>
            <w:r>
              <w:rPr>
                <w:rFonts w:ascii="Arial" w:cs="Arial" w:eastAsia="Arial" w:hAnsi="Arial"/>
                <w:sz w:val="18"/>
                <w:szCs w:val="18"/>
                <w:color w:val="0000FF"/>
                <w:w w:val="97"/>
              </w:rPr>
              <w:t>Company, the guarantors party thereto, the lenders party thereto, and JPMorgan Chase Bank, N.A., as Administrative Agent.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1"/>
        </w:trPr>
        <w:tc>
          <w:tcPr>
            <w:tcW w:w="138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8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EE"/>
              </w:rPr>
              <w:t>Rule 13a-14(a) Certification of Chief Executive Officer.</w:t>
            </w:r>
          </w:p>
        </w:tc>
        <w:tc>
          <w:tcPr>
            <w:tcW w:w="9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138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2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0000EE"/>
                <w:w w:val="91"/>
              </w:rPr>
              <w:t>Rule 13a-14(a) Certification of Chief Financial Officer.</w:t>
            </w:r>
          </w:p>
        </w:tc>
        <w:tc>
          <w:tcPr>
            <w:tcW w:w="58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80" w:type="dxa"/>
            <w:vAlign w:val="bottom"/>
            <w:shd w:val="clear" w:color="auto" w:fill="0000EE"/>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138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9"/>
          </w:tcPr>
          <w:p>
            <w:pPr>
              <w:spacing w:after="0"/>
              <w:rPr>
                <w:sz w:val="20"/>
                <w:szCs w:val="20"/>
                <w:color w:val="auto"/>
              </w:rPr>
            </w:pPr>
            <w:r>
              <w:rPr>
                <w:rFonts w:ascii="Arial" w:cs="Arial" w:eastAsia="Arial" w:hAnsi="Arial"/>
                <w:sz w:val="18"/>
                <w:szCs w:val="18"/>
                <w:color w:val="0000EE"/>
              </w:rPr>
              <w:t>Statement of the Chief Executive Officer under Section 906 of the Sarbanes-Oxley Act of 2002 (18 U.S.C. Section 1350).</w:t>
            </w:r>
          </w:p>
        </w:tc>
        <w:tc>
          <w:tcPr>
            <w:tcW w:w="0" w:type="dxa"/>
            <w:vAlign w:val="bottom"/>
          </w:tcPr>
          <w:p>
            <w:pPr>
              <w:spacing w:after="0"/>
              <w:rPr>
                <w:sz w:val="1"/>
                <w:szCs w:val="1"/>
                <w:color w:val="auto"/>
              </w:rPr>
            </w:pPr>
          </w:p>
        </w:tc>
      </w:tr>
      <w:tr>
        <w:trPr>
          <w:trHeight w:val="391"/>
        </w:trPr>
        <w:tc>
          <w:tcPr>
            <w:tcW w:w="1380" w:type="dxa"/>
            <w:vAlign w:val="bottom"/>
          </w:tcPr>
          <w:p>
            <w:pPr>
              <w:ind w:left="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6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0000EE"/>
                <w:w w:val="89"/>
              </w:rPr>
              <w:t>Statement of the Chief Financial Officer under Section 906 of the Sarbanes-Oxley Act of 2002 (18 U.S.C. Section 1350).</w:t>
            </w:r>
          </w:p>
        </w:tc>
        <w:tc>
          <w:tcPr>
            <w:tcW w:w="11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500" w:type="dxa"/>
            <w:vAlign w:val="bottom"/>
            <w:gridSpan w:val="5"/>
            <w:shd w:val="clear" w:color="auto" w:fill="0000EE"/>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380" w:type="dxa"/>
            <w:vAlign w:val="bottom"/>
          </w:tcPr>
          <w:p>
            <w:pPr>
              <w:ind w:left="20"/>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9"/>
          </w:tcPr>
          <w:p>
            <w:pPr>
              <w:spacing w:after="0"/>
              <w:rPr>
                <w:sz w:val="20"/>
                <w:szCs w:val="20"/>
                <w:color w:val="auto"/>
              </w:rPr>
            </w:pPr>
            <w:r>
              <w:rPr>
                <w:rFonts w:ascii="Arial" w:cs="Arial" w:eastAsia="Arial" w:hAnsi="Arial"/>
                <w:sz w:val="18"/>
                <w:szCs w:val="18"/>
                <w:color w:val="auto"/>
                <w:w w:val="91"/>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40" w:type="dxa"/>
            <w:vAlign w:val="bottom"/>
            <w:gridSpan w:val="9"/>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411"/>
        </w:trPr>
        <w:tc>
          <w:tcPr>
            <w:tcW w:w="1380" w:type="dxa"/>
            <w:vAlign w:val="bottom"/>
          </w:tcPr>
          <w:p>
            <w:pPr>
              <w:ind w:left="20"/>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411"/>
        </w:trPr>
        <w:tc>
          <w:tcPr>
            <w:tcW w:w="1380" w:type="dxa"/>
            <w:vAlign w:val="bottom"/>
          </w:tcPr>
          <w:p>
            <w:pPr>
              <w:ind w:left="20"/>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11"/>
        </w:trPr>
        <w:tc>
          <w:tcPr>
            <w:tcW w:w="1380" w:type="dxa"/>
            <w:vAlign w:val="bottom"/>
          </w:tcPr>
          <w:p>
            <w:pPr>
              <w:ind w:left="20"/>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424"/>
        </w:trPr>
        <w:tc>
          <w:tcPr>
            <w:tcW w:w="1380" w:type="dxa"/>
            <w:vAlign w:val="bottom"/>
          </w:tcPr>
          <w:p>
            <w:pPr>
              <w:ind w:left="20"/>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9"/>
          </w:tcPr>
          <w:p>
            <w:pPr>
              <w:spacing w:after="0"/>
              <w:rPr>
                <w:sz w:val="20"/>
                <w:szCs w:val="20"/>
                <w:color w:val="auto"/>
              </w:rPr>
            </w:pPr>
            <w:r>
              <w:rPr>
                <w:rFonts w:ascii="Arial" w:cs="Arial" w:eastAsia="Arial" w:hAnsi="Arial"/>
                <w:sz w:val="18"/>
                <w:szCs w:val="18"/>
                <w:color w:val="auto"/>
              </w:rPr>
              <w:t>XBRL Taxonomy Presentation Linkbase Document.</w:t>
            </w:r>
          </w:p>
        </w:tc>
        <w:tc>
          <w:tcPr>
            <w:tcW w:w="0" w:type="dxa"/>
            <w:vAlign w:val="bottom"/>
          </w:tcPr>
          <w:p>
            <w:pPr>
              <w:spacing w:after="0"/>
              <w:rPr>
                <w:sz w:val="1"/>
                <w:szCs w:val="1"/>
                <w:color w:val="auto"/>
              </w:rPr>
            </w:pPr>
          </w:p>
        </w:tc>
      </w:tr>
      <w:tr>
        <w:trPr>
          <w:trHeight w:val="411"/>
        </w:trPr>
        <w:tc>
          <w:tcPr>
            <w:tcW w:w="1380" w:type="dxa"/>
            <w:vAlign w:val="bottom"/>
          </w:tcPr>
          <w:p>
            <w:pPr>
              <w:ind w:left="20"/>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9"/>
          </w:tcPr>
          <w:p>
            <w:pPr>
              <w:spacing w:after="0"/>
              <w:rPr>
                <w:sz w:val="20"/>
                <w:szCs w:val="20"/>
                <w:color w:val="auto"/>
              </w:rPr>
            </w:pPr>
            <w:r>
              <w:rPr>
                <w:rFonts w:ascii="Arial" w:cs="Arial" w:eastAsia="Arial" w:hAnsi="Arial"/>
                <w:sz w:val="18"/>
                <w:szCs w:val="18"/>
                <w:color w:val="auto"/>
              </w:rPr>
              <w:t>XBRL Taxonomy Definition Linkbase Document.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500" w:hanging="1476"/>
        <w:spacing w:after="0"/>
        <w:tabs>
          <w:tab w:leader="none" w:pos="15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1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_____________________________</w:t>
      </w:r>
    </w:p>
    <w:p>
      <w:pPr>
        <w:spacing w:after="0" w:line="1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111" w:lineRule="exact"/>
        <w:rPr>
          <w:rFonts w:ascii="Arial" w:cs="Arial" w:eastAsia="Arial" w:hAnsi="Arial"/>
          <w:sz w:val="18"/>
          <w:szCs w:val="18"/>
          <w:color w:val="auto"/>
        </w:rPr>
      </w:pPr>
    </w:p>
    <w:p>
      <w:pPr>
        <w:jc w:val="both"/>
        <w:ind w:left="320" w:hanging="314"/>
        <w:spacing w:after="0" w:line="255" w:lineRule="auto"/>
        <w:tabs>
          <w:tab w:leader="none" w:pos="393"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 34-47986, the certifications furnished in Exhibits 32.1 and 32.2 hereto are deemed to accompany this Form 10-Q and will not be deemed “filed” for purposes of Section 18 of the Exchange Act. Such certifications will not be deemed to be incorporated by reference into any filing under the Securities Act or the Exchange Act.</w:t>
      </w:r>
    </w:p>
    <w:p>
      <w:pPr>
        <w:spacing w:after="0" w:line="82"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Indicates management contract or compensatory plan or arrangement.</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560" w:type="dxa"/>
            <w:vAlign w:val="bottom"/>
          </w:tcPr>
          <w:p>
            <w:pPr>
              <w:spacing w:after="0"/>
              <w:rPr>
                <w:sz w:val="19"/>
                <w:szCs w:val="19"/>
                <w:color w:val="auto"/>
              </w:rPr>
            </w:pPr>
          </w:p>
        </w:tc>
        <w:tc>
          <w:tcPr>
            <w:tcW w:w="7660" w:type="dxa"/>
            <w:vAlign w:val="bottom"/>
            <w:gridSpan w:val="2"/>
          </w:tcPr>
          <w:p>
            <w:pPr>
              <w:ind w:left="2100"/>
              <w:spacing w:after="0"/>
              <w:rPr>
                <w:sz w:val="20"/>
                <w:szCs w:val="20"/>
                <w:color w:val="auto"/>
              </w:rPr>
            </w:pPr>
            <w:r>
              <w:rPr>
                <w:rFonts w:ascii="Arial" w:cs="Arial" w:eastAsia="Arial" w:hAnsi="Arial"/>
                <w:sz w:val="18"/>
                <w:szCs w:val="18"/>
                <w:color w:val="auto"/>
              </w:rPr>
              <w:t>INCYTE CORPORATION</w:t>
            </w:r>
          </w:p>
        </w:tc>
      </w:tr>
      <w:tr>
        <w:trPr>
          <w:trHeight w:val="418"/>
        </w:trPr>
        <w:tc>
          <w:tcPr>
            <w:tcW w:w="3560" w:type="dxa"/>
            <w:vAlign w:val="bottom"/>
          </w:tcPr>
          <w:p>
            <w:pPr>
              <w:spacing w:after="0"/>
              <w:rPr>
                <w:sz w:val="20"/>
                <w:szCs w:val="20"/>
                <w:color w:val="auto"/>
              </w:rPr>
            </w:pPr>
            <w:r>
              <w:rPr>
                <w:rFonts w:ascii="Arial" w:cs="Arial" w:eastAsia="Arial" w:hAnsi="Arial"/>
                <w:sz w:val="18"/>
                <w:szCs w:val="18"/>
                <w:color w:val="auto"/>
              </w:rPr>
              <w:t>Dated: August 1, 2023</w:t>
            </w:r>
          </w:p>
        </w:tc>
        <w:tc>
          <w:tcPr>
            <w:tcW w:w="2560" w:type="dxa"/>
            <w:vAlign w:val="bottom"/>
          </w:tcPr>
          <w:p>
            <w:pPr>
              <w:ind w:left="210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HERVÉ HOPPENOT</w:t>
            </w:r>
          </w:p>
        </w:tc>
      </w:tr>
      <w:tr>
        <w:trPr>
          <w:trHeight w:val="238"/>
        </w:trPr>
        <w:tc>
          <w:tcPr>
            <w:tcW w:w="35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Hervé Hoppenot</w:t>
            </w:r>
          </w:p>
        </w:tc>
      </w:tr>
      <w:tr>
        <w:trPr>
          <w:trHeight w:val="265"/>
        </w:trPr>
        <w:tc>
          <w:tcPr>
            <w:tcW w:w="356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r>
        <w:trPr>
          <w:trHeight w:val="252"/>
        </w:trPr>
        <w:tc>
          <w:tcPr>
            <w:tcW w:w="356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18"/>
        </w:trPr>
        <w:tc>
          <w:tcPr>
            <w:tcW w:w="3560" w:type="dxa"/>
            <w:vAlign w:val="bottom"/>
          </w:tcPr>
          <w:p>
            <w:pPr>
              <w:spacing w:after="0"/>
              <w:rPr>
                <w:sz w:val="20"/>
                <w:szCs w:val="20"/>
                <w:color w:val="auto"/>
              </w:rPr>
            </w:pPr>
            <w:r>
              <w:rPr>
                <w:rFonts w:ascii="Arial" w:cs="Arial" w:eastAsia="Arial" w:hAnsi="Arial"/>
                <w:sz w:val="18"/>
                <w:szCs w:val="18"/>
                <w:color w:val="auto"/>
              </w:rPr>
              <w:t>Dated: August 1, 2023</w:t>
            </w:r>
          </w:p>
        </w:tc>
        <w:tc>
          <w:tcPr>
            <w:tcW w:w="2560" w:type="dxa"/>
            <w:vAlign w:val="bottom"/>
          </w:tcPr>
          <w:p>
            <w:pPr>
              <w:ind w:left="210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CHRISTIANA STAMOULIS</w:t>
            </w:r>
          </w:p>
        </w:tc>
      </w:tr>
      <w:tr>
        <w:trPr>
          <w:trHeight w:val="238"/>
        </w:trPr>
        <w:tc>
          <w:tcPr>
            <w:tcW w:w="35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Christiana Stamoulis</w:t>
            </w:r>
          </w:p>
        </w:tc>
      </w:tr>
      <w:tr>
        <w:trPr>
          <w:trHeight w:val="252"/>
        </w:trPr>
        <w:tc>
          <w:tcPr>
            <w:tcW w:w="356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65"/>
        </w:trPr>
        <w:tc>
          <w:tcPr>
            <w:tcW w:w="356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901"/>
        </w:trPr>
        <w:tc>
          <w:tcPr>
            <w:tcW w:w="3560" w:type="dxa"/>
            <w:vAlign w:val="bottom"/>
          </w:tcPr>
          <w:p>
            <w:pPr>
              <w:spacing w:after="0"/>
              <w:rPr>
                <w:sz w:val="24"/>
                <w:szCs w:val="24"/>
                <w:color w:val="auto"/>
              </w:rPr>
            </w:pPr>
          </w:p>
        </w:tc>
        <w:tc>
          <w:tcPr>
            <w:tcW w:w="2560" w:type="dxa"/>
            <w:vAlign w:val="bottom"/>
          </w:tcPr>
          <w:p>
            <w:pPr>
              <w:jc w:val="right"/>
              <w:ind w:right="332"/>
              <w:spacing w:after="0"/>
              <w:rPr>
                <w:sz w:val="20"/>
                <w:szCs w:val="20"/>
                <w:color w:val="auto"/>
              </w:rPr>
            </w:pPr>
            <w:r>
              <w:rPr>
                <w:rFonts w:ascii="Arial" w:cs="Arial" w:eastAsia="Arial" w:hAnsi="Arial"/>
                <w:sz w:val="18"/>
                <w:szCs w:val="18"/>
                <w:color w:val="auto"/>
              </w:rPr>
              <w:t>85</w:t>
            </w:r>
          </w:p>
        </w:tc>
        <w:tc>
          <w:tcPr>
            <w:tcW w:w="5100" w:type="dxa"/>
            <w:vAlign w:val="bottom"/>
          </w:tcPr>
          <w:p>
            <w:pPr>
              <w:spacing w:after="0"/>
              <w:rPr>
                <w:sz w:val="24"/>
                <w:szCs w:val="24"/>
                <w:color w:val="auto"/>
              </w:rPr>
            </w:pPr>
          </w:p>
        </w:tc>
      </w:tr>
    </w:tbl>
    <w:p>
      <w:pPr>
        <w:sectPr>
          <w:pgSz w:w="11900" w:h="16838" w:orient="portrait"/>
          <w:cols w:equalWidth="0" w:num="1">
            <w:col w:w="11240"/>
          </w:cols>
          <w:pgMar w:left="320" w:top="127"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21"/>
          <w:szCs w:val="21"/>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BYLAWS</w:t>
      </w:r>
    </w:p>
    <w:p>
      <w:pPr>
        <w:jc w:val="center"/>
        <w:spacing w:after="0" w:line="216" w:lineRule="auto"/>
        <w:rPr>
          <w:sz w:val="20"/>
          <w:szCs w:val="20"/>
          <w:color w:val="auto"/>
        </w:rPr>
      </w:pPr>
      <w:r>
        <w:rPr>
          <w:rFonts w:ascii="Arial" w:cs="Arial" w:eastAsia="Arial" w:hAnsi="Arial"/>
          <w:sz w:val="23"/>
          <w:szCs w:val="23"/>
          <w:b w:val="1"/>
          <w:bCs w:val="1"/>
          <w:color w:val="auto"/>
        </w:rPr>
        <w:t>OF</w:t>
      </w:r>
    </w:p>
    <w:p>
      <w:pPr>
        <w:jc w:val="center"/>
        <w:spacing w:after="0"/>
        <w:rPr>
          <w:sz w:val="20"/>
          <w:szCs w:val="20"/>
          <w:color w:val="auto"/>
        </w:rPr>
      </w:pPr>
      <w:r>
        <w:rPr>
          <w:rFonts w:ascii="Arial" w:cs="Arial" w:eastAsia="Arial" w:hAnsi="Arial"/>
          <w:sz w:val="23"/>
          <w:szCs w:val="23"/>
          <w:b w:val="1"/>
          <w:bCs w:val="1"/>
          <w:color w:val="auto"/>
        </w:rPr>
        <w:t>INCYTE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(amended as of July 27, 2023)</w:t>
      </w:r>
    </w:p>
    <w:p>
      <w:pPr>
        <w:spacing w:after="0" w:line="393" w:lineRule="exact"/>
        <w:rPr>
          <w:sz w:val="20"/>
          <w:szCs w:val="20"/>
          <w:color w:val="auto"/>
        </w:rPr>
      </w:pPr>
    </w:p>
    <w:p>
      <w:pPr>
        <w:ind w:left="4980"/>
        <w:spacing w:after="0"/>
        <w:rPr>
          <w:sz w:val="20"/>
          <w:szCs w:val="20"/>
          <w:color w:val="auto"/>
        </w:rPr>
      </w:pPr>
      <w:r>
        <w:rPr>
          <w:rFonts w:ascii="Arial" w:cs="Arial" w:eastAsia="Arial" w:hAnsi="Arial"/>
          <w:sz w:val="19"/>
          <w:szCs w:val="19"/>
          <w:b w:val="1"/>
          <w:bCs w:val="1"/>
          <w:color w:val="auto"/>
        </w:rPr>
        <w:t>Article I</w:t>
      </w:r>
    </w:p>
    <w:p>
      <w:pPr>
        <w:spacing w:after="0" w:line="179" w:lineRule="exact"/>
        <w:rPr>
          <w:sz w:val="20"/>
          <w:szCs w:val="20"/>
          <w:color w:val="auto"/>
        </w:rPr>
      </w:pPr>
    </w:p>
    <w:p>
      <w:pPr>
        <w:ind w:left="4100"/>
        <w:spacing w:after="0"/>
        <w:rPr>
          <w:sz w:val="20"/>
          <w:szCs w:val="20"/>
          <w:color w:val="auto"/>
        </w:rPr>
      </w:pPr>
      <w:r>
        <w:rPr>
          <w:rFonts w:ascii="Arial" w:cs="Arial" w:eastAsia="Arial" w:hAnsi="Arial"/>
          <w:sz w:val="19"/>
          <w:szCs w:val="19"/>
          <w:b w:val="1"/>
          <w:bCs w:val="1"/>
          <w:color w:val="auto"/>
        </w:rPr>
        <w:t>MEETINGS OF STOCKHOLDERS</w:t>
      </w:r>
    </w:p>
    <w:p>
      <w:pPr>
        <w:spacing w:after="0" w:line="185" w:lineRule="exact"/>
        <w:rPr>
          <w:sz w:val="20"/>
          <w:szCs w:val="20"/>
          <w:color w:val="auto"/>
        </w:rPr>
      </w:pPr>
    </w:p>
    <w:p>
      <w:pPr>
        <w:ind w:right="60" w:firstLine="636"/>
        <w:spacing w:after="0" w:line="236"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Place of Meetings</w:t>
      </w:r>
      <w:r>
        <w:rPr>
          <w:rFonts w:ascii="Arial" w:cs="Arial" w:eastAsia="Arial" w:hAnsi="Arial"/>
          <w:sz w:val="19"/>
          <w:szCs w:val="19"/>
          <w:color w:val="auto"/>
        </w:rPr>
        <w:t>. All meetings of the stockholders shall be held at such place within or without the State of Delaware, or may not be held at any place, but may instead be held solely by means of remote communication, as may be fixed from time to time by the board of directors or the chief executive officer, or if not so designated, at the registered office of the corporation.</w:t>
      </w:r>
    </w:p>
    <w:p>
      <w:pPr>
        <w:spacing w:after="0" w:line="150" w:lineRule="exact"/>
        <w:rPr>
          <w:sz w:val="20"/>
          <w:szCs w:val="20"/>
          <w:color w:val="auto"/>
        </w:rPr>
      </w:pPr>
    </w:p>
    <w:p>
      <w:pPr>
        <w:jc w:val="both"/>
        <w:ind w:right="140" w:firstLine="636"/>
        <w:spacing w:after="0" w:line="236"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Annual Meeting</w:t>
      </w:r>
      <w:r>
        <w:rPr>
          <w:rFonts w:ascii="Arial" w:cs="Arial" w:eastAsia="Arial" w:hAnsi="Arial"/>
          <w:sz w:val="19"/>
          <w:szCs w:val="19"/>
          <w:color w:val="auto"/>
        </w:rPr>
        <w:t>. Annual meetings of stockholders shall be held at such date and time as shall be designated from time to time by the board of directors or the chief executive officer and stated in the notice of meeting. At the annual meeting, the stockholders shall elect a board of directors pursuant to Article I, Section 10 of these bylaws.</w:t>
      </w:r>
    </w:p>
    <w:p>
      <w:pPr>
        <w:spacing w:after="0" w:line="150" w:lineRule="exact"/>
        <w:rPr>
          <w:sz w:val="20"/>
          <w:szCs w:val="20"/>
          <w:color w:val="auto"/>
        </w:rPr>
      </w:pPr>
    </w:p>
    <w:p>
      <w:pPr>
        <w:ind w:right="180" w:firstLine="636"/>
        <w:spacing w:after="0" w:line="249"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Special Meetings</w:t>
      </w:r>
      <w:r>
        <w:rPr>
          <w:rFonts w:ascii="Arial" w:cs="Arial" w:eastAsia="Arial" w:hAnsi="Arial"/>
          <w:sz w:val="19"/>
          <w:szCs w:val="19"/>
          <w:color w:val="auto"/>
        </w:rPr>
        <w:t>. Special meetings of the stockholders, for any purpose or purposes, may be called only by the board of directors or the chief executive officer.</w:t>
      </w:r>
    </w:p>
    <w:p>
      <w:pPr>
        <w:spacing w:after="0" w:line="156"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9"/>
          <w:szCs w:val="19"/>
          <w:color w:val="auto"/>
        </w:rPr>
        <w:t>Section 4.</w:t>
      </w:r>
      <w:r>
        <w:rPr>
          <w:sz w:val="20"/>
          <w:szCs w:val="20"/>
          <w:color w:val="auto"/>
        </w:rPr>
        <w:tab/>
      </w:r>
      <w:r>
        <w:rPr>
          <w:rFonts w:ascii="Arial" w:cs="Arial" w:eastAsia="Arial" w:hAnsi="Arial"/>
          <w:sz w:val="17"/>
          <w:szCs w:val="17"/>
          <w:u w:val="single" w:color="auto"/>
          <w:color w:val="auto"/>
        </w:rPr>
        <w:t>Advance Notice of Stockholder Nominees and Other Stockholder Proposals</w:t>
      </w:r>
      <w:r>
        <w:rPr>
          <w:rFonts w:ascii="Arial" w:cs="Arial" w:eastAsia="Arial" w:hAnsi="Arial"/>
          <w:sz w:val="17"/>
          <w:szCs w:val="17"/>
          <w:color w:val="auto"/>
        </w:rPr>
        <w:t>.</w:t>
      </w:r>
    </w:p>
    <w:p>
      <w:pPr>
        <w:spacing w:after="0" w:line="179" w:lineRule="exact"/>
        <w:rPr>
          <w:sz w:val="20"/>
          <w:szCs w:val="20"/>
          <w:color w:val="auto"/>
        </w:rPr>
      </w:pPr>
    </w:p>
    <w:p>
      <w:pPr>
        <w:ind w:right="80" w:firstLine="642"/>
        <w:spacing w:after="0" w:line="236" w:lineRule="auto"/>
        <w:tabs>
          <w:tab w:leader="none" w:pos="1272"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The matters to be considered and brought before any annual or special meeting of stockholders shall be limited to only such matters, including the nomination and election of directors, as shall be brought properly before such meeting in compliance with the procedures set forth in this Article I, Section 4 or in Article I, Section 5 of these bylaws, as applicable).</w:t>
      </w:r>
    </w:p>
    <w:p>
      <w:pPr>
        <w:spacing w:after="0" w:line="150" w:lineRule="exact"/>
        <w:rPr>
          <w:rFonts w:ascii="Arial" w:cs="Arial" w:eastAsia="Arial" w:hAnsi="Arial"/>
          <w:sz w:val="19"/>
          <w:szCs w:val="19"/>
          <w:color w:val="auto"/>
        </w:rPr>
      </w:pPr>
    </w:p>
    <w:p>
      <w:pPr>
        <w:ind w:right="60" w:firstLine="642"/>
        <w:spacing w:after="0" w:line="231" w:lineRule="auto"/>
        <w:tabs>
          <w:tab w:leader="none" w:pos="1272"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 any matter to be brought properly before the annual meeting of stockholders, the matter must be (i) specified in the notice of the annual meeting (or any supplement thereto) given by or at the direction of the board of directors or the chief executive officer, (ii) otherwise brought before the annual meeting by or at the direction of the board of directors or the chief executive officer or (iii) brought before the annual meeting by a stockholder who (A) is a stockholder of record of the corporation on the date the notice provided for in this Section 4 is received by the secretary of the corporation, (B) is entitled to vote at the annual meeting, and (C) complies with the procedures set forth in this Section 4 and applicable law, including the requirements of Rule 14a-19 under the Securities Exchange Act of 1934, as amended (the “Exchange Act”). In addition to any other requirements under applicable law, the certificate of incorporation and these bylaws, written notice (the “stockholder notice”) of any nomination or other proposal must be timely and in proper written form and any proposal, other than a nomination, must constitute a proper matter for stockholder action.</w:t>
      </w:r>
    </w:p>
    <w:p>
      <w:pPr>
        <w:spacing w:after="0" w:line="167" w:lineRule="exact"/>
        <w:rPr>
          <w:rFonts w:ascii="Arial" w:cs="Arial" w:eastAsia="Arial" w:hAnsi="Arial"/>
          <w:sz w:val="18"/>
          <w:szCs w:val="18"/>
          <w:color w:val="auto"/>
        </w:rPr>
      </w:pPr>
    </w:p>
    <w:p>
      <w:pPr>
        <w:ind w:firstLine="642"/>
        <w:spacing w:after="0" w:line="259" w:lineRule="auto"/>
        <w:tabs>
          <w:tab w:leader="none" w:pos="1272" w:val="left"/>
        </w:tabs>
        <w:numPr>
          <w:ilvl w:val="0"/>
          <w:numId w:val="36"/>
        </w:numPr>
        <w:rPr>
          <w:rFonts w:ascii="Arial" w:cs="Arial" w:eastAsia="Arial" w:hAnsi="Arial"/>
          <w:sz w:val="17"/>
          <w:szCs w:val="17"/>
          <w:color w:val="auto"/>
        </w:rPr>
      </w:pPr>
      <w:r>
        <w:rPr>
          <w:rFonts w:ascii="Arial" w:cs="Arial" w:eastAsia="Arial" w:hAnsi="Arial"/>
          <w:sz w:val="17"/>
          <w:szCs w:val="17"/>
          <w:color w:val="auto"/>
        </w:rPr>
        <w:t>To be timely, the stockholder notice must be received by the secretary of the corporation at the principal executive office of the corporation not less than 90 nor more than 120 days prior to the first anniversary date of the annual meeting of stockholders for the preceding year; provided, however, that if (and only if) the annual meeting is not scheduled to be held within a period that commences 30 days before such anniversary date and ends within 60 days after such anniversary date (an annual meeting date outside such period being referred to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19"/>
        <w:spacing w:after="0"/>
        <w:rPr>
          <w:sz w:val="20"/>
          <w:szCs w:val="20"/>
          <w:color w:val="auto"/>
        </w:rPr>
      </w:pPr>
      <w:r>
        <w:rPr>
          <w:rFonts w:ascii="Arial" w:cs="Arial" w:eastAsia="Arial" w:hAnsi="Arial"/>
          <w:sz w:val="21"/>
          <w:szCs w:val="21"/>
          <w:color w:val="auto"/>
        </w:rPr>
        <w:t>-1-</w:t>
      </w:r>
    </w:p>
    <w:p>
      <w:pPr>
        <w:jc w:val="right"/>
        <w:spacing w:after="0"/>
        <w:rPr>
          <w:sz w:val="20"/>
          <w:szCs w:val="20"/>
          <w:color w:val="auto"/>
        </w:rPr>
      </w:pPr>
      <w:r>
        <w:rPr>
          <w:rFonts w:ascii="Arial" w:cs="Arial" w:eastAsia="Arial" w:hAnsi="Arial"/>
          <w:sz w:val="14"/>
          <w:szCs w:val="14"/>
          <w:color w:val="auto"/>
        </w:rPr>
        <w:t>4878-8402-9764.v3</w:t>
      </w:r>
    </w:p>
    <w:p>
      <w:pPr>
        <w:sectPr>
          <w:pgSz w:w="11900" w:h="16838" w:orient="portrait"/>
          <w:cols w:equalWidth="0" w:num="1">
            <w:col w:w="11240"/>
          </w:cols>
          <w:pgMar w:left="320" w:top="100" w:right="339" w:bottom="1440" w:gutter="0" w:footer="0" w:header="0"/>
        </w:sectPr>
      </w:pPr>
    </w:p>
    <w:bookmarkStart w:id="86" w:name="page87"/>
    <w:bookmarkEnd w:id="86"/>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auto"/>
        </w:rPr>
        <w:t>as an “other meeting date”), the stockholder notice shall be given in the manner provided herein by the later of the close of business on (i) the</w:t>
      </w:r>
    </w:p>
    <w:p>
      <w:pPr>
        <w:spacing w:after="0" w:line="19" w:lineRule="exact"/>
        <w:rPr>
          <w:sz w:val="20"/>
          <w:szCs w:val="20"/>
          <w:color w:val="auto"/>
        </w:rPr>
      </w:pPr>
    </w:p>
    <w:p>
      <w:pPr>
        <w:ind w:right="500"/>
        <w:spacing w:after="0" w:line="228" w:lineRule="auto"/>
        <w:rPr>
          <w:sz w:val="20"/>
          <w:szCs w:val="20"/>
          <w:color w:val="auto"/>
        </w:rPr>
      </w:pPr>
      <w:r>
        <w:rPr>
          <w:rFonts w:ascii="Arial" w:cs="Arial" w:eastAsia="Arial" w:hAnsi="Arial"/>
          <w:sz w:val="19"/>
          <w:szCs w:val="19"/>
          <w:color w:val="auto"/>
        </w:rPr>
        <w:t>date 90 days prior to such other meeting date or (ii) the tenth day following the date such other meeting date is first publicly announced or disclosed.</w:t>
      </w:r>
    </w:p>
    <w:p>
      <w:pPr>
        <w:spacing w:after="0" w:line="165" w:lineRule="exact"/>
        <w:rPr>
          <w:sz w:val="20"/>
          <w:szCs w:val="20"/>
          <w:color w:val="auto"/>
        </w:rPr>
      </w:pPr>
    </w:p>
    <w:p>
      <w:pPr>
        <w:ind w:left="1280" w:hanging="638"/>
        <w:spacing w:after="0"/>
        <w:tabs>
          <w:tab w:leader="none" w:pos="1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be in proper written form, the stockholder notice must contain the following information (the “stockholder information”):</w:t>
      </w:r>
    </w:p>
    <w:p>
      <w:pPr>
        <w:spacing w:after="0" w:line="203" w:lineRule="exact"/>
        <w:rPr>
          <w:rFonts w:ascii="Arial" w:cs="Arial" w:eastAsia="Arial" w:hAnsi="Arial"/>
          <w:sz w:val="18"/>
          <w:szCs w:val="18"/>
          <w:color w:val="auto"/>
        </w:rPr>
      </w:pPr>
    </w:p>
    <w:p>
      <w:pPr>
        <w:ind w:left="1500" w:hanging="222"/>
        <w:spacing w:after="0"/>
        <w:tabs>
          <w:tab w:leader="none" w:pos="1500" w:val="left"/>
        </w:tabs>
        <w:numPr>
          <w:ilvl w:val="1"/>
          <w:numId w:val="37"/>
        </w:numPr>
        <w:rPr>
          <w:rFonts w:ascii="Arial" w:cs="Arial" w:eastAsia="Arial" w:hAnsi="Arial"/>
          <w:sz w:val="19"/>
          <w:szCs w:val="19"/>
          <w:color w:val="auto"/>
        </w:rPr>
      </w:pPr>
      <w:r>
        <w:rPr>
          <w:rFonts w:ascii="Arial" w:cs="Arial" w:eastAsia="Arial" w:hAnsi="Arial"/>
          <w:sz w:val="19"/>
          <w:szCs w:val="19"/>
          <w:color w:val="auto"/>
        </w:rPr>
        <w:t>As to the stockholder providing the stockholder notice and any interested persons (as defined below), as applicable:</w:t>
      </w:r>
    </w:p>
    <w:p>
      <w:pPr>
        <w:spacing w:after="0" w:line="179" w:lineRule="exact"/>
        <w:rPr>
          <w:rFonts w:ascii="Arial" w:cs="Arial" w:eastAsia="Arial" w:hAnsi="Arial"/>
          <w:sz w:val="19"/>
          <w:szCs w:val="19"/>
          <w:color w:val="auto"/>
        </w:rPr>
      </w:pPr>
    </w:p>
    <w:p>
      <w:pPr>
        <w:ind w:left="2380" w:hanging="466"/>
        <w:spacing w:after="0"/>
        <w:tabs>
          <w:tab w:leader="none" w:pos="2380" w:val="left"/>
        </w:tabs>
        <w:numPr>
          <w:ilvl w:val="2"/>
          <w:numId w:val="37"/>
        </w:numPr>
        <w:rPr>
          <w:rFonts w:ascii="Arial" w:cs="Arial" w:eastAsia="Arial" w:hAnsi="Arial"/>
          <w:sz w:val="19"/>
          <w:szCs w:val="19"/>
          <w:color w:val="auto"/>
        </w:rPr>
      </w:pPr>
      <w:r>
        <w:rPr>
          <w:rFonts w:ascii="Arial" w:cs="Arial" w:eastAsia="Arial" w:hAnsi="Arial"/>
          <w:sz w:val="19"/>
          <w:szCs w:val="19"/>
          <w:color w:val="auto"/>
        </w:rPr>
        <w:t>whether the stockholder is providing the stockholder notice at the request of a beneficial holder of shares;</w:t>
      </w:r>
    </w:p>
    <w:p>
      <w:pPr>
        <w:spacing w:after="0" w:line="192" w:lineRule="exact"/>
        <w:rPr>
          <w:rFonts w:ascii="Arial" w:cs="Arial" w:eastAsia="Arial" w:hAnsi="Arial"/>
          <w:sz w:val="19"/>
          <w:szCs w:val="19"/>
          <w:color w:val="auto"/>
        </w:rPr>
      </w:pPr>
    </w:p>
    <w:p>
      <w:pPr>
        <w:ind w:left="1280" w:right="100" w:firstLine="634"/>
        <w:spacing w:after="0" w:line="222" w:lineRule="auto"/>
        <w:tabs>
          <w:tab w:leader="none" w:pos="2369" w:val="left"/>
        </w:tabs>
        <w:numPr>
          <w:ilvl w:val="2"/>
          <w:numId w:val="37"/>
        </w:numPr>
        <w:rPr>
          <w:rFonts w:ascii="Arial" w:cs="Arial" w:eastAsia="Arial" w:hAnsi="Arial"/>
          <w:sz w:val="19"/>
          <w:szCs w:val="19"/>
          <w:color w:val="auto"/>
        </w:rPr>
      </w:pPr>
      <w:r>
        <w:rPr>
          <w:rFonts w:ascii="Arial" w:cs="Arial" w:eastAsia="Arial" w:hAnsi="Arial"/>
          <w:sz w:val="19"/>
          <w:szCs w:val="19"/>
          <w:color w:val="auto"/>
        </w:rPr>
        <w:t>whether any interested person has any agreement, arrangement or understanding (including any agreement that would be required to be disclosed pursuant to Item 5 or Item 6 of Schedule 13D (or any successor item) under the Exchange Act, regardless of whether the requirement to file a Schedule 13D is applicable to such person) with, or has received any financial assistance, funding or other consideration from, any other person with respect to the investment by such person in the corporation or the matter(s) the stockholder notice relates to, and, if so, the details thereof, including the name of such other person;</w:t>
      </w:r>
    </w:p>
    <w:p>
      <w:pPr>
        <w:spacing w:after="0" w:line="165" w:lineRule="exact"/>
        <w:rPr>
          <w:rFonts w:ascii="Arial" w:cs="Arial" w:eastAsia="Arial" w:hAnsi="Arial"/>
          <w:sz w:val="19"/>
          <w:szCs w:val="19"/>
          <w:color w:val="auto"/>
        </w:rPr>
      </w:pPr>
    </w:p>
    <w:p>
      <w:pPr>
        <w:ind w:left="2360" w:hanging="446"/>
        <w:spacing w:after="0"/>
        <w:tabs>
          <w:tab w:leader="none" w:pos="2360" w:val="left"/>
        </w:tabs>
        <w:numPr>
          <w:ilvl w:val="2"/>
          <w:numId w:val="37"/>
        </w:numPr>
        <w:rPr>
          <w:rFonts w:ascii="Arial" w:cs="Arial" w:eastAsia="Arial" w:hAnsi="Arial"/>
          <w:sz w:val="19"/>
          <w:szCs w:val="19"/>
          <w:color w:val="auto"/>
        </w:rPr>
      </w:pPr>
      <w:r>
        <w:rPr>
          <w:rFonts w:ascii="Arial" w:cs="Arial" w:eastAsia="Arial" w:hAnsi="Arial"/>
          <w:sz w:val="19"/>
          <w:szCs w:val="19"/>
          <w:color w:val="auto"/>
        </w:rPr>
        <w:t>the name and address of all interested persons;</w:t>
      </w:r>
    </w:p>
    <w:p>
      <w:pPr>
        <w:spacing w:after="0" w:line="192" w:lineRule="exact"/>
        <w:rPr>
          <w:rFonts w:ascii="Arial" w:cs="Arial" w:eastAsia="Arial" w:hAnsi="Arial"/>
          <w:sz w:val="19"/>
          <w:szCs w:val="19"/>
          <w:color w:val="auto"/>
        </w:rPr>
      </w:pPr>
    </w:p>
    <w:p>
      <w:pPr>
        <w:ind w:left="1280" w:right="80" w:firstLine="634"/>
        <w:spacing w:after="0" w:line="245" w:lineRule="auto"/>
        <w:tabs>
          <w:tab w:leader="none" w:pos="2380" w:val="left"/>
        </w:tabs>
        <w:numPr>
          <w:ilvl w:val="2"/>
          <w:numId w:val="37"/>
        </w:numPr>
        <w:rPr>
          <w:rFonts w:ascii="Arial" w:cs="Arial" w:eastAsia="Arial" w:hAnsi="Arial"/>
          <w:sz w:val="17"/>
          <w:szCs w:val="17"/>
          <w:color w:val="auto"/>
        </w:rPr>
      </w:pPr>
      <w:r>
        <w:rPr>
          <w:rFonts w:ascii="Arial" w:cs="Arial" w:eastAsia="Arial" w:hAnsi="Arial"/>
          <w:sz w:val="17"/>
          <w:szCs w:val="17"/>
          <w:color w:val="auto"/>
        </w:rPr>
        <w:t>a complete listing of the record and beneficial ownership positions of all equity securities and debt instruments, whether held in the form of loans or capital market instruments, of the corporation or any of its subsidiaries held by all interested persons (including (1) the total number or amount owned, (2) the dates such shares or instruments were acquired and</w:t>
      </w:r>
    </w:p>
    <w:p>
      <w:pPr>
        <w:ind w:left="1280"/>
        <w:spacing w:after="0"/>
        <w:rPr>
          <w:rFonts w:ascii="Arial" w:cs="Arial" w:eastAsia="Arial" w:hAnsi="Arial"/>
          <w:sz w:val="17"/>
          <w:szCs w:val="17"/>
          <w:color w:val="auto"/>
        </w:rPr>
      </w:pPr>
      <w:r>
        <w:rPr>
          <w:rFonts w:ascii="Arial" w:cs="Arial" w:eastAsia="Arial" w:hAnsi="Arial"/>
          <w:sz w:val="19"/>
          <w:szCs w:val="19"/>
          <w:color w:val="auto"/>
        </w:rPr>
        <w:t>(3) the investment intent of such acquisitions);</w:t>
      </w:r>
    </w:p>
    <w:p>
      <w:pPr>
        <w:spacing w:after="0" w:line="163" w:lineRule="exact"/>
        <w:rPr>
          <w:rFonts w:ascii="Arial" w:cs="Arial" w:eastAsia="Arial" w:hAnsi="Arial"/>
          <w:sz w:val="17"/>
          <w:szCs w:val="17"/>
          <w:color w:val="auto"/>
        </w:rPr>
      </w:pPr>
    </w:p>
    <w:p>
      <w:pPr>
        <w:ind w:left="1280" w:right="60" w:firstLine="634"/>
        <w:spacing w:after="0" w:line="219" w:lineRule="auto"/>
        <w:tabs>
          <w:tab w:leader="none" w:pos="2358" w:val="left"/>
        </w:tabs>
        <w:numPr>
          <w:ilvl w:val="2"/>
          <w:numId w:val="37"/>
        </w:numPr>
        <w:rPr>
          <w:rFonts w:ascii="Arial" w:cs="Arial" w:eastAsia="Arial" w:hAnsi="Arial"/>
          <w:sz w:val="19"/>
          <w:szCs w:val="19"/>
          <w:color w:val="auto"/>
        </w:rPr>
      </w:pPr>
      <w:r>
        <w:rPr>
          <w:rFonts w:ascii="Arial" w:cs="Arial" w:eastAsia="Arial" w:hAnsi="Arial"/>
          <w:sz w:val="19"/>
          <w:szCs w:val="19"/>
          <w:color w:val="auto"/>
        </w:rPr>
        <w:t>whether and the extent to which any hedging, derivative or other transaction, agreement, arrangement or understanding is in place or has been entered into within the prior six months preceding the date of delivery of the stockholder notice by or for the benefit of any interested person with respect to the corporation or its subsidiaries or any of their respective securities, debt instruments or credit ratings, the effect or intent of which transaction, agreement, arrangement or understanding is to give rise to gain or loss as a result of changes in the trading price of such securities or debt instruments or changes in the credit ratings of the corporation, its subsidiaries or any of their respective securities or debt instruments (or, more generally, changes in the perceived creditworthiness of the corporation or its subsidiaries), or the effect or intent of which is to increase or decrease the voting power of such interested person (collectively, “derivative instruments”), and if so, a summary of the material terms thereof;</w:t>
      </w:r>
    </w:p>
    <w:p>
      <w:pPr>
        <w:spacing w:after="0" w:line="166" w:lineRule="exact"/>
        <w:rPr>
          <w:rFonts w:ascii="Arial" w:cs="Arial" w:eastAsia="Arial" w:hAnsi="Arial"/>
          <w:sz w:val="19"/>
          <w:szCs w:val="19"/>
          <w:color w:val="auto"/>
        </w:rPr>
      </w:pPr>
    </w:p>
    <w:p>
      <w:pPr>
        <w:ind w:left="1280" w:right="300" w:firstLine="634"/>
        <w:spacing w:after="0" w:line="227" w:lineRule="auto"/>
        <w:tabs>
          <w:tab w:leader="none" w:pos="2348" w:val="left"/>
        </w:tabs>
        <w:numPr>
          <w:ilvl w:val="2"/>
          <w:numId w:val="37"/>
        </w:numPr>
        <w:rPr>
          <w:rFonts w:ascii="Arial" w:cs="Arial" w:eastAsia="Arial" w:hAnsi="Arial"/>
          <w:sz w:val="19"/>
          <w:szCs w:val="19"/>
          <w:color w:val="auto"/>
        </w:rPr>
      </w:pPr>
      <w:r>
        <w:rPr>
          <w:rFonts w:ascii="Arial" w:cs="Arial" w:eastAsia="Arial" w:hAnsi="Arial"/>
          <w:sz w:val="19"/>
          <w:szCs w:val="19"/>
          <w:color w:val="auto"/>
        </w:rPr>
        <w:t>to the extent known by the stockholder giving the stockholder notice, (1) the names and addresses of any other stockholders or beneficial owners known to be supporting any matter set forth in such notice and (2) the class or series and number of shares of capital stock of the corporation that are owned beneficially or of record by such other stockholders or beneficial owners;</w:t>
      </w:r>
    </w:p>
    <w:p>
      <w:pPr>
        <w:spacing w:after="0" w:line="167" w:lineRule="exact"/>
        <w:rPr>
          <w:rFonts w:ascii="Arial" w:cs="Arial" w:eastAsia="Arial" w:hAnsi="Arial"/>
          <w:sz w:val="19"/>
          <w:szCs w:val="19"/>
          <w:color w:val="auto"/>
        </w:rPr>
      </w:pPr>
    </w:p>
    <w:p>
      <w:pPr>
        <w:ind w:left="1280" w:right="360" w:firstLine="634"/>
        <w:spacing w:after="0" w:line="237" w:lineRule="auto"/>
        <w:tabs>
          <w:tab w:leader="none" w:pos="2380" w:val="left"/>
        </w:tabs>
        <w:numPr>
          <w:ilvl w:val="2"/>
          <w:numId w:val="37"/>
        </w:numPr>
        <w:rPr>
          <w:rFonts w:ascii="Arial" w:cs="Arial" w:eastAsia="Arial" w:hAnsi="Arial"/>
          <w:sz w:val="19"/>
          <w:szCs w:val="19"/>
          <w:color w:val="auto"/>
        </w:rPr>
      </w:pPr>
      <w:r>
        <w:rPr>
          <w:rFonts w:ascii="Arial" w:cs="Arial" w:eastAsia="Arial" w:hAnsi="Arial"/>
          <w:sz w:val="19"/>
          <w:szCs w:val="19"/>
          <w:color w:val="auto"/>
        </w:rPr>
        <w:t>a written representation that the stockholder giving the stockholder notice is a holder of record of stock of the corporation that would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19"/>
        <w:spacing w:after="0"/>
        <w:rPr>
          <w:sz w:val="20"/>
          <w:szCs w:val="20"/>
          <w:color w:val="auto"/>
        </w:rPr>
      </w:pPr>
      <w:r>
        <w:rPr>
          <w:rFonts w:ascii="Arial" w:cs="Arial" w:eastAsia="Arial" w:hAnsi="Arial"/>
          <w:sz w:val="21"/>
          <w:szCs w:val="21"/>
          <w:color w:val="auto"/>
        </w:rPr>
        <w:t>-2-</w:t>
      </w:r>
    </w:p>
    <w:p>
      <w:pPr>
        <w:jc w:val="right"/>
        <w:spacing w:after="0"/>
        <w:rPr>
          <w:sz w:val="20"/>
          <w:szCs w:val="20"/>
          <w:color w:val="auto"/>
        </w:rPr>
      </w:pPr>
      <w:r>
        <w:rPr>
          <w:rFonts w:ascii="Arial" w:cs="Arial" w:eastAsia="Arial" w:hAnsi="Arial"/>
          <w:sz w:val="14"/>
          <w:szCs w:val="14"/>
          <w:color w:val="auto"/>
        </w:rPr>
        <w:t>4878-8402-9764.v3</w:t>
      </w:r>
    </w:p>
    <w:p>
      <w:pPr>
        <w:sectPr>
          <w:pgSz w:w="11900" w:h="16838" w:orient="portrait"/>
          <w:cols w:equalWidth="0" w:num="1">
            <w:col w:w="11240"/>
          </w:cols>
          <w:pgMar w:left="320" w:top="1440" w:right="339" w:bottom="1440" w:gutter="0" w:footer="0" w:header="0"/>
        </w:sectPr>
      </w:pPr>
    </w:p>
    <w:bookmarkStart w:id="87" w:name="page88"/>
    <w:bookmarkEnd w:id="87"/>
    <w:p>
      <w:pPr>
        <w:spacing w:after="0" w:line="200" w:lineRule="exact"/>
        <w:rPr>
          <w:sz w:val="20"/>
          <w:szCs w:val="20"/>
          <w:color w:val="auto"/>
        </w:rPr>
      </w:pPr>
    </w:p>
    <w:p>
      <w:pPr>
        <w:spacing w:after="0" w:line="378" w:lineRule="exact"/>
        <w:rPr>
          <w:sz w:val="20"/>
          <w:szCs w:val="20"/>
          <w:color w:val="auto"/>
        </w:rPr>
      </w:pPr>
    </w:p>
    <w:p>
      <w:pPr>
        <w:ind w:left="640" w:right="200"/>
        <w:spacing w:after="0" w:line="249" w:lineRule="auto"/>
        <w:rPr>
          <w:sz w:val="20"/>
          <w:szCs w:val="20"/>
          <w:color w:val="auto"/>
        </w:rPr>
      </w:pPr>
      <w:r>
        <w:rPr>
          <w:rFonts w:ascii="Arial" w:cs="Arial" w:eastAsia="Arial" w:hAnsi="Arial"/>
          <w:sz w:val="19"/>
          <w:szCs w:val="19"/>
          <w:color w:val="auto"/>
        </w:rPr>
        <w:t>entitled to vote at the meeting and intends to appear in person or by proxy at the meeting to propose the matter set forth in the stockholder notice;</w:t>
      </w:r>
    </w:p>
    <w:p>
      <w:pPr>
        <w:spacing w:after="0" w:line="143" w:lineRule="exact"/>
        <w:rPr>
          <w:sz w:val="20"/>
          <w:szCs w:val="20"/>
          <w:color w:val="auto"/>
        </w:rPr>
      </w:pPr>
    </w:p>
    <w:p>
      <w:pPr>
        <w:ind w:left="640" w:right="260" w:firstLine="634"/>
        <w:spacing w:after="0" w:line="236" w:lineRule="auto"/>
        <w:tabs>
          <w:tab w:leader="none" w:pos="1740" w:val="left"/>
        </w:tabs>
        <w:numPr>
          <w:ilvl w:val="1"/>
          <w:numId w:val="38"/>
        </w:numPr>
        <w:rPr>
          <w:rFonts w:ascii="Arial" w:cs="Arial" w:eastAsia="Arial" w:hAnsi="Arial"/>
          <w:sz w:val="19"/>
          <w:szCs w:val="19"/>
          <w:color w:val="auto"/>
        </w:rPr>
      </w:pPr>
      <w:r>
        <w:rPr>
          <w:rFonts w:ascii="Arial" w:cs="Arial" w:eastAsia="Arial" w:hAnsi="Arial"/>
          <w:sz w:val="19"/>
          <w:szCs w:val="19"/>
          <w:color w:val="auto"/>
        </w:rPr>
        <w:t>any other information that would be required to be provided by all interested persons pursuant to Section 14 of the Exchange Act and the rules and regulations thereunder assuming that the interested persons were to request that the corporation include such matter in the corporation’s proxy statement; and</w:t>
      </w:r>
    </w:p>
    <w:p>
      <w:pPr>
        <w:spacing w:after="0" w:line="150" w:lineRule="exact"/>
        <w:rPr>
          <w:rFonts w:ascii="Arial" w:cs="Arial" w:eastAsia="Arial" w:hAnsi="Arial"/>
          <w:sz w:val="19"/>
          <w:szCs w:val="19"/>
          <w:color w:val="auto"/>
        </w:rPr>
      </w:pPr>
    </w:p>
    <w:p>
      <w:pPr>
        <w:ind w:left="640" w:right="20" w:firstLine="634"/>
        <w:spacing w:after="0" w:line="224" w:lineRule="auto"/>
        <w:tabs>
          <w:tab w:leader="none" w:pos="1664" w:val="left"/>
        </w:tabs>
        <w:numPr>
          <w:ilvl w:val="1"/>
          <w:numId w:val="38"/>
        </w:numPr>
        <w:rPr>
          <w:rFonts w:ascii="Arial" w:cs="Arial" w:eastAsia="Arial" w:hAnsi="Arial"/>
          <w:sz w:val="19"/>
          <w:szCs w:val="19"/>
          <w:color w:val="auto"/>
        </w:rPr>
      </w:pPr>
      <w:r>
        <w:rPr>
          <w:rFonts w:ascii="Arial" w:cs="Arial" w:eastAsia="Arial" w:hAnsi="Arial"/>
          <w:sz w:val="19"/>
          <w:szCs w:val="19"/>
          <w:color w:val="auto"/>
        </w:rPr>
        <w:t>a representation as to whether any interested persons intends, or is or intends to be part of a group that intends, (a) to deliver a proxy statement and/or form of proxy to holders of at least the percentage of the corporation’s outstanding shares that, together with shares owned by the interested persons and any such group, would be required to approve or adopt such business or elect the proposed nominee; (b) otherwise to solicit proxies from stockholders in support of such business or election and/or (c) to solicit proxies in support of any proposed nominee in accordance with Rule 14a-19 promulgated under the Exchange Act.</w:t>
      </w:r>
    </w:p>
    <w:p>
      <w:pPr>
        <w:spacing w:after="0" w:line="154" w:lineRule="exact"/>
        <w:rPr>
          <w:rFonts w:ascii="Arial" w:cs="Arial" w:eastAsia="Arial" w:hAnsi="Arial"/>
          <w:sz w:val="19"/>
          <w:szCs w:val="19"/>
          <w:color w:val="auto"/>
        </w:rPr>
      </w:pPr>
    </w:p>
    <w:p>
      <w:pPr>
        <w:ind w:right="220" w:firstLine="638"/>
        <w:spacing w:after="0" w:line="307" w:lineRule="auto"/>
        <w:tabs>
          <w:tab w:leader="none" w:pos="922"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 addition to the foregoing requirements, if the stockholder notice relates to the nomination of directors, then such notice must also contain the following information as to each proposed nominee specified in the notice (each, a “stockholder nominee”):</w:t>
      </w:r>
    </w:p>
    <w:p>
      <w:pPr>
        <w:spacing w:after="0" w:line="109" w:lineRule="exact"/>
        <w:rPr>
          <w:rFonts w:ascii="Arial" w:cs="Arial" w:eastAsia="Arial" w:hAnsi="Arial"/>
          <w:sz w:val="17"/>
          <w:szCs w:val="17"/>
          <w:color w:val="auto"/>
        </w:rPr>
      </w:pPr>
    </w:p>
    <w:p>
      <w:pPr>
        <w:ind w:left="1920" w:hanging="646"/>
        <w:spacing w:after="0"/>
        <w:tabs>
          <w:tab w:leader="none" w:pos="1920" w:val="left"/>
        </w:tabs>
        <w:numPr>
          <w:ilvl w:val="1"/>
          <w:numId w:val="39"/>
        </w:numPr>
        <w:rPr>
          <w:rFonts w:ascii="Arial" w:cs="Arial" w:eastAsia="Arial" w:hAnsi="Arial"/>
          <w:sz w:val="19"/>
          <w:szCs w:val="19"/>
          <w:color w:val="auto"/>
        </w:rPr>
      </w:pPr>
      <w:r>
        <w:rPr>
          <w:rFonts w:ascii="Arial" w:cs="Arial" w:eastAsia="Arial" w:hAnsi="Arial"/>
          <w:sz w:val="19"/>
          <w:szCs w:val="19"/>
          <w:color w:val="auto"/>
        </w:rPr>
        <w:t>the name, age, business address and residence address of such stockholder nominee;</w:t>
      </w:r>
    </w:p>
    <w:p>
      <w:pPr>
        <w:spacing w:after="0" w:line="179" w:lineRule="exact"/>
        <w:rPr>
          <w:rFonts w:ascii="Arial" w:cs="Arial" w:eastAsia="Arial" w:hAnsi="Arial"/>
          <w:sz w:val="19"/>
          <w:szCs w:val="19"/>
          <w:color w:val="auto"/>
        </w:rPr>
      </w:pPr>
    </w:p>
    <w:p>
      <w:pPr>
        <w:ind w:left="1920" w:hanging="646"/>
        <w:spacing w:after="0"/>
        <w:tabs>
          <w:tab w:leader="none" w:pos="1920" w:val="left"/>
        </w:tabs>
        <w:numPr>
          <w:ilvl w:val="1"/>
          <w:numId w:val="39"/>
        </w:numPr>
        <w:rPr>
          <w:rFonts w:ascii="Arial" w:cs="Arial" w:eastAsia="Arial" w:hAnsi="Arial"/>
          <w:sz w:val="19"/>
          <w:szCs w:val="19"/>
          <w:color w:val="auto"/>
        </w:rPr>
      </w:pPr>
      <w:r>
        <w:rPr>
          <w:rFonts w:ascii="Arial" w:cs="Arial" w:eastAsia="Arial" w:hAnsi="Arial"/>
          <w:sz w:val="19"/>
          <w:szCs w:val="19"/>
          <w:color w:val="auto"/>
        </w:rPr>
        <w:t>a statement as to such stockholder nominee’s citizenship;</w:t>
      </w:r>
    </w:p>
    <w:p>
      <w:pPr>
        <w:spacing w:after="0" w:line="192" w:lineRule="exact"/>
        <w:rPr>
          <w:rFonts w:ascii="Arial" w:cs="Arial" w:eastAsia="Arial" w:hAnsi="Arial"/>
          <w:sz w:val="19"/>
          <w:szCs w:val="19"/>
          <w:color w:val="auto"/>
        </w:rPr>
      </w:pPr>
    </w:p>
    <w:p>
      <w:pPr>
        <w:ind w:left="1720" w:hanging="446"/>
        <w:spacing w:after="0"/>
        <w:tabs>
          <w:tab w:leader="none" w:pos="1720" w:val="left"/>
        </w:tabs>
        <w:numPr>
          <w:ilvl w:val="1"/>
          <w:numId w:val="39"/>
        </w:numPr>
        <w:rPr>
          <w:rFonts w:ascii="Arial" w:cs="Arial" w:eastAsia="Arial" w:hAnsi="Arial"/>
          <w:sz w:val="19"/>
          <w:szCs w:val="19"/>
          <w:color w:val="auto"/>
        </w:rPr>
      </w:pPr>
      <w:r>
        <w:rPr>
          <w:rFonts w:ascii="Arial" w:cs="Arial" w:eastAsia="Arial" w:hAnsi="Arial"/>
          <w:sz w:val="19"/>
          <w:szCs w:val="19"/>
          <w:color w:val="auto"/>
        </w:rPr>
        <w:t>the principal occupation or employment of such stockholder nominee;</w:t>
      </w:r>
    </w:p>
    <w:p>
      <w:pPr>
        <w:spacing w:after="0" w:line="192" w:lineRule="exact"/>
        <w:rPr>
          <w:rFonts w:ascii="Arial" w:cs="Arial" w:eastAsia="Arial" w:hAnsi="Arial"/>
          <w:sz w:val="19"/>
          <w:szCs w:val="19"/>
          <w:color w:val="auto"/>
        </w:rPr>
      </w:pPr>
    </w:p>
    <w:p>
      <w:pPr>
        <w:ind w:left="640" w:right="120" w:firstLine="634"/>
        <w:spacing w:after="0" w:line="237" w:lineRule="auto"/>
        <w:tabs>
          <w:tab w:leader="none" w:pos="1740" w:val="left"/>
        </w:tabs>
        <w:numPr>
          <w:ilvl w:val="1"/>
          <w:numId w:val="39"/>
        </w:numPr>
        <w:rPr>
          <w:rFonts w:ascii="Arial" w:cs="Arial" w:eastAsia="Arial" w:hAnsi="Arial"/>
          <w:sz w:val="19"/>
          <w:szCs w:val="19"/>
          <w:color w:val="auto"/>
        </w:rPr>
      </w:pPr>
      <w:r>
        <w:rPr>
          <w:rFonts w:ascii="Arial" w:cs="Arial" w:eastAsia="Arial" w:hAnsi="Arial"/>
          <w:sz w:val="19"/>
          <w:szCs w:val="19"/>
          <w:color w:val="auto"/>
        </w:rPr>
        <w:t>the information required by paragraphs (a), (e) and (f) of Item 401 of Regulation S-K under the Exchange Act(or the corresponding provisions of any successor regulation);</w:t>
      </w:r>
    </w:p>
    <w:p>
      <w:pPr>
        <w:spacing w:after="0" w:line="164" w:lineRule="exact"/>
        <w:rPr>
          <w:rFonts w:ascii="Arial" w:cs="Arial" w:eastAsia="Arial" w:hAnsi="Arial"/>
          <w:sz w:val="19"/>
          <w:szCs w:val="19"/>
          <w:color w:val="auto"/>
        </w:rPr>
      </w:pPr>
    </w:p>
    <w:p>
      <w:pPr>
        <w:ind w:left="640" w:right="60" w:firstLine="634"/>
        <w:spacing w:after="0" w:line="234" w:lineRule="auto"/>
        <w:tabs>
          <w:tab w:leader="none" w:pos="1718" w:val="left"/>
        </w:tabs>
        <w:numPr>
          <w:ilvl w:val="1"/>
          <w:numId w:val="39"/>
        </w:numPr>
        <w:rPr>
          <w:rFonts w:ascii="Arial" w:cs="Arial" w:eastAsia="Arial" w:hAnsi="Arial"/>
          <w:sz w:val="18"/>
          <w:szCs w:val="18"/>
          <w:color w:val="auto"/>
        </w:rPr>
      </w:pPr>
      <w:r>
        <w:rPr>
          <w:rFonts w:ascii="Arial" w:cs="Arial" w:eastAsia="Arial" w:hAnsi="Arial"/>
          <w:sz w:val="18"/>
          <w:szCs w:val="18"/>
          <w:color w:val="auto"/>
        </w:rPr>
        <w:t>a complete and accurate description of all compensatory, payment, reimbursement, indemnification or other financial agreements, arrangements or understandings between or among the stockholder giving the stockholder notice, any interested person and such stockholder nominee and any other person(s) (including their names) in connection with such stockholder nominee’s nomination or service or action as a director, including, without limitation, all information that would be required to be disclosed pursuant to Item 404 of Regulation S-K under the Exchange Act (or the corresponding provisions of any successor regulation) if the stockholder giving the stockholder notice and any interested person were the “registrant” for purposes of such rule and such stockholder nominee was a director or executive officer of such registrant;</w:t>
      </w:r>
    </w:p>
    <w:p>
      <w:pPr>
        <w:spacing w:after="0" w:line="150" w:lineRule="exact"/>
        <w:rPr>
          <w:rFonts w:ascii="Arial" w:cs="Arial" w:eastAsia="Arial" w:hAnsi="Arial"/>
          <w:sz w:val="18"/>
          <w:szCs w:val="18"/>
          <w:color w:val="auto"/>
        </w:rPr>
      </w:pPr>
    </w:p>
    <w:p>
      <w:pPr>
        <w:ind w:left="640" w:right="40" w:firstLine="634"/>
        <w:spacing w:after="0" w:line="236" w:lineRule="auto"/>
        <w:tabs>
          <w:tab w:leader="none" w:pos="1708" w:val="left"/>
        </w:tabs>
        <w:numPr>
          <w:ilvl w:val="1"/>
          <w:numId w:val="39"/>
        </w:numPr>
        <w:rPr>
          <w:rFonts w:ascii="Arial" w:cs="Arial" w:eastAsia="Arial" w:hAnsi="Arial"/>
          <w:sz w:val="19"/>
          <w:szCs w:val="19"/>
          <w:color w:val="auto"/>
        </w:rPr>
      </w:pPr>
      <w:r>
        <w:rPr>
          <w:rFonts w:ascii="Arial" w:cs="Arial" w:eastAsia="Arial" w:hAnsi="Arial"/>
          <w:sz w:val="19"/>
          <w:szCs w:val="19"/>
          <w:color w:val="auto"/>
        </w:rPr>
        <w:t>a written questionnaire with respect to the background and qualifications of such stockholder nominee in the form required by the corporation (which form the stockholder giving the stockholder notice shall request in writing from the secretary and which the secretary shall provide to the stockholder within 10 days of receiving such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420"/>
        <w:spacing w:after="0"/>
        <w:rPr>
          <w:sz w:val="20"/>
          <w:szCs w:val="20"/>
          <w:color w:val="auto"/>
        </w:rPr>
      </w:pPr>
      <w:r>
        <w:rPr>
          <w:rFonts w:ascii="Arial" w:cs="Arial" w:eastAsia="Arial" w:hAnsi="Arial"/>
          <w:sz w:val="21"/>
          <w:szCs w:val="21"/>
          <w:color w:val="auto"/>
        </w:rPr>
        <w:t>-3-</w:t>
      </w:r>
    </w:p>
    <w:p>
      <w:pPr>
        <w:jc w:val="right"/>
        <w:spacing w:after="0"/>
        <w:rPr>
          <w:sz w:val="20"/>
          <w:szCs w:val="20"/>
          <w:color w:val="auto"/>
        </w:rPr>
      </w:pPr>
      <w:r>
        <w:rPr>
          <w:rFonts w:ascii="Arial" w:cs="Arial" w:eastAsia="Arial" w:hAnsi="Arial"/>
          <w:sz w:val="14"/>
          <w:szCs w:val="14"/>
          <w:color w:val="auto"/>
        </w:rPr>
        <w:t>4878-8402-9764.v3</w:t>
      </w:r>
    </w:p>
    <w:p>
      <w:pPr>
        <w:sectPr>
          <w:pgSz w:w="11900" w:h="16838" w:orient="portrait"/>
          <w:cols w:equalWidth="0" w:num="1">
            <w:col w:w="10600"/>
          </w:cols>
          <w:pgMar w:left="960" w:top="1440" w:right="339" w:bottom="1440" w:gutter="0" w:footer="0" w:header="0"/>
        </w:sectPr>
      </w:pPr>
    </w:p>
    <w:bookmarkStart w:id="88" w:name="page89"/>
    <w:bookmarkEnd w:id="88"/>
    <w:p>
      <w:pPr>
        <w:spacing w:after="0" w:line="200" w:lineRule="exact"/>
        <w:rPr>
          <w:sz w:val="20"/>
          <w:szCs w:val="20"/>
          <w:color w:val="auto"/>
        </w:rPr>
      </w:pPr>
    </w:p>
    <w:p>
      <w:pPr>
        <w:spacing w:after="0" w:line="378" w:lineRule="exact"/>
        <w:rPr>
          <w:sz w:val="20"/>
          <w:szCs w:val="20"/>
          <w:color w:val="auto"/>
        </w:rPr>
      </w:pPr>
    </w:p>
    <w:p>
      <w:pPr>
        <w:jc w:val="both"/>
        <w:ind w:left="160" w:right="140" w:firstLine="634"/>
        <w:spacing w:after="0"/>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details of any position held by such stockholder nominee as an officer or director of any competitor (that is, any entity that produces products, is developing product candidates or provides services that compete with, or could compete with, or are alternatives to the products produced, product candidates being developed or services provided by the corporation or its affiliates) of the corporation, within the 3 years preceding the submission of the stockholder notice;</w:t>
      </w:r>
    </w:p>
    <w:p>
      <w:pPr>
        <w:spacing w:after="0" w:line="165" w:lineRule="exact"/>
        <w:rPr>
          <w:rFonts w:ascii="Arial" w:cs="Arial" w:eastAsia="Arial" w:hAnsi="Arial"/>
          <w:sz w:val="18"/>
          <w:szCs w:val="18"/>
          <w:color w:val="auto"/>
        </w:rPr>
      </w:pPr>
    </w:p>
    <w:p>
      <w:pPr>
        <w:ind w:left="160" w:right="140" w:firstLine="634"/>
        <w:spacing w:after="0" w:line="237" w:lineRule="auto"/>
        <w:tabs>
          <w:tab w:leader="none" w:pos="1260" w:val="left"/>
        </w:tabs>
        <w:numPr>
          <w:ilvl w:val="0"/>
          <w:numId w:val="40"/>
        </w:numPr>
        <w:rPr>
          <w:rFonts w:ascii="Arial" w:cs="Arial" w:eastAsia="Arial" w:hAnsi="Arial"/>
          <w:sz w:val="19"/>
          <w:szCs w:val="19"/>
          <w:color w:val="auto"/>
        </w:rPr>
      </w:pPr>
      <w:r>
        <w:rPr>
          <w:rFonts w:ascii="Arial" w:cs="Arial" w:eastAsia="Arial" w:hAnsi="Arial"/>
          <w:sz w:val="19"/>
          <w:szCs w:val="19"/>
          <w:color w:val="auto"/>
        </w:rPr>
        <w:t>such stockholder nominee’s written representation and agreement, in a form deemed satisfactory by the board of directors, that such stockholder nominee:</w:t>
      </w:r>
    </w:p>
    <w:p>
      <w:pPr>
        <w:spacing w:after="0" w:line="164" w:lineRule="exact"/>
        <w:rPr>
          <w:rFonts w:ascii="Arial" w:cs="Arial" w:eastAsia="Arial" w:hAnsi="Arial"/>
          <w:sz w:val="19"/>
          <w:szCs w:val="19"/>
          <w:color w:val="auto"/>
        </w:rPr>
      </w:pPr>
    </w:p>
    <w:p>
      <w:pPr>
        <w:ind w:left="2060" w:hanging="630"/>
        <w:spacing w:after="0"/>
        <w:tabs>
          <w:tab w:leader="none" w:pos="20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will provide to the corporation such other information and certifications as it may reasonably request;</w:t>
      </w:r>
    </w:p>
    <w:p>
      <w:pPr>
        <w:spacing w:after="0" w:line="203" w:lineRule="exact"/>
        <w:rPr>
          <w:rFonts w:ascii="Arial" w:cs="Arial" w:eastAsia="Arial" w:hAnsi="Arial"/>
          <w:sz w:val="18"/>
          <w:szCs w:val="18"/>
          <w:color w:val="auto"/>
        </w:rPr>
      </w:pPr>
    </w:p>
    <w:p>
      <w:pPr>
        <w:ind w:left="800" w:right="280" w:firstLine="630"/>
        <w:spacing w:after="0" w:line="234" w:lineRule="auto"/>
        <w:tabs>
          <w:tab w:leader="none" w:pos="2072" w:val="left"/>
        </w:tabs>
        <w:numPr>
          <w:ilvl w:val="1"/>
          <w:numId w:val="40"/>
        </w:numPr>
        <w:rPr>
          <w:rFonts w:ascii="Arial" w:cs="Arial" w:eastAsia="Arial" w:hAnsi="Arial"/>
          <w:sz w:val="18"/>
          <w:szCs w:val="18"/>
          <w:color w:val="auto"/>
        </w:rPr>
      </w:pPr>
      <w:r>
        <w:rPr>
          <w:rFonts w:ascii="Arial" w:cs="Arial" w:eastAsia="Arial" w:hAnsi="Arial"/>
          <w:sz w:val="18"/>
          <w:szCs w:val="18"/>
          <w:color w:val="auto"/>
        </w:rPr>
        <w:t>will comply with the corporation’s processes for evaluating any person being considered for nomination to the board of directors, including an agreement to, at the reasonable request of the Nominating and Corporate Governance Committee of the board of directors, meet with the Nominating and Corporate Governance Committee to discuss matters relating to the nomination of such stockholder nominee to the board of directors, including the information provided by such nominee to the corporation in connection with his or her nomination and such nominee’s eligibility to serve as a member of the board of directors;</w:t>
      </w:r>
    </w:p>
    <w:p>
      <w:pPr>
        <w:spacing w:after="0" w:line="167" w:lineRule="exact"/>
        <w:rPr>
          <w:rFonts w:ascii="Arial" w:cs="Arial" w:eastAsia="Arial" w:hAnsi="Arial"/>
          <w:sz w:val="18"/>
          <w:szCs w:val="18"/>
          <w:color w:val="auto"/>
        </w:rPr>
      </w:pPr>
    </w:p>
    <w:p>
      <w:pPr>
        <w:ind w:left="800" w:right="240" w:firstLine="630"/>
        <w:spacing w:after="0" w:line="219" w:lineRule="auto"/>
        <w:tabs>
          <w:tab w:leader="none" w:pos="2072" w:val="left"/>
        </w:tabs>
        <w:numPr>
          <w:ilvl w:val="1"/>
          <w:numId w:val="40"/>
        </w:numPr>
        <w:rPr>
          <w:rFonts w:ascii="Arial" w:cs="Arial" w:eastAsia="Arial" w:hAnsi="Arial"/>
          <w:sz w:val="19"/>
          <w:szCs w:val="19"/>
          <w:color w:val="auto"/>
        </w:rPr>
      </w:pPr>
      <w:r>
        <w:rPr>
          <w:rFonts w:ascii="Arial" w:cs="Arial" w:eastAsia="Arial" w:hAnsi="Arial"/>
          <w:sz w:val="19"/>
          <w:szCs w:val="19"/>
          <w:color w:val="auto"/>
        </w:rPr>
        <w:t>will, if elected to serve as a member of the board of directors, (i) comply with applicable state or federal law, the rules of any stock exchange on which the corporation’s securities are traded, all of the corporation’s corporate governance, ethics, conflict of interest, confidentiality, stock ownership and trading policies and guidelines applicable generally to the corporation’s directors (including the corporation’s Corporate Governance Guidelines and Board of Directors Code of Conduct and Ethics) and any other rules, regulations, policies or guidelines applicable to directors and (ii) be in compliance with any such laws, rules, and policies or guidelines that have been publicly disclosed;</w:t>
      </w:r>
    </w:p>
    <w:p>
      <w:pPr>
        <w:spacing w:after="0" w:line="167" w:lineRule="exact"/>
        <w:rPr>
          <w:rFonts w:ascii="Arial" w:cs="Arial" w:eastAsia="Arial" w:hAnsi="Arial"/>
          <w:sz w:val="19"/>
          <w:szCs w:val="19"/>
          <w:color w:val="auto"/>
        </w:rPr>
      </w:pPr>
    </w:p>
    <w:p>
      <w:pPr>
        <w:ind w:left="800" w:right="200" w:firstLine="630"/>
        <w:spacing w:after="0" w:line="234" w:lineRule="auto"/>
        <w:tabs>
          <w:tab w:leader="none" w:pos="2072" w:val="left"/>
        </w:tabs>
        <w:numPr>
          <w:ilvl w:val="1"/>
          <w:numId w:val="40"/>
        </w:numPr>
        <w:rPr>
          <w:rFonts w:ascii="Arial" w:cs="Arial" w:eastAsia="Arial" w:hAnsi="Arial"/>
          <w:sz w:val="18"/>
          <w:szCs w:val="18"/>
          <w:color w:val="auto"/>
        </w:rPr>
      </w:pPr>
      <w:r>
        <w:rPr>
          <w:rFonts w:ascii="Arial" w:cs="Arial" w:eastAsia="Arial" w:hAnsi="Arial"/>
          <w:sz w:val="18"/>
          <w:szCs w:val="18"/>
          <w:color w:val="auto"/>
        </w:rPr>
        <w:t>is not and will not become a party to (i) any compensatory, payment or other financial agreement, arrangement or understanding with any person or entity (other than the corporation) in connection with his or her nomination, service or action as a nominee or a director of the corporation that has not been disclosed to the corporation, (ii) any agreement, arrangement or understanding with any person or entity as to how such stockholder nominee would vote or act on any issue or question as a director (a “voting commitment”) that has not been disclosed to the corporation or (iii) any voting commitment that could limit or interfere with such stockholder nominee’s ability to comply, if elected as a director of the corporation, with its fiduciary duties under applicable law;</w:t>
      </w:r>
    </w:p>
    <w:p>
      <w:pPr>
        <w:spacing w:after="0" w:line="164" w:lineRule="exact"/>
        <w:rPr>
          <w:rFonts w:ascii="Arial" w:cs="Arial" w:eastAsia="Arial" w:hAnsi="Arial"/>
          <w:sz w:val="18"/>
          <w:szCs w:val="18"/>
          <w:color w:val="auto"/>
        </w:rPr>
      </w:pPr>
    </w:p>
    <w:p>
      <w:pPr>
        <w:ind w:left="2060" w:hanging="630"/>
        <w:spacing w:after="0"/>
        <w:tabs>
          <w:tab w:leader="none" w:pos="2060" w:val="left"/>
        </w:tabs>
        <w:numPr>
          <w:ilvl w:val="1"/>
          <w:numId w:val="40"/>
        </w:numPr>
        <w:rPr>
          <w:rFonts w:ascii="Arial" w:cs="Arial" w:eastAsia="Arial" w:hAnsi="Arial"/>
          <w:sz w:val="19"/>
          <w:szCs w:val="19"/>
          <w:color w:val="auto"/>
        </w:rPr>
      </w:pPr>
      <w:r>
        <w:rPr>
          <w:rFonts w:ascii="Arial" w:cs="Arial" w:eastAsia="Arial" w:hAnsi="Arial"/>
          <w:sz w:val="19"/>
          <w:szCs w:val="19"/>
          <w:color w:val="auto"/>
        </w:rPr>
        <w:t>intends to serve a full term if elected as a director of the corporation;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480"/>
        <w:spacing w:after="0"/>
        <w:rPr>
          <w:sz w:val="20"/>
          <w:szCs w:val="20"/>
          <w:color w:val="auto"/>
        </w:rPr>
      </w:pPr>
      <w:r>
        <w:rPr>
          <w:rFonts w:ascii="Arial" w:cs="Arial" w:eastAsia="Arial" w:hAnsi="Arial"/>
          <w:sz w:val="21"/>
          <w:szCs w:val="21"/>
          <w:color w:val="auto"/>
        </w:rPr>
        <w:t>-4-</w:t>
      </w:r>
    </w:p>
    <w:p>
      <w:pPr>
        <w:jc w:val="right"/>
        <w:spacing w:after="0"/>
        <w:rPr>
          <w:sz w:val="20"/>
          <w:szCs w:val="20"/>
          <w:color w:val="auto"/>
        </w:rPr>
      </w:pPr>
      <w:r>
        <w:rPr>
          <w:rFonts w:ascii="Arial" w:cs="Arial" w:eastAsia="Arial" w:hAnsi="Arial"/>
          <w:sz w:val="14"/>
          <w:szCs w:val="14"/>
          <w:color w:val="auto"/>
        </w:rPr>
        <w:t>4878-8402-9764.v3</w:t>
      </w:r>
    </w:p>
    <w:p>
      <w:pPr>
        <w:sectPr>
          <w:pgSz w:w="11900" w:h="16838" w:orient="portrait"/>
          <w:cols w:equalWidth="0" w:num="1">
            <w:col w:w="10120"/>
          </w:cols>
          <w:pgMar w:left="1440" w:top="1440" w:right="339" w:bottom="1440" w:gutter="0" w:footer="0" w:header="0"/>
        </w:sectPr>
      </w:pPr>
    </w:p>
    <w:bookmarkStart w:id="89" w:name="page90"/>
    <w:bookmarkEnd w:id="89"/>
    <w:p>
      <w:pPr>
        <w:spacing w:after="0" w:line="200" w:lineRule="exact"/>
        <w:rPr>
          <w:sz w:val="20"/>
          <w:szCs w:val="20"/>
          <w:color w:val="auto"/>
        </w:rPr>
      </w:pPr>
    </w:p>
    <w:p>
      <w:pPr>
        <w:spacing w:after="0" w:line="378" w:lineRule="exact"/>
        <w:rPr>
          <w:sz w:val="20"/>
          <w:szCs w:val="20"/>
          <w:color w:val="auto"/>
        </w:rPr>
      </w:pPr>
    </w:p>
    <w:p>
      <w:pPr>
        <w:ind w:left="1920" w:right="80" w:firstLine="630"/>
        <w:spacing w:after="0" w:line="227" w:lineRule="auto"/>
        <w:tabs>
          <w:tab w:leader="none" w:pos="3192" w:val="left"/>
        </w:tabs>
        <w:numPr>
          <w:ilvl w:val="1"/>
          <w:numId w:val="41"/>
        </w:numPr>
        <w:rPr>
          <w:rFonts w:ascii="Arial" w:cs="Arial" w:eastAsia="Arial" w:hAnsi="Arial"/>
          <w:sz w:val="19"/>
          <w:szCs w:val="19"/>
          <w:color w:val="auto"/>
        </w:rPr>
      </w:pPr>
      <w:r>
        <w:rPr>
          <w:rFonts w:ascii="Arial" w:cs="Arial" w:eastAsia="Arial" w:hAnsi="Arial"/>
          <w:sz w:val="19"/>
          <w:szCs w:val="19"/>
          <w:color w:val="auto"/>
        </w:rPr>
        <w:t>will provide facts, statements and other information in all communications with the corporation and its stockholders that are or will be true and correct in all material respects and that do not and will not omit to state a material fact necessary in order to make the statements made therein, in light of the circumstances under which they were made, not misleading;</w:t>
      </w:r>
    </w:p>
    <w:p>
      <w:pPr>
        <w:spacing w:after="0" w:line="167" w:lineRule="exact"/>
        <w:rPr>
          <w:rFonts w:ascii="Arial" w:cs="Arial" w:eastAsia="Arial" w:hAnsi="Arial"/>
          <w:sz w:val="19"/>
          <w:szCs w:val="19"/>
          <w:color w:val="auto"/>
        </w:rPr>
      </w:pPr>
    </w:p>
    <w:p>
      <w:pPr>
        <w:ind w:left="1280" w:right="120" w:firstLine="634"/>
        <w:spacing w:after="0" w:line="237" w:lineRule="auto"/>
        <w:tabs>
          <w:tab w:leader="none" w:pos="2304" w:val="left"/>
        </w:tabs>
        <w:numPr>
          <w:ilvl w:val="0"/>
          <w:numId w:val="42"/>
        </w:numPr>
        <w:rPr>
          <w:rFonts w:ascii="Arial" w:cs="Arial" w:eastAsia="Arial" w:hAnsi="Arial"/>
          <w:sz w:val="19"/>
          <w:szCs w:val="19"/>
          <w:color w:val="auto"/>
        </w:rPr>
      </w:pPr>
      <w:r>
        <w:rPr>
          <w:rFonts w:ascii="Arial" w:cs="Arial" w:eastAsia="Arial" w:hAnsi="Arial"/>
          <w:sz w:val="19"/>
          <w:szCs w:val="19"/>
          <w:color w:val="auto"/>
        </w:rPr>
        <w:t>each nominee’s signed consent to serve as a director of the corporation if elected and to being named in the proxy statement as a nominee;</w:t>
      </w:r>
    </w:p>
    <w:p>
      <w:pPr>
        <w:spacing w:after="0" w:line="164" w:lineRule="exact"/>
        <w:rPr>
          <w:rFonts w:ascii="Arial" w:cs="Arial" w:eastAsia="Arial" w:hAnsi="Arial"/>
          <w:sz w:val="19"/>
          <w:szCs w:val="19"/>
          <w:color w:val="auto"/>
        </w:rPr>
      </w:pPr>
    </w:p>
    <w:p>
      <w:pPr>
        <w:ind w:left="1280" w:right="80" w:firstLine="634"/>
        <w:spacing w:after="0" w:line="234" w:lineRule="auto"/>
        <w:tabs>
          <w:tab w:leader="none" w:pos="2315"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such information as may be necessary to enable the board of directors to make an informed determination as to whether such stockholder nominee is eligible for consideration as an independent director under the relevant standards contemplated by Item 407(a) of Regulation S-K under the Exchange Act (or the corresponding provisions of any successor regulation), the rules and regulations of the primary stock exchange upon which the corporation’s securities are traded, and any publicly disclosed standards used by the board of directors in determining and disclosing the independence of the corporation’s directors, including those applicable to a director’s service on the audit committee, compensation committee and any other committees of the board of directors (collectively, the “independence standards”); and</w:t>
      </w:r>
    </w:p>
    <w:p>
      <w:pPr>
        <w:spacing w:after="0" w:line="164" w:lineRule="exact"/>
        <w:rPr>
          <w:rFonts w:ascii="Arial" w:cs="Arial" w:eastAsia="Arial" w:hAnsi="Arial"/>
          <w:sz w:val="18"/>
          <w:szCs w:val="18"/>
          <w:color w:val="auto"/>
        </w:rPr>
      </w:pPr>
    </w:p>
    <w:p>
      <w:pPr>
        <w:ind w:left="1280" w:right="40" w:firstLine="634"/>
        <w:spacing w:after="0" w:line="231" w:lineRule="auto"/>
        <w:tabs>
          <w:tab w:leader="none" w:pos="2380" w:val="left"/>
        </w:tabs>
        <w:numPr>
          <w:ilvl w:val="0"/>
          <w:numId w:val="42"/>
        </w:numPr>
        <w:rPr>
          <w:rFonts w:ascii="Arial" w:cs="Arial" w:eastAsia="Arial" w:hAnsi="Arial"/>
          <w:sz w:val="19"/>
          <w:szCs w:val="19"/>
          <w:color w:val="auto"/>
        </w:rPr>
      </w:pPr>
      <w:r>
        <w:rPr>
          <w:rFonts w:ascii="Arial" w:cs="Arial" w:eastAsia="Arial" w:hAnsi="Arial"/>
          <w:sz w:val="19"/>
          <w:szCs w:val="19"/>
          <w:color w:val="auto"/>
        </w:rPr>
        <w:t>any other information relating to such stockholder nominee that is required to be disclosed in solicitations for proxies for election of directors in a contested election pursuant to Section 14 of the Exchange Act and the rules and regulations thereunder, including Rule 14a-19 under the Exchange Act.</w:t>
      </w:r>
    </w:p>
    <w:p>
      <w:pPr>
        <w:spacing w:after="0" w:line="164" w:lineRule="exact"/>
        <w:rPr>
          <w:sz w:val="20"/>
          <w:szCs w:val="20"/>
          <w:color w:val="auto"/>
        </w:rPr>
      </w:pPr>
    </w:p>
    <w:p>
      <w:pPr>
        <w:ind w:left="640" w:right="360" w:firstLine="636"/>
        <w:spacing w:after="0" w:line="245" w:lineRule="auto"/>
        <w:rPr>
          <w:sz w:val="20"/>
          <w:szCs w:val="20"/>
          <w:color w:val="auto"/>
        </w:rPr>
      </w:pPr>
      <w:r>
        <w:rPr>
          <w:rFonts w:ascii="Arial" w:cs="Arial" w:eastAsia="Arial" w:hAnsi="Arial"/>
          <w:sz w:val="17"/>
          <w:szCs w:val="17"/>
          <w:color w:val="auto"/>
        </w:rPr>
        <w:t>The corporation may also require any proposed stockholder nominee to furnish such other information as it may reasonably require to determine whether the nominee would be considered “independent” under the independence standards (the information</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described in this Section 4(d)(ii), the “nomination information”).</w:t>
      </w:r>
    </w:p>
    <w:p>
      <w:pPr>
        <w:spacing w:after="0" w:line="163" w:lineRule="exact"/>
        <w:rPr>
          <w:sz w:val="20"/>
          <w:szCs w:val="20"/>
          <w:color w:val="auto"/>
        </w:rPr>
      </w:pPr>
    </w:p>
    <w:p>
      <w:pPr>
        <w:ind w:left="640" w:right="160" w:firstLine="638"/>
        <w:spacing w:after="0" w:line="249" w:lineRule="auto"/>
        <w:tabs>
          <w:tab w:leader="none" w:pos="1761" w:val="left"/>
        </w:tabs>
        <w:numPr>
          <w:ilvl w:val="1"/>
          <w:numId w:val="43"/>
        </w:numPr>
        <w:rPr>
          <w:rFonts w:ascii="Arial" w:cs="Arial" w:eastAsia="Arial" w:hAnsi="Arial"/>
          <w:sz w:val="19"/>
          <w:szCs w:val="19"/>
          <w:color w:val="auto"/>
        </w:rPr>
      </w:pPr>
      <w:r>
        <w:rPr>
          <w:rFonts w:ascii="Arial" w:cs="Arial" w:eastAsia="Arial" w:hAnsi="Arial"/>
          <w:sz w:val="19"/>
          <w:szCs w:val="19"/>
          <w:color w:val="auto"/>
        </w:rPr>
        <w:t>In addition to the foregoing, if the stockholder notice involves a matter other than the nomination of directors, then such notice must also contain:</w:t>
      </w:r>
    </w:p>
    <w:p>
      <w:pPr>
        <w:spacing w:after="0" w:line="156" w:lineRule="exact"/>
        <w:rPr>
          <w:rFonts w:ascii="Arial" w:cs="Arial" w:eastAsia="Arial" w:hAnsi="Arial"/>
          <w:sz w:val="19"/>
          <w:szCs w:val="19"/>
          <w:color w:val="auto"/>
        </w:rPr>
      </w:pPr>
    </w:p>
    <w:p>
      <w:pPr>
        <w:ind w:left="1280" w:right="180" w:firstLine="634"/>
        <w:spacing w:after="0" w:line="227" w:lineRule="auto"/>
        <w:tabs>
          <w:tab w:leader="none" w:pos="2552" w:val="left"/>
        </w:tabs>
        <w:numPr>
          <w:ilvl w:val="2"/>
          <w:numId w:val="43"/>
        </w:numPr>
        <w:rPr>
          <w:rFonts w:ascii="Arial" w:cs="Arial" w:eastAsia="Arial" w:hAnsi="Arial"/>
          <w:sz w:val="19"/>
          <w:szCs w:val="19"/>
          <w:color w:val="auto"/>
        </w:rPr>
      </w:pPr>
      <w:r>
        <w:rPr>
          <w:rFonts w:ascii="Arial" w:cs="Arial" w:eastAsia="Arial" w:hAnsi="Arial"/>
          <w:sz w:val="19"/>
          <w:szCs w:val="19"/>
          <w:color w:val="auto"/>
        </w:rPr>
        <w:t>a brief description of the business desired to be brought before the meeting (including the text of the proposal to be presented, including the text of any resolutions to be proposed for consideration by stockholders and, in the event that such business includes a proposal to amend the certificate of incorporation of the corporation or these bylaws, the language of the proposed amendment), and</w:t>
      </w:r>
    </w:p>
    <w:p>
      <w:pPr>
        <w:spacing w:after="0" w:line="153" w:lineRule="exact"/>
        <w:rPr>
          <w:rFonts w:ascii="Arial" w:cs="Arial" w:eastAsia="Arial" w:hAnsi="Arial"/>
          <w:sz w:val="19"/>
          <w:szCs w:val="19"/>
          <w:color w:val="auto"/>
        </w:rPr>
      </w:pPr>
    </w:p>
    <w:p>
      <w:pPr>
        <w:jc w:val="both"/>
        <w:ind w:left="1280" w:right="60" w:firstLine="634"/>
        <w:spacing w:after="0" w:line="236" w:lineRule="auto"/>
        <w:tabs>
          <w:tab w:leader="none" w:pos="2601" w:val="left"/>
        </w:tabs>
        <w:numPr>
          <w:ilvl w:val="2"/>
          <w:numId w:val="43"/>
        </w:numPr>
        <w:rPr>
          <w:rFonts w:ascii="Arial" w:cs="Arial" w:eastAsia="Arial" w:hAnsi="Arial"/>
          <w:sz w:val="19"/>
          <w:szCs w:val="19"/>
          <w:color w:val="auto"/>
        </w:rPr>
      </w:pPr>
      <w:r>
        <w:rPr>
          <w:rFonts w:ascii="Arial" w:cs="Arial" w:eastAsia="Arial" w:hAnsi="Arial"/>
          <w:sz w:val="19"/>
          <w:szCs w:val="19"/>
          <w:color w:val="auto"/>
        </w:rPr>
        <w:t>a written statement of the reasons why such stockholder favors the proposal (including the text of any reasons for the proposed business that will be disclosed in any proxy statement or supplement thereto to be filed with the Securities and Exchange Commission (the “SEC”)).</w:t>
      </w:r>
    </w:p>
    <w:p>
      <w:pPr>
        <w:spacing w:after="0" w:line="150" w:lineRule="exact"/>
        <w:rPr>
          <w:rFonts w:ascii="Arial" w:cs="Arial" w:eastAsia="Arial" w:hAnsi="Arial"/>
          <w:sz w:val="19"/>
          <w:szCs w:val="19"/>
          <w:color w:val="auto"/>
        </w:rPr>
      </w:pPr>
    </w:p>
    <w:p>
      <w:pPr>
        <w:ind w:right="40" w:firstLine="642"/>
        <w:spacing w:after="0" w:line="259" w:lineRule="auto"/>
        <w:tabs>
          <w:tab w:leader="none" w:pos="1272" w:val="left"/>
        </w:tabs>
        <w:numPr>
          <w:ilvl w:val="0"/>
          <w:numId w:val="44"/>
        </w:numPr>
        <w:rPr>
          <w:rFonts w:ascii="Arial" w:cs="Arial" w:eastAsia="Arial" w:hAnsi="Arial"/>
          <w:sz w:val="17"/>
          <w:szCs w:val="17"/>
          <w:color w:val="auto"/>
        </w:rPr>
      </w:pPr>
      <w:r>
        <w:rPr>
          <w:rFonts w:ascii="Arial" w:cs="Arial" w:eastAsia="Arial" w:hAnsi="Arial"/>
          <w:sz w:val="17"/>
          <w:szCs w:val="17"/>
          <w:color w:val="auto"/>
        </w:rPr>
        <w:t>Notwithstanding anything in this Section 4 to the contrary, in the event that the number of directors to be elected to the board of directors of the corporation is increased and either all of the nominees for director or the size of the increased board of directors is not publicly announced or disclosed by the corporation at least 100 days prior to the first anniversary of the preceding year’s annual meeting, a stockholder notice shall also be considered timely hereunder, but only with respect to nominees for any new positions created by such increase, if it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21"/>
          <w:szCs w:val="21"/>
          <w:color w:val="auto"/>
        </w:rPr>
        <w:t>-5-</w:t>
      </w:r>
    </w:p>
    <w:p>
      <w:pPr>
        <w:jc w:val="right"/>
        <w:spacing w:after="0"/>
        <w:rPr>
          <w:sz w:val="20"/>
          <w:szCs w:val="20"/>
          <w:color w:val="auto"/>
        </w:rPr>
      </w:pPr>
      <w:r>
        <w:rPr>
          <w:rFonts w:ascii="Arial" w:cs="Arial" w:eastAsia="Arial" w:hAnsi="Arial"/>
          <w:sz w:val="14"/>
          <w:szCs w:val="14"/>
          <w:color w:val="auto"/>
        </w:rPr>
        <w:t>4878-8402-9764.v3</w:t>
      </w:r>
    </w:p>
    <w:p>
      <w:pPr>
        <w:sectPr>
          <w:pgSz w:w="11900" w:h="16838" w:orient="portrait"/>
          <w:cols w:equalWidth="0" w:num="1">
            <w:col w:w="11240"/>
          </w:cols>
          <w:pgMar w:left="320" w:top="1440" w:right="339" w:bottom="1440" w:gutter="0" w:footer="0" w:header="0"/>
        </w:sectPr>
      </w:pPr>
    </w:p>
    <w:bookmarkStart w:id="90" w:name="page91"/>
    <w:bookmarkEnd w:id="90"/>
    <w:p>
      <w:pPr>
        <w:spacing w:after="0" w:line="200" w:lineRule="exact"/>
        <w:rPr>
          <w:sz w:val="20"/>
          <w:szCs w:val="20"/>
          <w:color w:val="auto"/>
        </w:rPr>
      </w:pPr>
    </w:p>
    <w:p>
      <w:pPr>
        <w:spacing w:after="0" w:line="378" w:lineRule="exact"/>
        <w:rPr>
          <w:sz w:val="20"/>
          <w:szCs w:val="20"/>
          <w:color w:val="auto"/>
        </w:rPr>
      </w:pPr>
    </w:p>
    <w:p>
      <w:pPr>
        <w:ind w:right="80"/>
        <w:spacing w:after="0" w:line="307" w:lineRule="auto"/>
        <w:rPr>
          <w:sz w:val="20"/>
          <w:szCs w:val="20"/>
          <w:color w:val="auto"/>
        </w:rPr>
      </w:pPr>
      <w:r>
        <w:rPr>
          <w:rFonts w:ascii="Arial" w:cs="Arial" w:eastAsia="Arial" w:hAnsi="Arial"/>
          <w:sz w:val="17"/>
          <w:szCs w:val="17"/>
          <w:color w:val="auto"/>
        </w:rPr>
        <w:t>received by the secretary of the corporation at the principal executive office of the corporation not later than the close of business on the tenth day following the first date all of such nominees or the size of the increased board of directors shall have been publicly announced or disclosed.</w:t>
      </w:r>
    </w:p>
    <w:p>
      <w:pPr>
        <w:spacing w:after="0" w:line="96" w:lineRule="exact"/>
        <w:rPr>
          <w:sz w:val="20"/>
          <w:szCs w:val="20"/>
          <w:color w:val="auto"/>
        </w:rPr>
      </w:pPr>
    </w:p>
    <w:p>
      <w:pPr>
        <w:ind w:right="20" w:firstLine="642"/>
        <w:spacing w:after="0" w:line="220" w:lineRule="auto"/>
        <w:tabs>
          <w:tab w:leader="none" w:pos="1272" w:val="left"/>
        </w:tabs>
        <w:numPr>
          <w:ilvl w:val="0"/>
          <w:numId w:val="45"/>
        </w:numPr>
        <w:rPr>
          <w:rFonts w:ascii="Arial" w:cs="Arial" w:eastAsia="Arial" w:hAnsi="Arial"/>
          <w:sz w:val="19"/>
          <w:szCs w:val="19"/>
          <w:color w:val="auto"/>
        </w:rPr>
      </w:pPr>
      <w:r>
        <w:rPr>
          <w:rFonts w:ascii="Arial" w:cs="Arial" w:eastAsia="Arial" w:hAnsi="Arial"/>
          <w:sz w:val="19"/>
          <w:szCs w:val="19"/>
          <w:color w:val="auto"/>
        </w:rPr>
        <w:t>For any matter to be brought properly before a special meeting of stockholders, the matter must be set forth in the corporation’s notice of the meeting given by or at the direction of the board of directors or the chief executive officer. In the event that the corporation calls a special meeting of stockholders for the purpose of electing one or more persons to the board of directors, any stockholder who (A) is a stockholder of record on the date the notice provided for in this Section 4 is received by the secretary of the corporation, (B) is entitled to vote in such election of directors and (C) complies with the procedures set forth in this Section 4 and applicable law may nominate a person or persons (as the case may be), for election to the board of directors, if the stockholder notice required by this Section 4 shall be received by the secretary of the corporation at the principal executive office of the corporation not later than the close of business on the tenth day following the day on which the date of the special meeting and the nominees proposed by the board of directors to be elected at such meeting are first publicly announced or disclosed.</w:t>
      </w:r>
    </w:p>
    <w:p>
      <w:pPr>
        <w:spacing w:after="0" w:line="158" w:lineRule="exact"/>
        <w:rPr>
          <w:rFonts w:ascii="Arial" w:cs="Arial" w:eastAsia="Arial" w:hAnsi="Arial"/>
          <w:sz w:val="19"/>
          <w:szCs w:val="19"/>
          <w:color w:val="auto"/>
        </w:rPr>
      </w:pPr>
    </w:p>
    <w:p>
      <w:pPr>
        <w:ind w:right="140" w:firstLine="642"/>
        <w:spacing w:after="0" w:line="231" w:lineRule="auto"/>
        <w:tabs>
          <w:tab w:leader="none" w:pos="1272"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stockholder providing a stockholder notice pursuant to this Section 4 must update the notice delivered and information previously provided to the corporation pursuant to this Section 4, if necessary, so that the information provided or required to be provided therein shall continue to be true and correct (i) as of the record date for the applicable meeting and (ii) as of the date that is 10 business days prior to the meeting (or any adjournment or postponement thereof), and such update must be received by the secretary of the corporation at the principal executive office of the corporation no later than five business days after the record date for such meeting (in the case of an update required to be made as of the record date) and no later than five business days prior to such meeting (in the case of an update required to be made as of 10 business days prior to such meeting or any adjournment or postponement thereof). The obligation of a stockholder to provide notice or an update pursuant to this Section 4 shall not limit the corporation’s rights with respect to any deficiencies in any notice provided by such stockholder, extend any applicable deadlines under this Section 4 or enable or be deemed to permit such stockholder to change the proposal(s) or stockholder nominee(s) specified in the stockholder notice or to add new proposals or nominees after the deadlines hereunder have expired.</w:t>
      </w:r>
    </w:p>
    <w:p>
      <w:pPr>
        <w:spacing w:after="0" w:line="153" w:lineRule="exact"/>
        <w:rPr>
          <w:rFonts w:ascii="Arial" w:cs="Arial" w:eastAsia="Arial" w:hAnsi="Arial"/>
          <w:sz w:val="18"/>
          <w:szCs w:val="18"/>
          <w:color w:val="auto"/>
        </w:rPr>
      </w:pPr>
    </w:p>
    <w:p>
      <w:pPr>
        <w:ind w:firstLine="642"/>
        <w:spacing w:after="0" w:line="231" w:lineRule="auto"/>
        <w:tabs>
          <w:tab w:leader="none" w:pos="1272"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Notwithstanding anything to the contrary in these bylaws, unless otherwise required by law, if any stockholder or other interested person (i) provides notice pursuant to Rule 14a-19(b) promulgated under the Exchange Act with respect to any proposed stockholder nominee and (ii) subsequently fails to comply with the requirements of Rule 14a-19(a)(2) or Rule 14a-19(a)(3) promulgated under the Exchange Act (or fails to timely provide reasonable evidence sufficient to satisfy the corporation that such person has met the requirements of Rule 14a-19(a)(3) promulgated under the Exchange Act in accordance with the following sentence), then the nomination of each such proposed stockholder nominee shall be disregarded, notwithstanding that proxies or votes in respect of the election of such proposed stockholder nominees may have been received by the corporation (which proxies and votes shall be disregarded). Upon request by the corporation, if any stockholder or other interested person provides notice pursuant to Rule 14a-19(b) promulgated under the Exchange Act, such person shall deliver to the corporation, no later than five business days prior to the applicable meeting, reasonable evidence that it has met the requirements of Rule 14a-19(a)(3) promulgated under the Exchange Act.</w:t>
      </w:r>
    </w:p>
    <w:p>
      <w:pPr>
        <w:spacing w:after="0" w:line="167" w:lineRule="exact"/>
        <w:rPr>
          <w:rFonts w:ascii="Arial" w:cs="Arial" w:eastAsia="Arial" w:hAnsi="Arial"/>
          <w:sz w:val="18"/>
          <w:szCs w:val="18"/>
          <w:color w:val="auto"/>
        </w:rPr>
      </w:pPr>
    </w:p>
    <w:p>
      <w:pPr>
        <w:ind w:right="100" w:firstLine="642"/>
        <w:spacing w:after="0" w:line="249" w:lineRule="auto"/>
        <w:tabs>
          <w:tab w:leader="none" w:pos="1272" w:val="left"/>
        </w:tabs>
        <w:numPr>
          <w:ilvl w:val="0"/>
          <w:numId w:val="45"/>
        </w:numPr>
        <w:rPr>
          <w:rFonts w:ascii="Arial" w:cs="Arial" w:eastAsia="Arial" w:hAnsi="Arial"/>
          <w:sz w:val="19"/>
          <w:szCs w:val="19"/>
          <w:color w:val="auto"/>
        </w:rPr>
      </w:pPr>
      <w:r>
        <w:rPr>
          <w:rFonts w:ascii="Arial" w:cs="Arial" w:eastAsia="Arial" w:hAnsi="Arial"/>
          <w:sz w:val="19"/>
          <w:szCs w:val="19"/>
          <w:color w:val="auto"/>
        </w:rPr>
        <w:t>Any stockholder directly or indirectly soliciting proxies from other stockholders in respect of any proposal or nomination must use a proxy card color other than white, which shall be reserved for the exclusive use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21"/>
          <w:szCs w:val="21"/>
          <w:color w:val="auto"/>
        </w:rPr>
        <w:t>-6-</w:t>
      </w:r>
    </w:p>
    <w:p>
      <w:pPr>
        <w:jc w:val="right"/>
        <w:spacing w:after="0"/>
        <w:rPr>
          <w:sz w:val="20"/>
          <w:szCs w:val="20"/>
          <w:color w:val="auto"/>
        </w:rPr>
      </w:pPr>
      <w:r>
        <w:rPr>
          <w:rFonts w:ascii="Arial" w:cs="Arial" w:eastAsia="Arial" w:hAnsi="Arial"/>
          <w:sz w:val="14"/>
          <w:szCs w:val="14"/>
          <w:color w:val="auto"/>
        </w:rPr>
        <w:t>4878-8402-9764.v3</w:t>
      </w:r>
    </w:p>
    <w:p>
      <w:pPr>
        <w:sectPr>
          <w:pgSz w:w="11900" w:h="16838" w:orient="portrait"/>
          <w:cols w:equalWidth="0" w:num="1">
            <w:col w:w="11240"/>
          </w:cols>
          <w:pgMar w:left="320" w:top="1440" w:right="339" w:bottom="1440" w:gutter="0" w:footer="0" w:header="0"/>
        </w:sectPr>
      </w:pPr>
    </w:p>
    <w:bookmarkStart w:id="91" w:name="page92"/>
    <w:bookmarkEnd w:id="91"/>
    <w:p>
      <w:pPr>
        <w:spacing w:after="0" w:line="200" w:lineRule="exact"/>
        <w:rPr>
          <w:sz w:val="20"/>
          <w:szCs w:val="20"/>
          <w:color w:val="auto"/>
        </w:rPr>
      </w:pPr>
    </w:p>
    <w:p>
      <w:pPr>
        <w:spacing w:after="0" w:line="378" w:lineRule="exact"/>
        <w:rPr>
          <w:sz w:val="20"/>
          <w:szCs w:val="20"/>
          <w:color w:val="auto"/>
        </w:rPr>
      </w:pPr>
    </w:p>
    <w:p>
      <w:pPr>
        <w:ind w:right="80" w:firstLine="642"/>
        <w:spacing w:after="0" w:line="234" w:lineRule="auto"/>
        <w:tabs>
          <w:tab w:leader="none" w:pos="1272"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Only persons who are nominated in accordance with the procedures set forth in this Section 4 and Rule 14a-19 under the Exchange Act and, as applicable, Article I, Section 5 of these bylaws shall be eligible for election as directors of the corporation. In no event shall the postponement or adjournment of an annual meeting already publicly noticed, or any announcement of such postponement or adjournment, commence a new time period (or extend any time period) for the giving of notice as provided in this Section 4. This Section 4 shall not apply to (i) stockholder proposals made pursuant to Rule 14a-8 under the Exchange Act or (ii) the election of directors selected by or pursuant to the provisions of the certificate of incorporation relating to the rights of the holders of any class or series of stock of the corporation having a preference over the common stock as to dividends or upon liquidation to elect directors under specified circumstances.</w:t>
      </w:r>
    </w:p>
    <w:p>
      <w:pPr>
        <w:spacing w:after="0" w:line="164" w:lineRule="exact"/>
        <w:rPr>
          <w:rFonts w:ascii="Arial" w:cs="Arial" w:eastAsia="Arial" w:hAnsi="Arial"/>
          <w:sz w:val="18"/>
          <w:szCs w:val="18"/>
          <w:color w:val="auto"/>
        </w:rPr>
      </w:pPr>
    </w:p>
    <w:p>
      <w:pPr>
        <w:ind w:right="60" w:firstLine="642"/>
        <w:spacing w:after="0"/>
        <w:tabs>
          <w:tab w:leader="none" w:pos="1272"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person presiding at any meeting of stockholders, in addition to making any other determinations that may be appropriate to the conduct of the meeting, shall have the power and duty to determine whether notice of nominees and other matters proposed to be brought before a meeting has been duly given in the manner provided in this Section 4 and, if not so given, shall direct and declare at the meeting that such nominees and other matters are not properly before the meeting and shall not be considered.</w:t>
      </w:r>
    </w:p>
    <w:p>
      <w:pPr>
        <w:spacing w:after="0" w:line="152" w:lineRule="exact"/>
        <w:rPr>
          <w:rFonts w:ascii="Arial" w:cs="Arial" w:eastAsia="Arial" w:hAnsi="Arial"/>
          <w:sz w:val="18"/>
          <w:szCs w:val="18"/>
          <w:color w:val="auto"/>
        </w:rPr>
      </w:pPr>
    </w:p>
    <w:p>
      <w:pPr>
        <w:ind w:firstLine="642"/>
        <w:spacing w:after="0" w:line="253" w:lineRule="auto"/>
        <w:tabs>
          <w:tab w:leader="none" w:pos="1272" w:val="left"/>
        </w:tabs>
        <w:numPr>
          <w:ilvl w:val="0"/>
          <w:numId w:val="46"/>
        </w:numPr>
        <w:rPr>
          <w:rFonts w:ascii="Arial" w:cs="Arial" w:eastAsia="Arial" w:hAnsi="Arial"/>
          <w:sz w:val="17"/>
          <w:szCs w:val="17"/>
          <w:color w:val="auto"/>
        </w:rPr>
      </w:pPr>
      <w:r>
        <w:rPr>
          <w:rFonts w:ascii="Arial" w:cs="Arial" w:eastAsia="Arial" w:hAnsi="Arial"/>
          <w:sz w:val="17"/>
          <w:szCs w:val="17"/>
          <w:color w:val="auto"/>
        </w:rPr>
        <w:t>Notwithstanding the foregoing provisions of this Section 4, unless otherwise required by law, if a stockholder does not comply with this Section 4, including by failing to provide the updated information required by clause (g) of Section 4, or if the stockholder (or a qualified representative of the stockholder) does not appear at the meeting to present the proposed business or nomination specified in the stockholder notice, then the corporation need not present such business or nomination for a vote at such meeting, notwithstanding that proxies in respect of such vote may have been received by the corporation (with the determination as to whether to present such business or nomination to be made by the board of directors, the chief executive officer or the person presiding at the meeting in his, her or its sole discretion).</w:t>
      </w:r>
    </w:p>
    <w:p>
      <w:pPr>
        <w:spacing w:after="0" w:line="141" w:lineRule="exact"/>
        <w:rPr>
          <w:rFonts w:ascii="Arial" w:cs="Arial" w:eastAsia="Arial" w:hAnsi="Arial"/>
          <w:sz w:val="17"/>
          <w:szCs w:val="17"/>
          <w:color w:val="auto"/>
        </w:rPr>
      </w:pPr>
    </w:p>
    <w:p>
      <w:pPr>
        <w:ind w:left="1280" w:hanging="638"/>
        <w:spacing w:after="0"/>
        <w:tabs>
          <w:tab w:leader="none" w:pos="1280" w:val="left"/>
        </w:tabs>
        <w:numPr>
          <w:ilvl w:val="0"/>
          <w:numId w:val="46"/>
        </w:numPr>
        <w:rPr>
          <w:rFonts w:ascii="Arial" w:cs="Arial" w:eastAsia="Arial" w:hAnsi="Arial"/>
          <w:sz w:val="19"/>
          <w:szCs w:val="19"/>
          <w:color w:val="auto"/>
        </w:rPr>
      </w:pPr>
      <w:r>
        <w:rPr>
          <w:rFonts w:ascii="Arial" w:cs="Arial" w:eastAsia="Arial" w:hAnsi="Arial"/>
          <w:sz w:val="19"/>
          <w:szCs w:val="19"/>
          <w:color w:val="auto"/>
        </w:rPr>
        <w:t>For purposes of these bylaws,</w:t>
      </w:r>
    </w:p>
    <w:p>
      <w:pPr>
        <w:spacing w:after="0" w:line="192" w:lineRule="exact"/>
        <w:rPr>
          <w:rFonts w:ascii="Arial" w:cs="Arial" w:eastAsia="Arial" w:hAnsi="Arial"/>
          <w:sz w:val="19"/>
          <w:szCs w:val="19"/>
          <w:color w:val="auto"/>
        </w:rPr>
      </w:pPr>
    </w:p>
    <w:p>
      <w:pPr>
        <w:ind w:left="640" w:right="260" w:firstLine="638"/>
        <w:spacing w:after="0" w:line="231" w:lineRule="auto"/>
        <w:tabs>
          <w:tab w:leader="none" w:pos="1653" w:val="left"/>
        </w:tabs>
        <w:numPr>
          <w:ilvl w:val="1"/>
          <w:numId w:val="46"/>
        </w:numPr>
        <w:rPr>
          <w:rFonts w:ascii="Arial" w:cs="Arial" w:eastAsia="Arial" w:hAnsi="Arial"/>
          <w:sz w:val="19"/>
          <w:szCs w:val="19"/>
          <w:color w:val="auto"/>
        </w:rPr>
      </w:pPr>
      <w:r>
        <w:rPr>
          <w:rFonts w:ascii="Arial" w:cs="Arial" w:eastAsia="Arial" w:hAnsi="Arial"/>
          <w:sz w:val="19"/>
          <w:szCs w:val="19"/>
          <w:color w:val="auto"/>
        </w:rPr>
        <w:t>a matter shall be deemed to have been “publicly announced or disclosed” if such matter is disclosed in a press release issued through Business Wire or PR Newswire or reported by the Dow Jones News Service, Associated Press or comparable national news service or in a document publicly filed by the corporation with the SEC;</w:t>
      </w:r>
    </w:p>
    <w:p>
      <w:pPr>
        <w:spacing w:after="0" w:line="164" w:lineRule="exact"/>
        <w:rPr>
          <w:rFonts w:ascii="Arial" w:cs="Arial" w:eastAsia="Arial" w:hAnsi="Arial"/>
          <w:sz w:val="19"/>
          <w:szCs w:val="19"/>
          <w:color w:val="auto"/>
        </w:rPr>
      </w:pPr>
    </w:p>
    <w:p>
      <w:pPr>
        <w:jc w:val="both"/>
        <w:ind w:left="640" w:right="40" w:firstLine="638"/>
        <w:spacing w:after="0" w:line="227" w:lineRule="auto"/>
        <w:tabs>
          <w:tab w:leader="none" w:pos="1707" w:val="left"/>
        </w:tabs>
        <w:numPr>
          <w:ilvl w:val="1"/>
          <w:numId w:val="46"/>
        </w:numPr>
        <w:rPr>
          <w:rFonts w:ascii="Arial" w:cs="Arial" w:eastAsia="Arial" w:hAnsi="Arial"/>
          <w:sz w:val="19"/>
          <w:szCs w:val="19"/>
          <w:color w:val="auto"/>
        </w:rPr>
      </w:pPr>
      <w:r>
        <w:rPr>
          <w:rFonts w:ascii="Arial" w:cs="Arial" w:eastAsia="Arial" w:hAnsi="Arial"/>
          <w:sz w:val="19"/>
          <w:szCs w:val="19"/>
          <w:color w:val="auto"/>
        </w:rPr>
        <w:t>a “qualified representative” of the stockholder must be a duly authorized officer, manager or partner of such stockholder or authorized by a writing executed by such stockholder (or a reliable reproduction or electronic transmission of the writing) received by the corporation prior to the proposing of the business at the meeting by the stockholder stating that the person is authorized to act for the stockholder as proxy at the applicable meeting of stockholders;</w:t>
      </w:r>
    </w:p>
    <w:p>
      <w:pPr>
        <w:spacing w:after="0" w:line="153" w:lineRule="exact"/>
        <w:rPr>
          <w:rFonts w:ascii="Arial" w:cs="Arial" w:eastAsia="Arial" w:hAnsi="Arial"/>
          <w:sz w:val="19"/>
          <w:szCs w:val="19"/>
          <w:color w:val="auto"/>
        </w:rPr>
      </w:pPr>
    </w:p>
    <w:p>
      <w:pPr>
        <w:ind w:left="1760" w:hanging="482"/>
        <w:spacing w:after="0"/>
        <w:tabs>
          <w:tab w:leader="none" w:pos="1760" w:val="left"/>
        </w:tabs>
        <w:numPr>
          <w:ilvl w:val="1"/>
          <w:numId w:val="46"/>
        </w:numPr>
        <w:rPr>
          <w:rFonts w:ascii="Arial" w:cs="Arial" w:eastAsia="Arial" w:hAnsi="Arial"/>
          <w:sz w:val="19"/>
          <w:szCs w:val="19"/>
          <w:color w:val="auto"/>
        </w:rPr>
      </w:pPr>
      <w:r>
        <w:rPr>
          <w:rFonts w:ascii="Arial" w:cs="Arial" w:eastAsia="Arial" w:hAnsi="Arial"/>
          <w:sz w:val="19"/>
          <w:szCs w:val="19"/>
          <w:color w:val="auto"/>
        </w:rPr>
        <w:t>“group” shall have the meaning ascribed to such term under Section 13(d)(3) of the Exchange Act;</w:t>
      </w:r>
    </w:p>
    <w:p>
      <w:pPr>
        <w:spacing w:after="0" w:line="192" w:lineRule="exact"/>
        <w:rPr>
          <w:rFonts w:ascii="Arial" w:cs="Arial" w:eastAsia="Arial" w:hAnsi="Arial"/>
          <w:sz w:val="19"/>
          <w:szCs w:val="19"/>
          <w:color w:val="auto"/>
        </w:rPr>
      </w:pPr>
    </w:p>
    <w:p>
      <w:pPr>
        <w:ind w:left="1760" w:hanging="482"/>
        <w:spacing w:after="0"/>
        <w:tabs>
          <w:tab w:leader="none" w:pos="1760" w:val="left"/>
        </w:tabs>
        <w:numPr>
          <w:ilvl w:val="1"/>
          <w:numId w:val="46"/>
        </w:numPr>
        <w:rPr>
          <w:rFonts w:ascii="Arial" w:cs="Arial" w:eastAsia="Arial" w:hAnsi="Arial"/>
          <w:sz w:val="19"/>
          <w:szCs w:val="19"/>
          <w:color w:val="auto"/>
        </w:rPr>
      </w:pPr>
      <w:r>
        <w:rPr>
          <w:rFonts w:ascii="Arial" w:cs="Arial" w:eastAsia="Arial" w:hAnsi="Arial"/>
          <w:sz w:val="19"/>
          <w:szCs w:val="19"/>
          <w:color w:val="auto"/>
        </w:rPr>
        <w:t>“beneficially owned” shall have the meaning provided in Rules 13d-3 and 13d-5 under the Exchange Act; and</w:t>
      </w:r>
    </w:p>
    <w:p>
      <w:pPr>
        <w:spacing w:after="0" w:line="192" w:lineRule="exact"/>
        <w:rPr>
          <w:rFonts w:ascii="Arial" w:cs="Arial" w:eastAsia="Arial" w:hAnsi="Arial"/>
          <w:sz w:val="19"/>
          <w:szCs w:val="19"/>
          <w:color w:val="auto"/>
        </w:rPr>
      </w:pPr>
    </w:p>
    <w:p>
      <w:pPr>
        <w:jc w:val="both"/>
        <w:ind w:left="640" w:right="120" w:firstLine="638"/>
        <w:spacing w:after="0" w:line="231" w:lineRule="auto"/>
        <w:tabs>
          <w:tab w:leader="none" w:pos="1697" w:val="left"/>
        </w:tabs>
        <w:numPr>
          <w:ilvl w:val="1"/>
          <w:numId w:val="46"/>
        </w:numPr>
        <w:rPr>
          <w:rFonts w:ascii="Arial" w:cs="Arial" w:eastAsia="Arial" w:hAnsi="Arial"/>
          <w:sz w:val="19"/>
          <w:szCs w:val="19"/>
          <w:color w:val="auto"/>
        </w:rPr>
      </w:pPr>
      <w:r>
        <w:rPr>
          <w:rFonts w:ascii="Arial" w:cs="Arial" w:eastAsia="Arial" w:hAnsi="Arial"/>
          <w:sz w:val="19"/>
          <w:szCs w:val="19"/>
          <w:color w:val="auto"/>
        </w:rPr>
        <w:t>“interested persons” shall mean (1) the stockholder providing the applicable notice, (2) any person who is a member of a group with or otherwise acting in concert with such stockholder, (3) any beneficial holder on whose behalf the proposal or nomination, as applicable, is being made (other than a stockholder that is a depositary),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19"/>
        <w:spacing w:after="0"/>
        <w:rPr>
          <w:sz w:val="20"/>
          <w:szCs w:val="20"/>
          <w:color w:val="auto"/>
        </w:rPr>
      </w:pPr>
      <w:r>
        <w:rPr>
          <w:rFonts w:ascii="Arial" w:cs="Arial" w:eastAsia="Arial" w:hAnsi="Arial"/>
          <w:sz w:val="21"/>
          <w:szCs w:val="21"/>
          <w:color w:val="auto"/>
        </w:rPr>
        <w:t>-7-</w:t>
      </w:r>
    </w:p>
    <w:p>
      <w:pPr>
        <w:jc w:val="right"/>
        <w:spacing w:after="0"/>
        <w:rPr>
          <w:sz w:val="20"/>
          <w:szCs w:val="20"/>
          <w:color w:val="auto"/>
        </w:rPr>
      </w:pPr>
      <w:r>
        <w:rPr>
          <w:rFonts w:ascii="Arial" w:cs="Arial" w:eastAsia="Arial" w:hAnsi="Arial"/>
          <w:sz w:val="14"/>
          <w:szCs w:val="14"/>
          <w:color w:val="auto"/>
        </w:rPr>
        <w:t>4878-8402-9764.v3</w:t>
      </w:r>
    </w:p>
    <w:p>
      <w:pPr>
        <w:sectPr>
          <w:pgSz w:w="11900" w:h="16838" w:orient="portrait"/>
          <w:cols w:equalWidth="0" w:num="1">
            <w:col w:w="11240"/>
          </w:cols>
          <w:pgMar w:left="320" w:top="1440" w:right="339" w:bottom="1440" w:gutter="0" w:footer="0" w:header="0"/>
        </w:sectPr>
      </w:pPr>
    </w:p>
    <w:bookmarkStart w:id="92" w:name="page93"/>
    <w:bookmarkEnd w:id="92"/>
    <w:p>
      <w:pPr>
        <w:spacing w:after="0" w:line="200" w:lineRule="exact"/>
        <w:rPr>
          <w:sz w:val="20"/>
          <w:szCs w:val="20"/>
          <w:color w:val="auto"/>
        </w:rPr>
      </w:pPr>
    </w:p>
    <w:p>
      <w:pPr>
        <w:spacing w:after="0" w:line="378" w:lineRule="exact"/>
        <w:rPr>
          <w:sz w:val="20"/>
          <w:szCs w:val="20"/>
          <w:color w:val="auto"/>
        </w:rPr>
      </w:pPr>
    </w:p>
    <w:p>
      <w:pPr>
        <w:ind w:left="640" w:right="620" w:firstLine="2"/>
        <w:spacing w:after="0" w:line="267" w:lineRule="auto"/>
        <w:tabs>
          <w:tab w:leader="none" w:pos="915"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any affiliate or associate (each within the meaning of Rule 12b-2 under the Exchange Act) of such stockholder or any such beneficial owner and (4) any participant (as defined in paragraphs (a)(ii)-(vi) of Instruction 3 to Item 4 of Schedule 14A, or any successor instructions) with such stockholder or such beneficial owner in respect of any proposals or nominations, as applicable.</w:t>
      </w:r>
    </w:p>
    <w:p>
      <w:pPr>
        <w:spacing w:after="0" w:line="143"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9"/>
          <w:szCs w:val="19"/>
          <w:color w:val="auto"/>
        </w:rPr>
        <w:t>Section 5.</w:t>
      </w:r>
      <w:r>
        <w:rPr>
          <w:sz w:val="20"/>
          <w:szCs w:val="20"/>
          <w:color w:val="auto"/>
        </w:rPr>
        <w:tab/>
      </w:r>
      <w:r>
        <w:rPr>
          <w:rFonts w:ascii="Arial" w:cs="Arial" w:eastAsia="Arial" w:hAnsi="Arial"/>
          <w:sz w:val="17"/>
          <w:szCs w:val="17"/>
          <w:u w:val="single" w:color="auto"/>
          <w:color w:val="auto"/>
        </w:rPr>
        <w:t>Proxy Access</w:t>
      </w:r>
      <w:r>
        <w:rPr>
          <w:rFonts w:ascii="Arial" w:cs="Arial" w:eastAsia="Arial" w:hAnsi="Arial"/>
          <w:sz w:val="17"/>
          <w:szCs w:val="17"/>
          <w:color w:val="auto"/>
        </w:rPr>
        <w:t>.</w:t>
      </w:r>
    </w:p>
    <w:p>
      <w:pPr>
        <w:spacing w:after="0" w:line="192" w:lineRule="exact"/>
        <w:rPr>
          <w:sz w:val="20"/>
          <w:szCs w:val="20"/>
          <w:color w:val="auto"/>
        </w:rPr>
      </w:pPr>
    </w:p>
    <w:p>
      <w:pPr>
        <w:ind w:right="360" w:firstLine="642"/>
        <w:spacing w:after="0" w:line="291" w:lineRule="auto"/>
        <w:tabs>
          <w:tab w:leader="none" w:pos="1272"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Inclusion of Nominees in Proxy Statement</w:t>
      </w:r>
      <w:r>
        <w:rPr>
          <w:rFonts w:ascii="Arial" w:cs="Arial" w:eastAsia="Arial" w:hAnsi="Arial"/>
          <w:sz w:val="17"/>
          <w:szCs w:val="17"/>
          <w:color w:val="auto"/>
        </w:rPr>
        <w:t>. Subject to the provisions of this Section 5, if expressly requested in the relevant Nomination Notice (as defined below), the corporation shall include in its proxy statement for any annual meeting of stockholders:</w:t>
      </w:r>
    </w:p>
    <w:p>
      <w:pPr>
        <w:spacing w:after="0" w:line="122" w:lineRule="exact"/>
        <w:rPr>
          <w:rFonts w:ascii="Arial" w:cs="Arial" w:eastAsia="Arial" w:hAnsi="Arial"/>
          <w:sz w:val="17"/>
          <w:szCs w:val="17"/>
          <w:color w:val="auto"/>
        </w:rPr>
      </w:pPr>
    </w:p>
    <w:p>
      <w:pPr>
        <w:ind w:left="640" w:right="300" w:firstLine="638"/>
        <w:spacing w:after="0" w:line="226" w:lineRule="auto"/>
        <w:tabs>
          <w:tab w:leader="none" w:pos="1912" w:val="left"/>
        </w:tabs>
        <w:numPr>
          <w:ilvl w:val="1"/>
          <w:numId w:val="48"/>
        </w:numPr>
        <w:rPr>
          <w:rFonts w:ascii="Arial" w:cs="Arial" w:eastAsia="Arial" w:hAnsi="Arial"/>
          <w:sz w:val="19"/>
          <w:szCs w:val="19"/>
          <w:color w:val="010000"/>
        </w:rPr>
      </w:pPr>
      <w:r>
        <w:rPr>
          <w:rFonts w:ascii="Arial" w:cs="Arial" w:eastAsia="Arial" w:hAnsi="Arial"/>
          <w:sz w:val="19"/>
          <w:szCs w:val="19"/>
          <w:color w:val="auto"/>
        </w:rPr>
        <w:t>the names of any person or persons nominated for election (each, a “Nominee”), which shall also be included on the corporation’s form of proxy and ballot, by any Eligible Holder (as defined below) or group of up to 20 Eligible Holders that has (individually and collectively, in the case of a group) satisfied, as determined by the board of directors, all applicable conditions and complied with all applicable procedures set forth in this Section 5 (such Eligible Holder or group of Eligible Holders being a “Nominating Stockholder”);</w:t>
      </w:r>
    </w:p>
    <w:p>
      <w:pPr>
        <w:spacing w:after="0" w:line="150" w:lineRule="exact"/>
        <w:rPr>
          <w:rFonts w:ascii="Arial" w:cs="Arial" w:eastAsia="Arial" w:hAnsi="Arial"/>
          <w:sz w:val="19"/>
          <w:szCs w:val="19"/>
          <w:color w:val="010000"/>
        </w:rPr>
      </w:pPr>
    </w:p>
    <w:p>
      <w:pPr>
        <w:ind w:left="640" w:right="20" w:firstLine="638"/>
        <w:spacing w:after="0" w:line="249" w:lineRule="auto"/>
        <w:tabs>
          <w:tab w:leader="none" w:pos="1912" w:val="left"/>
        </w:tabs>
        <w:numPr>
          <w:ilvl w:val="1"/>
          <w:numId w:val="48"/>
        </w:numPr>
        <w:rPr>
          <w:rFonts w:ascii="Arial" w:cs="Arial" w:eastAsia="Arial" w:hAnsi="Arial"/>
          <w:sz w:val="19"/>
          <w:szCs w:val="19"/>
          <w:color w:val="010000"/>
        </w:rPr>
      </w:pPr>
      <w:r>
        <w:rPr>
          <w:rFonts w:ascii="Arial" w:cs="Arial" w:eastAsia="Arial" w:hAnsi="Arial"/>
          <w:sz w:val="19"/>
          <w:szCs w:val="19"/>
          <w:color w:val="auto"/>
        </w:rPr>
        <w:t>disclosure about each Nominee and the Nominating Stockholder required under the rules of the SEC or other applicable law to be included in the proxy statement;</w:t>
      </w:r>
    </w:p>
    <w:p>
      <w:pPr>
        <w:spacing w:after="0" w:line="156" w:lineRule="exact"/>
        <w:rPr>
          <w:rFonts w:ascii="Arial" w:cs="Arial" w:eastAsia="Arial" w:hAnsi="Arial"/>
          <w:sz w:val="19"/>
          <w:szCs w:val="19"/>
          <w:color w:val="010000"/>
        </w:rPr>
      </w:pPr>
    </w:p>
    <w:p>
      <w:pPr>
        <w:jc w:val="both"/>
        <w:ind w:left="640" w:firstLine="638"/>
        <w:spacing w:after="0" w:line="227" w:lineRule="auto"/>
        <w:tabs>
          <w:tab w:leader="none" w:pos="1912" w:val="left"/>
        </w:tabs>
        <w:numPr>
          <w:ilvl w:val="1"/>
          <w:numId w:val="48"/>
        </w:numPr>
        <w:rPr>
          <w:rFonts w:ascii="Arial" w:cs="Arial" w:eastAsia="Arial" w:hAnsi="Arial"/>
          <w:sz w:val="19"/>
          <w:szCs w:val="19"/>
          <w:color w:val="010000"/>
        </w:rPr>
      </w:pPr>
      <w:r>
        <w:rPr>
          <w:rFonts w:ascii="Arial" w:cs="Arial" w:eastAsia="Arial" w:hAnsi="Arial"/>
          <w:sz w:val="19"/>
          <w:szCs w:val="19"/>
          <w:color w:val="auto"/>
        </w:rPr>
        <w:t>any statement included by the Nominating Stockholder in the Nomination Notice for inclusion in the proxy statement in support of each Nominee’s election to the board of directors (subject, without limitation, to Article I, Section 5(e)(2) of these bylaws), if such statement does not exceed 500 words and fully complies with Section 14 of the Exchange Act and the rules and regulations thereunder, including Rule 14a-9 (the “Supporting Statement”); and</w:t>
      </w:r>
    </w:p>
    <w:p>
      <w:pPr>
        <w:spacing w:after="0" w:line="153" w:lineRule="exact"/>
        <w:rPr>
          <w:rFonts w:ascii="Arial" w:cs="Arial" w:eastAsia="Arial" w:hAnsi="Arial"/>
          <w:sz w:val="19"/>
          <w:szCs w:val="19"/>
          <w:color w:val="010000"/>
        </w:rPr>
      </w:pPr>
    </w:p>
    <w:p>
      <w:pPr>
        <w:ind w:left="640" w:right="40" w:firstLine="638"/>
        <w:spacing w:after="0" w:line="227" w:lineRule="auto"/>
        <w:tabs>
          <w:tab w:leader="none" w:pos="1912" w:val="left"/>
        </w:tabs>
        <w:numPr>
          <w:ilvl w:val="1"/>
          <w:numId w:val="48"/>
        </w:numPr>
        <w:rPr>
          <w:rFonts w:ascii="Arial" w:cs="Arial" w:eastAsia="Arial" w:hAnsi="Arial"/>
          <w:sz w:val="19"/>
          <w:szCs w:val="19"/>
          <w:color w:val="010000"/>
        </w:rPr>
      </w:pPr>
      <w:r>
        <w:rPr>
          <w:rFonts w:ascii="Arial" w:cs="Arial" w:eastAsia="Arial" w:hAnsi="Arial"/>
          <w:sz w:val="19"/>
          <w:szCs w:val="19"/>
          <w:color w:val="auto"/>
        </w:rPr>
        <w:t>any other information that the corporation or the board of directors determines, in their discretion, to include in the proxy statement relating to the nomination of each Nominee, including, without limitation, any statement in opposition to the nomination, any of the information provided pursuant to this Section 5 and any solicitation materials or related information with respect to a Nominee.</w:t>
      </w:r>
    </w:p>
    <w:p>
      <w:pPr>
        <w:spacing w:after="0" w:line="167" w:lineRule="exact"/>
        <w:rPr>
          <w:sz w:val="20"/>
          <w:szCs w:val="20"/>
          <w:color w:val="auto"/>
        </w:rPr>
      </w:pPr>
    </w:p>
    <w:p>
      <w:pPr>
        <w:ind w:left="640" w:right="40" w:firstLine="636"/>
        <w:spacing w:after="0" w:line="245" w:lineRule="auto"/>
        <w:rPr>
          <w:sz w:val="20"/>
          <w:szCs w:val="20"/>
          <w:color w:val="auto"/>
        </w:rPr>
      </w:pPr>
      <w:r>
        <w:rPr>
          <w:rFonts w:ascii="Arial" w:cs="Arial" w:eastAsia="Arial" w:hAnsi="Arial"/>
          <w:sz w:val="17"/>
          <w:szCs w:val="17"/>
          <w:color w:val="auto"/>
        </w:rPr>
        <w:t>For purposes of this Section 5, any determination to be made by the board of directors may be made by the board of directors, a committee of the board of directors or any officer of the corporation designated by the board of directors or a committee of the board of</w:t>
      </w:r>
    </w:p>
    <w:p>
      <w:pPr>
        <w:ind w:left="640"/>
        <w:spacing w:after="0" w:line="231" w:lineRule="auto"/>
        <w:rPr>
          <w:sz w:val="20"/>
          <w:szCs w:val="20"/>
          <w:color w:val="auto"/>
        </w:rPr>
      </w:pPr>
      <w:r>
        <w:rPr>
          <w:rFonts w:ascii="Arial" w:cs="Arial" w:eastAsia="Arial" w:hAnsi="Arial"/>
          <w:sz w:val="18"/>
          <w:szCs w:val="18"/>
          <w:color w:val="auto"/>
        </w:rPr>
        <w:t>directors, and any such determination shall be final and binding on the corporation, any Eligible Holder, any Nominating Stockholder,</w:t>
      </w:r>
    </w:p>
    <w:p>
      <w:pPr>
        <w:spacing w:after="0" w:line="1" w:lineRule="exact"/>
        <w:rPr>
          <w:sz w:val="20"/>
          <w:szCs w:val="20"/>
          <w:color w:val="auto"/>
        </w:rPr>
      </w:pPr>
    </w:p>
    <w:p>
      <w:pPr>
        <w:ind w:left="640" w:right="40"/>
        <w:spacing w:after="0" w:line="235" w:lineRule="auto"/>
        <w:rPr>
          <w:sz w:val="20"/>
          <w:szCs w:val="20"/>
          <w:color w:val="auto"/>
        </w:rPr>
      </w:pPr>
      <w:r>
        <w:rPr>
          <w:rFonts w:ascii="Arial" w:cs="Arial" w:eastAsia="Arial" w:hAnsi="Arial"/>
          <w:sz w:val="17"/>
          <w:szCs w:val="17"/>
          <w:color w:val="auto"/>
        </w:rPr>
        <w:t>any Nominee and any other person so long as made in good faith (without any further requirements). The person presiding at the applicable annual meeting of stockholders, in addition to making any other determinations that may be appropriate to the conduct of the</w:t>
      </w:r>
    </w:p>
    <w:p>
      <w:pPr>
        <w:spacing w:after="0" w:line="1" w:lineRule="exact"/>
        <w:rPr>
          <w:sz w:val="20"/>
          <w:szCs w:val="20"/>
          <w:color w:val="auto"/>
        </w:rPr>
      </w:pPr>
    </w:p>
    <w:p>
      <w:pPr>
        <w:ind w:left="640" w:right="300"/>
        <w:spacing w:after="0" w:line="287" w:lineRule="auto"/>
        <w:rPr>
          <w:sz w:val="20"/>
          <w:szCs w:val="20"/>
          <w:color w:val="auto"/>
        </w:rPr>
      </w:pPr>
      <w:r>
        <w:rPr>
          <w:rFonts w:ascii="Arial" w:cs="Arial" w:eastAsia="Arial" w:hAnsi="Arial"/>
          <w:sz w:val="17"/>
          <w:szCs w:val="17"/>
          <w:color w:val="auto"/>
        </w:rPr>
        <w:t>meeting, shall have the power and duty to determine whether a Nominee has been nominated in accordance with the requirements of this Section 5 and, if not so nominated, shall direct and declare at the meeting that such Nominee shall not be considered.</w:t>
      </w:r>
    </w:p>
    <w:p>
      <w:pPr>
        <w:spacing w:after="0" w:line="113" w:lineRule="exact"/>
        <w:rPr>
          <w:sz w:val="20"/>
          <w:szCs w:val="20"/>
          <w:color w:val="auto"/>
        </w:rPr>
      </w:pPr>
    </w:p>
    <w:p>
      <w:pPr>
        <w:ind w:left="1280" w:hanging="638"/>
        <w:spacing w:after="0"/>
        <w:tabs>
          <w:tab w:leader="none" w:pos="1280"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Maximum Number of Nominees</w:t>
      </w:r>
      <w:r>
        <w:rPr>
          <w:rFonts w:ascii="Arial" w:cs="Arial" w:eastAsia="Arial" w:hAnsi="Arial"/>
          <w:sz w:val="19"/>
          <w:szCs w:val="19"/>
          <w:color w:val="auto"/>
        </w:rPr>
        <w:t>.</w:t>
      </w:r>
    </w:p>
    <w:p>
      <w:pPr>
        <w:spacing w:after="0" w:line="192" w:lineRule="exact"/>
        <w:rPr>
          <w:rFonts w:ascii="Arial" w:cs="Arial" w:eastAsia="Arial" w:hAnsi="Arial"/>
          <w:sz w:val="19"/>
          <w:szCs w:val="19"/>
          <w:color w:val="auto"/>
        </w:rPr>
      </w:pPr>
    </w:p>
    <w:p>
      <w:pPr>
        <w:ind w:left="640" w:right="400" w:firstLine="638"/>
        <w:spacing w:after="0" w:line="276" w:lineRule="auto"/>
        <w:tabs>
          <w:tab w:leader="none" w:pos="1912" w:val="left"/>
        </w:tabs>
        <w:numPr>
          <w:ilvl w:val="1"/>
          <w:numId w:val="49"/>
        </w:numPr>
        <w:rPr>
          <w:rFonts w:ascii="Arial" w:cs="Arial" w:eastAsia="Arial" w:hAnsi="Arial"/>
          <w:sz w:val="18"/>
          <w:szCs w:val="18"/>
          <w:color w:val="010000"/>
        </w:rPr>
      </w:pPr>
      <w:r>
        <w:rPr>
          <w:rFonts w:ascii="Arial" w:cs="Arial" w:eastAsia="Arial" w:hAnsi="Arial"/>
          <w:sz w:val="18"/>
          <w:szCs w:val="18"/>
          <w:color w:val="auto"/>
        </w:rPr>
        <w:t>The corporation shall not be required to include in the proxy statement for an annual meeting of stockholders more Nominees than that number of directors constituting the greater of (i) two or (ii) 20% of the total number of directors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19"/>
        <w:spacing w:after="0"/>
        <w:rPr>
          <w:sz w:val="20"/>
          <w:szCs w:val="20"/>
          <w:color w:val="auto"/>
        </w:rPr>
      </w:pPr>
      <w:r>
        <w:rPr>
          <w:rFonts w:ascii="Arial" w:cs="Arial" w:eastAsia="Arial" w:hAnsi="Arial"/>
          <w:sz w:val="21"/>
          <w:szCs w:val="21"/>
          <w:color w:val="auto"/>
        </w:rPr>
        <w:t>-8-</w:t>
      </w:r>
    </w:p>
    <w:p>
      <w:pPr>
        <w:jc w:val="right"/>
        <w:spacing w:after="0"/>
        <w:rPr>
          <w:sz w:val="20"/>
          <w:szCs w:val="20"/>
          <w:color w:val="auto"/>
        </w:rPr>
      </w:pPr>
      <w:r>
        <w:rPr>
          <w:rFonts w:ascii="Arial" w:cs="Arial" w:eastAsia="Arial" w:hAnsi="Arial"/>
          <w:sz w:val="14"/>
          <w:szCs w:val="14"/>
          <w:color w:val="auto"/>
        </w:rPr>
        <w:t>4878-8402-9764.v3</w:t>
      </w:r>
    </w:p>
    <w:p>
      <w:pPr>
        <w:sectPr>
          <w:pgSz w:w="11900" w:h="16838" w:orient="portrait"/>
          <w:cols w:equalWidth="0" w:num="1">
            <w:col w:w="11240"/>
          </w:cols>
          <w:pgMar w:left="320" w:top="1440" w:right="339" w:bottom="1440" w:gutter="0" w:footer="0" w:header="0"/>
        </w:sectPr>
      </w:pPr>
    </w:p>
    <w:bookmarkStart w:id="93" w:name="page94"/>
    <w:bookmarkEnd w:id="93"/>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corporation on the last day on which a Nomination Notice may be submitted pursuant to this Section 5 (rounded down to the nearest</w:t>
      </w:r>
    </w:p>
    <w:p>
      <w:pPr>
        <w:spacing w:after="0" w:line="8"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whole number) (the “Maximum Number”). The Maximum Number for a particular annual meeting shall be reduced by: (A) Nominees who the board of directors itself decides to nominate for election at such annual meeting; (B) Nominees who cease to satisfy, or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Nominees of Nominating Stockholders that cease to satisfy, the eligibility requirements in this Section 5, as determined by the board of</w:t>
      </w:r>
    </w:p>
    <w:p>
      <w:pPr>
        <w:spacing w:after="0" w:line="3" w:lineRule="exact"/>
        <w:rPr>
          <w:sz w:val="20"/>
          <w:szCs w:val="20"/>
          <w:color w:val="auto"/>
        </w:rPr>
      </w:pPr>
    </w:p>
    <w:p>
      <w:pPr>
        <w:ind w:right="420"/>
        <w:spacing w:after="0" w:line="235" w:lineRule="auto"/>
        <w:rPr>
          <w:sz w:val="20"/>
          <w:szCs w:val="20"/>
          <w:color w:val="auto"/>
        </w:rPr>
      </w:pPr>
      <w:r>
        <w:rPr>
          <w:rFonts w:ascii="Arial" w:cs="Arial" w:eastAsia="Arial" w:hAnsi="Arial"/>
          <w:sz w:val="17"/>
          <w:szCs w:val="17"/>
          <w:color w:val="auto"/>
        </w:rPr>
        <w:t>directors; (C) Nominees whose nomination is withdrawn by the Nominating Stockholder or who become unwilling to serve on the board of directors; (D) the number of incumbent directors who had been Nominees with respect to any of the preceding two annual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meetings of stockholders and whose reelection at the upcoming annual meeting is being recommended by the board of directors; and</w:t>
      </w:r>
    </w:p>
    <w:p>
      <w:pPr>
        <w:spacing w:after="0" w:line="3" w:lineRule="exact"/>
        <w:rPr>
          <w:sz w:val="20"/>
          <w:szCs w:val="20"/>
          <w:color w:val="auto"/>
        </w:rPr>
      </w:pPr>
    </w:p>
    <w:p>
      <w:pPr>
        <w:ind w:right="220" w:firstLine="2"/>
        <w:spacing w:after="0" w:line="246" w:lineRule="auto"/>
        <w:tabs>
          <w:tab w:leader="none" w:pos="297"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number of Nominees for which the corporation shall have received one or more notices that a stockholder intends to nominate stockholder nominees at such annual meeting pursuant to Article I, Section 4 of these bylaws. In the event that one or more vacancies for any reason occur on the board of directors after the deadline for submitting a Nomination Notice as set forth in Article I, Section 5(d) of these bylaws but before the date of the annual meeting, and the board of directors resolves to reduce the size of the board of directors in connection therewith, the Maximum Number shall be calculated based on the number of directors in office as so reduced.</w:t>
      </w:r>
    </w:p>
    <w:p>
      <w:pPr>
        <w:spacing w:after="0" w:line="161" w:lineRule="exact"/>
        <w:rPr>
          <w:rFonts w:ascii="Arial" w:cs="Arial" w:eastAsia="Arial" w:hAnsi="Arial"/>
          <w:sz w:val="17"/>
          <w:szCs w:val="17"/>
          <w:color w:val="auto"/>
        </w:rPr>
      </w:pPr>
    </w:p>
    <w:p>
      <w:pPr>
        <w:ind w:right="20" w:firstLine="638"/>
        <w:spacing w:after="0" w:line="230" w:lineRule="auto"/>
        <w:tabs>
          <w:tab w:leader="none" w:pos="1272" w:val="left"/>
        </w:tabs>
        <w:numPr>
          <w:ilvl w:val="1"/>
          <w:numId w:val="50"/>
        </w:numPr>
        <w:rPr>
          <w:rFonts w:ascii="Arial" w:cs="Arial" w:eastAsia="Arial" w:hAnsi="Arial"/>
          <w:sz w:val="18"/>
          <w:szCs w:val="18"/>
          <w:color w:val="010000"/>
        </w:rPr>
      </w:pPr>
      <w:r>
        <w:rPr>
          <w:rFonts w:ascii="Arial" w:cs="Arial" w:eastAsia="Arial" w:hAnsi="Arial"/>
          <w:sz w:val="18"/>
          <w:szCs w:val="18"/>
          <w:color w:val="auto"/>
        </w:rPr>
        <w:t>If the number of Nominees pursuant to this Section 5 for any annual meeting of stockholders exceeds the Maximum Number then, promptly upon notice from the corporation, each Nominating Stockholder will select one Nominee for inclusion in the proxy statement until the Maximum Number is reached, going in order of the amount (largest to smallest) of the ownership position as disclosed in each Nominating Stockholder’s Nomination Notice, with the process repeated if the Maximum Number is not reached after each Nominating Stockholder has selected one Nominee. If, after the deadline for submitting a Nomination Notice as set forth in Article I, Section 5(d) of these bylaws, a Nominating Stockholder or a Nominee ceases to satisfy the eligibility requirements in this Section 5, as determined by the board of directors, a Nominating Stockholder withdraws its nomination or a Nominee becomes unwilling to serve on the board of directors, whether before or after the mailing or other distribution of the definitive proxy statement, then the nomination shall be disregarded, and the corporation: (1) shall not be required to include in its proxy statement or on any ballot or form of proxy the disregarded Nominee or any successor or replacement nominee proposed by the Nominating Stockholder or by any other Nominating Stockholder and (2) may otherwise communicate to its stockholders, including without limitation by amending or supplementing its proxy statement or ballot or form of proxy, that a Nominee will not be included as a nominee in the proxy statement or on any ballot or form of proxy and will not be voted on at the annual meeting.</w:t>
      </w:r>
    </w:p>
    <w:p>
      <w:pPr>
        <w:spacing w:after="0" w:line="151" w:lineRule="exact"/>
        <w:rPr>
          <w:sz w:val="20"/>
          <w:szCs w:val="20"/>
          <w:color w:val="auto"/>
        </w:rPr>
      </w:pPr>
    </w:p>
    <w:p>
      <w:pPr>
        <w:ind w:left="640" w:hanging="638"/>
        <w:spacing w:after="0"/>
        <w:tabs>
          <w:tab w:leader="none" w:pos="640"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Eligibility of Nominating Stockholder</w:t>
      </w:r>
      <w:r>
        <w:rPr>
          <w:rFonts w:ascii="Arial" w:cs="Arial" w:eastAsia="Arial" w:hAnsi="Arial"/>
          <w:sz w:val="19"/>
          <w:szCs w:val="19"/>
          <w:color w:val="auto"/>
        </w:rPr>
        <w:t>.</w:t>
      </w:r>
    </w:p>
    <w:p>
      <w:pPr>
        <w:spacing w:after="0" w:line="192" w:lineRule="exact"/>
        <w:rPr>
          <w:rFonts w:ascii="Arial" w:cs="Arial" w:eastAsia="Arial" w:hAnsi="Arial"/>
          <w:sz w:val="19"/>
          <w:szCs w:val="19"/>
          <w:color w:val="auto"/>
        </w:rPr>
      </w:pPr>
    </w:p>
    <w:p>
      <w:pPr>
        <w:ind w:right="40" w:firstLine="638"/>
        <w:spacing w:after="0" w:line="222" w:lineRule="auto"/>
        <w:tabs>
          <w:tab w:leader="none" w:pos="1272" w:val="left"/>
        </w:tabs>
        <w:numPr>
          <w:ilvl w:val="1"/>
          <w:numId w:val="51"/>
        </w:numPr>
        <w:rPr>
          <w:rFonts w:ascii="Arial" w:cs="Arial" w:eastAsia="Arial" w:hAnsi="Arial"/>
          <w:sz w:val="19"/>
          <w:szCs w:val="19"/>
          <w:color w:val="010000"/>
        </w:rPr>
      </w:pPr>
      <w:r>
        <w:rPr>
          <w:rFonts w:ascii="Arial" w:cs="Arial" w:eastAsia="Arial" w:hAnsi="Arial"/>
          <w:sz w:val="19"/>
          <w:szCs w:val="19"/>
          <w:color w:val="auto"/>
        </w:rPr>
        <w:t>An “Eligible Holder” is a person who has either (A) been a record holder of the shares of common stock used to satisfy the eligibility requirements in this Section 5(c) continuously for the three-year period specified in clause (c)(2) of this Section 5 below or (B) provided to the secretary of the corporation, within the time period referred to in Article I, Section 5(d) of these bylaws, evidence of such person’s continuous ownership of such shares for such three-year period from one or more securities intermediaries in a form that the board of directors determines would be deemed acceptable for purposes of a stockholder proposal under Rule 14a-8(b)(2) under the Exchange Act (or any successor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20"/>
        <w:spacing w:after="0"/>
        <w:rPr>
          <w:sz w:val="20"/>
          <w:szCs w:val="20"/>
          <w:color w:val="auto"/>
        </w:rPr>
      </w:pPr>
      <w:r>
        <w:rPr>
          <w:rFonts w:ascii="Arial" w:cs="Arial" w:eastAsia="Arial" w:hAnsi="Arial"/>
          <w:sz w:val="21"/>
          <w:szCs w:val="21"/>
          <w:color w:val="auto"/>
        </w:rPr>
        <w:t>-9-</w:t>
      </w:r>
    </w:p>
    <w:p>
      <w:pPr>
        <w:jc w:val="right"/>
        <w:spacing w:after="0"/>
        <w:rPr>
          <w:sz w:val="20"/>
          <w:szCs w:val="20"/>
          <w:color w:val="auto"/>
        </w:rPr>
      </w:pPr>
      <w:r>
        <w:rPr>
          <w:rFonts w:ascii="Arial" w:cs="Arial" w:eastAsia="Arial" w:hAnsi="Arial"/>
          <w:sz w:val="14"/>
          <w:szCs w:val="14"/>
          <w:color w:val="auto"/>
        </w:rPr>
        <w:t>4878-8402-9764.v3</w:t>
      </w:r>
    </w:p>
    <w:p>
      <w:pPr>
        <w:sectPr>
          <w:pgSz w:w="11900" w:h="16838" w:orient="portrait"/>
          <w:cols w:equalWidth="0" w:num="1">
            <w:col w:w="10600"/>
          </w:cols>
          <w:pgMar w:left="960" w:top="1440" w:right="339" w:bottom="1440" w:gutter="0" w:footer="0" w:header="0"/>
        </w:sectPr>
      </w:pPr>
    </w:p>
    <w:bookmarkStart w:id="94" w:name="page95"/>
    <w:bookmarkEnd w:id="94"/>
    <w:p>
      <w:pPr>
        <w:spacing w:after="0" w:line="200" w:lineRule="exact"/>
        <w:rPr>
          <w:sz w:val="20"/>
          <w:szCs w:val="20"/>
          <w:color w:val="auto"/>
        </w:rPr>
      </w:pPr>
    </w:p>
    <w:p>
      <w:pPr>
        <w:spacing w:after="0" w:line="378" w:lineRule="exact"/>
        <w:rPr>
          <w:sz w:val="20"/>
          <w:szCs w:val="20"/>
          <w:color w:val="auto"/>
        </w:rPr>
      </w:pPr>
    </w:p>
    <w:p>
      <w:pPr>
        <w:ind w:right="20" w:firstLine="638"/>
        <w:spacing w:after="0" w:line="230" w:lineRule="auto"/>
        <w:tabs>
          <w:tab w:leader="none" w:pos="1272" w:val="left"/>
        </w:tabs>
        <w:numPr>
          <w:ilvl w:val="0"/>
          <w:numId w:val="52"/>
        </w:numPr>
        <w:rPr>
          <w:rFonts w:ascii="Arial" w:cs="Arial" w:eastAsia="Arial" w:hAnsi="Arial"/>
          <w:sz w:val="18"/>
          <w:szCs w:val="18"/>
          <w:color w:val="010000"/>
        </w:rPr>
      </w:pPr>
      <w:r>
        <w:rPr>
          <w:rFonts w:ascii="Arial" w:cs="Arial" w:eastAsia="Arial" w:hAnsi="Arial"/>
          <w:sz w:val="18"/>
          <w:szCs w:val="18"/>
          <w:color w:val="auto"/>
        </w:rPr>
        <w:t>An Eligible Holder or group of up to 20 Eligible Holders may submit a nomination in accordance with this Section 5 only if the person or group (in the aggregate) has continuously owned at least the Minimum Number (as defined below) of shares of the corporation’s common stock throughout the three-year period preceding and including the date of submission of the Nomination Notice, and continues to own at least the Minimum Number through the date of the annual meeting. Two or more funds that are (x) under common management and investment control, (y) under common management and funded primarily by a single employer or (z) a “group of investment companies,” as such term is defined in Section 12(d)(1)(G)(ii) of the Investment Company Act of 1940, as amended (or any successor rule), shall be treated as one Eligible Holder if such Eligible Holder shall provide together with the Nomination Notice documentation reasonably satisfactory to the corporation that demonstrates that the funds meet the criteria set forth in (x), (y) or (z) hereof. For the avoidance of doubt, in the event of a nomination by a group of Eligible Holders, any and all requirements and obligations for an individual Eligible Holder that are set forth in this Section 5, including the minimum holding period, shall apply to each member of such group; provided, however, that the Minimum Number shall apply to the ownership of the group in the aggregate. Should any stockholder cease to satisfy the eligibility requirements in this Section 5, as determined by the board of directors, or withdraw from a group of Eligible Holders at any time prior to the annual meeting of stockholders, the group of Eligible Holders shall only be deemed to own the shares held by the remaining members of the group.</w:t>
      </w:r>
    </w:p>
    <w:p>
      <w:pPr>
        <w:spacing w:after="0" w:line="151" w:lineRule="exact"/>
        <w:rPr>
          <w:rFonts w:ascii="Arial" w:cs="Arial" w:eastAsia="Arial" w:hAnsi="Arial"/>
          <w:sz w:val="18"/>
          <w:szCs w:val="18"/>
          <w:color w:val="010000"/>
        </w:rPr>
      </w:pPr>
    </w:p>
    <w:p>
      <w:pPr>
        <w:ind w:right="160" w:firstLine="638"/>
        <w:spacing w:after="0" w:line="236" w:lineRule="auto"/>
        <w:tabs>
          <w:tab w:leader="none" w:pos="1272" w:val="left"/>
        </w:tabs>
        <w:numPr>
          <w:ilvl w:val="0"/>
          <w:numId w:val="52"/>
        </w:numPr>
        <w:rPr>
          <w:rFonts w:ascii="Arial" w:cs="Arial" w:eastAsia="Arial" w:hAnsi="Arial"/>
          <w:sz w:val="19"/>
          <w:szCs w:val="19"/>
          <w:color w:val="010000"/>
        </w:rPr>
      </w:pPr>
      <w:r>
        <w:rPr>
          <w:rFonts w:ascii="Arial" w:cs="Arial" w:eastAsia="Arial" w:hAnsi="Arial"/>
          <w:sz w:val="19"/>
          <w:szCs w:val="19"/>
          <w:color w:val="auto"/>
        </w:rPr>
        <w:t>The “Minimum Number” of shares of the corporation’s common stock means 3% of the number of outstanding shares of common stock as of the most recent date for which such amount is given in any filing by the corporation with the SEC prior to the submission of the Nomination Notice.</w:t>
      </w:r>
    </w:p>
    <w:p>
      <w:pPr>
        <w:spacing w:after="0" w:line="150" w:lineRule="exact"/>
        <w:rPr>
          <w:rFonts w:ascii="Arial" w:cs="Arial" w:eastAsia="Arial" w:hAnsi="Arial"/>
          <w:sz w:val="19"/>
          <w:szCs w:val="19"/>
          <w:color w:val="010000"/>
        </w:rPr>
      </w:pPr>
    </w:p>
    <w:p>
      <w:pPr>
        <w:ind w:right="120" w:firstLine="638"/>
        <w:spacing w:after="0" w:line="249" w:lineRule="auto"/>
        <w:tabs>
          <w:tab w:leader="none" w:pos="1272" w:val="left"/>
        </w:tabs>
        <w:numPr>
          <w:ilvl w:val="0"/>
          <w:numId w:val="52"/>
        </w:numPr>
        <w:rPr>
          <w:rFonts w:ascii="Arial" w:cs="Arial" w:eastAsia="Arial" w:hAnsi="Arial"/>
          <w:sz w:val="19"/>
          <w:szCs w:val="19"/>
          <w:color w:val="010000"/>
        </w:rPr>
      </w:pPr>
      <w:r>
        <w:rPr>
          <w:rFonts w:ascii="Arial" w:cs="Arial" w:eastAsia="Arial" w:hAnsi="Arial"/>
          <w:sz w:val="19"/>
          <w:szCs w:val="19"/>
          <w:color w:val="auto"/>
        </w:rPr>
        <w:t>For purposes of this Section 5, an Eligible Holder “owns” only those outstanding shares of the corporation as to which the Eligible Holder possesses both:</w:t>
      </w:r>
    </w:p>
    <w:p>
      <w:pPr>
        <w:spacing w:after="0" w:line="142" w:lineRule="exact"/>
        <w:rPr>
          <w:rFonts w:ascii="Arial" w:cs="Arial" w:eastAsia="Arial" w:hAnsi="Arial"/>
          <w:sz w:val="19"/>
          <w:szCs w:val="19"/>
          <w:color w:val="010000"/>
        </w:rPr>
      </w:pPr>
    </w:p>
    <w:p>
      <w:pPr>
        <w:ind w:left="1920" w:hanging="646"/>
        <w:spacing w:after="0"/>
        <w:tabs>
          <w:tab w:leader="none" w:pos="1920" w:val="left"/>
        </w:tabs>
        <w:numPr>
          <w:ilvl w:val="1"/>
          <w:numId w:val="52"/>
        </w:numPr>
        <w:rPr>
          <w:rFonts w:ascii="Arial" w:cs="Arial" w:eastAsia="Arial" w:hAnsi="Arial"/>
          <w:sz w:val="19"/>
          <w:szCs w:val="19"/>
          <w:color w:val="auto"/>
        </w:rPr>
      </w:pPr>
      <w:r>
        <w:rPr>
          <w:rFonts w:ascii="Arial" w:cs="Arial" w:eastAsia="Arial" w:hAnsi="Arial"/>
          <w:sz w:val="19"/>
          <w:szCs w:val="19"/>
          <w:color w:val="auto"/>
        </w:rPr>
        <w:t>the full voting and investment rights pertaining to the shares; and</w:t>
      </w:r>
    </w:p>
    <w:p>
      <w:pPr>
        <w:spacing w:after="0" w:line="192" w:lineRule="exact"/>
        <w:rPr>
          <w:rFonts w:ascii="Arial" w:cs="Arial" w:eastAsia="Arial" w:hAnsi="Arial"/>
          <w:sz w:val="19"/>
          <w:szCs w:val="19"/>
          <w:color w:val="auto"/>
        </w:rPr>
      </w:pPr>
    </w:p>
    <w:p>
      <w:pPr>
        <w:ind w:left="1920" w:hanging="646"/>
        <w:spacing w:after="0"/>
        <w:tabs>
          <w:tab w:leader="none" w:pos="1920" w:val="left"/>
        </w:tabs>
        <w:numPr>
          <w:ilvl w:val="1"/>
          <w:numId w:val="52"/>
        </w:numPr>
        <w:rPr>
          <w:rFonts w:ascii="Arial" w:cs="Arial" w:eastAsia="Arial" w:hAnsi="Arial"/>
          <w:sz w:val="19"/>
          <w:szCs w:val="19"/>
          <w:color w:val="auto"/>
        </w:rPr>
      </w:pPr>
      <w:r>
        <w:rPr>
          <w:rFonts w:ascii="Arial" w:cs="Arial" w:eastAsia="Arial" w:hAnsi="Arial"/>
          <w:sz w:val="19"/>
          <w:szCs w:val="19"/>
          <w:color w:val="auto"/>
        </w:rPr>
        <w:t>the full economic interest in (including the opportunity for profit and risk of loss on) such shares;</w:t>
      </w:r>
    </w:p>
    <w:p>
      <w:pPr>
        <w:spacing w:after="0" w:line="192"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provided that the number of shares calculated in accordance with clauses (A) and (B) shall not include any shares: (i) purchased or sold by such Eligible Holder or any of its affiliates in any transaction that has not been settled or closed, (ii) sold short by such Eligible</w:t>
      </w:r>
    </w:p>
    <w:p>
      <w:pPr>
        <w:spacing w:after="0" w:line="231" w:lineRule="auto"/>
        <w:rPr>
          <w:sz w:val="20"/>
          <w:szCs w:val="20"/>
          <w:color w:val="auto"/>
        </w:rPr>
      </w:pPr>
      <w:r>
        <w:rPr>
          <w:rFonts w:ascii="Arial" w:cs="Arial" w:eastAsia="Arial" w:hAnsi="Arial"/>
          <w:sz w:val="18"/>
          <w:szCs w:val="18"/>
          <w:color w:val="auto"/>
        </w:rPr>
        <w:t>Holder, (iii) borrowed by such Eligible Holder or any of its affiliates for any purpose or purchased by such Eligible Holder or any of its</w:t>
      </w:r>
    </w:p>
    <w:p>
      <w:pPr>
        <w:spacing w:after="0" w:line="1"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affiliates pursuant to an agreement to resell or subject to any other obligation to resell to another person, or (iv) subject to any option, warrant, forward contract, swap, contract of sale, other derivative or similar agreement entered into by such Eligible Holder or any of its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affiliates, whether any such instrument or agreement is to be settled with shares or with cash based on the notional amount or value of</w:t>
      </w:r>
    </w:p>
    <w:p>
      <w:pPr>
        <w:spacing w:after="0" w:line="3"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outstanding shares of the corporation, in any such case which instrument or agreement has, or is intended to have, the purpose or effect of (x) reducing in any manner, to any extent or at any time in the future, such Eligible Holder’s or any of its affiliates’ full right to vote</w:t>
      </w:r>
    </w:p>
    <w:p>
      <w:pPr>
        <w:spacing w:after="0" w:line="1" w:lineRule="exact"/>
        <w:rPr>
          <w:sz w:val="20"/>
          <w:szCs w:val="20"/>
          <w:color w:val="auto"/>
        </w:rPr>
      </w:pPr>
    </w:p>
    <w:p>
      <w:pPr>
        <w:ind w:right="720"/>
        <w:spacing w:after="0" w:line="236" w:lineRule="auto"/>
        <w:rPr>
          <w:sz w:val="20"/>
          <w:szCs w:val="20"/>
          <w:color w:val="auto"/>
        </w:rPr>
      </w:pPr>
      <w:r>
        <w:rPr>
          <w:rFonts w:ascii="Arial" w:cs="Arial" w:eastAsia="Arial" w:hAnsi="Arial"/>
          <w:sz w:val="19"/>
          <w:szCs w:val="19"/>
          <w:color w:val="auto"/>
        </w:rPr>
        <w:t>or direct the voting of any such shares, and/or (y) hedging, offsetting or altering to any degree, gain or loss arising from the full economic ownership of such shares by such Eligible Holder or any of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20"/>
        <w:spacing w:after="0"/>
        <w:rPr>
          <w:sz w:val="20"/>
          <w:szCs w:val="20"/>
          <w:color w:val="auto"/>
        </w:rPr>
      </w:pPr>
      <w:r>
        <w:rPr>
          <w:rFonts w:ascii="Arial" w:cs="Arial" w:eastAsia="Arial" w:hAnsi="Arial"/>
          <w:sz w:val="21"/>
          <w:szCs w:val="21"/>
          <w:color w:val="auto"/>
        </w:rPr>
        <w:t>-10-</w:t>
      </w:r>
    </w:p>
    <w:p>
      <w:pPr>
        <w:jc w:val="right"/>
        <w:spacing w:after="0"/>
        <w:rPr>
          <w:sz w:val="20"/>
          <w:szCs w:val="20"/>
          <w:color w:val="auto"/>
        </w:rPr>
      </w:pPr>
      <w:r>
        <w:rPr>
          <w:rFonts w:ascii="Arial" w:cs="Arial" w:eastAsia="Arial" w:hAnsi="Arial"/>
          <w:sz w:val="14"/>
          <w:szCs w:val="14"/>
          <w:color w:val="auto"/>
        </w:rPr>
        <w:t>4878-8402-9764.v3</w:t>
      </w:r>
    </w:p>
    <w:p>
      <w:pPr>
        <w:sectPr>
          <w:pgSz w:w="11900" w:h="16838" w:orient="portrait"/>
          <w:cols w:equalWidth="0" w:num="1">
            <w:col w:w="10600"/>
          </w:cols>
          <w:pgMar w:left="960" w:top="1440" w:right="339" w:bottom="1440" w:gutter="0" w:footer="0" w:header="0"/>
        </w:sectPr>
      </w:pPr>
    </w:p>
    <w:bookmarkStart w:id="95" w:name="page96"/>
    <w:bookmarkEnd w:id="95"/>
    <w:p>
      <w:pPr>
        <w:spacing w:after="0" w:line="200" w:lineRule="exact"/>
        <w:rPr>
          <w:sz w:val="20"/>
          <w:szCs w:val="20"/>
          <w:color w:val="auto"/>
        </w:rPr>
      </w:pPr>
    </w:p>
    <w:p>
      <w:pPr>
        <w:spacing w:after="0" w:line="37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An Eligible Holder “owns” shares held in the name of a nominee or other intermediary so long as the Eligible Holder retains the right to</w:t>
      </w:r>
    </w:p>
    <w:p>
      <w:pPr>
        <w:spacing w:after="0" w:line="19" w:lineRule="exact"/>
        <w:rPr>
          <w:sz w:val="20"/>
          <w:szCs w:val="20"/>
          <w:color w:val="auto"/>
        </w:rPr>
      </w:pPr>
    </w:p>
    <w:p>
      <w:pPr>
        <w:ind w:left="640" w:right="320"/>
        <w:spacing w:after="0" w:line="235" w:lineRule="auto"/>
        <w:rPr>
          <w:sz w:val="20"/>
          <w:szCs w:val="20"/>
          <w:color w:val="auto"/>
        </w:rPr>
      </w:pPr>
      <w:r>
        <w:rPr>
          <w:rFonts w:ascii="Arial" w:cs="Arial" w:eastAsia="Arial" w:hAnsi="Arial"/>
          <w:sz w:val="17"/>
          <w:szCs w:val="17"/>
          <w:color w:val="auto"/>
        </w:rPr>
        <w:t>instruct how the shares are voted with respect to the election of directors and possesses the full economic interest in the shares. An Eligible Holder’s ownership of shares shall be deemed to continue during any period in which the Eligible Holder has delegated any</w:t>
      </w:r>
    </w:p>
    <w:p>
      <w:pPr>
        <w:ind w:left="640"/>
        <w:spacing w:after="0" w:line="232" w:lineRule="auto"/>
        <w:rPr>
          <w:sz w:val="20"/>
          <w:szCs w:val="20"/>
          <w:color w:val="auto"/>
        </w:rPr>
      </w:pPr>
      <w:r>
        <w:rPr>
          <w:rFonts w:ascii="Arial" w:cs="Arial" w:eastAsia="Arial" w:hAnsi="Arial"/>
          <w:sz w:val="18"/>
          <w:szCs w:val="18"/>
          <w:color w:val="auto"/>
        </w:rPr>
        <w:t>voting power by means of a proxy, power of attorney, or other similar instrument or arrangement that is revocable at any time by the</w:t>
      </w:r>
    </w:p>
    <w:p>
      <w:pPr>
        <w:ind w:left="640" w:right="180"/>
        <w:spacing w:after="0" w:line="235" w:lineRule="auto"/>
        <w:rPr>
          <w:sz w:val="20"/>
          <w:szCs w:val="20"/>
          <w:color w:val="auto"/>
        </w:rPr>
      </w:pPr>
      <w:r>
        <w:rPr>
          <w:rFonts w:ascii="Arial" w:cs="Arial" w:eastAsia="Arial" w:hAnsi="Arial"/>
          <w:sz w:val="17"/>
          <w:szCs w:val="17"/>
          <w:color w:val="auto"/>
        </w:rPr>
        <w:t>Eligible Holder. An Eligible Holder’s ownership of shares shall be deemed to continue during any period in which the Eligible Holder has loaned such shares provided that the Eligible Holder has the power to recall such loaned shares on three business days’ notice, has</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recalled such loaned shares as of the date of the Nomination Notice and continues to hold such shares through the date of the annual</w:t>
      </w:r>
    </w:p>
    <w:p>
      <w:pPr>
        <w:spacing w:after="0" w:line="3" w:lineRule="exact"/>
        <w:rPr>
          <w:sz w:val="20"/>
          <w:szCs w:val="20"/>
          <w:color w:val="auto"/>
        </w:rPr>
      </w:pPr>
    </w:p>
    <w:p>
      <w:pPr>
        <w:ind w:left="640" w:right="200"/>
        <w:spacing w:after="0" w:line="228" w:lineRule="auto"/>
        <w:rPr>
          <w:sz w:val="20"/>
          <w:szCs w:val="20"/>
          <w:color w:val="auto"/>
        </w:rPr>
      </w:pPr>
      <w:r>
        <w:rPr>
          <w:rFonts w:ascii="Arial" w:cs="Arial" w:eastAsia="Arial" w:hAnsi="Arial"/>
          <w:sz w:val="19"/>
          <w:szCs w:val="19"/>
          <w:color w:val="auto"/>
        </w:rPr>
        <w:t>meeting. The terms “owned,” “owning” and other variations of the word “own” shall have correlative meanings. Whether outstanding shares of the corporation are “owned” for these purposes shall be determined by the board of directors.</w:t>
      </w:r>
    </w:p>
    <w:p>
      <w:pPr>
        <w:spacing w:after="0" w:line="165" w:lineRule="exact"/>
        <w:rPr>
          <w:sz w:val="20"/>
          <w:szCs w:val="20"/>
          <w:color w:val="auto"/>
        </w:rPr>
      </w:pPr>
    </w:p>
    <w:p>
      <w:pPr>
        <w:ind w:left="640" w:right="180" w:firstLine="638"/>
        <w:spacing w:after="0" w:line="231" w:lineRule="auto"/>
        <w:tabs>
          <w:tab w:leader="none" w:pos="1912" w:val="left"/>
        </w:tabs>
        <w:numPr>
          <w:ilvl w:val="1"/>
          <w:numId w:val="53"/>
        </w:numPr>
        <w:rPr>
          <w:rFonts w:ascii="Arial" w:cs="Arial" w:eastAsia="Arial" w:hAnsi="Arial"/>
          <w:sz w:val="19"/>
          <w:szCs w:val="19"/>
          <w:color w:val="010000"/>
        </w:rPr>
      </w:pPr>
      <w:r>
        <w:rPr>
          <w:rFonts w:ascii="Arial" w:cs="Arial" w:eastAsia="Arial" w:hAnsi="Arial"/>
          <w:sz w:val="19"/>
          <w:szCs w:val="19"/>
          <w:color w:val="auto"/>
        </w:rPr>
        <w:t>No Eligible Holder shall be permitted to be in more than one group constituting a Nominating Stockholder, and if any Eligible Holder appears as a member of more than one group, it shall be deemed to be a member of the group that has the largest ownership position as reflected in the Nomination Notice.</w:t>
      </w:r>
    </w:p>
    <w:p>
      <w:pPr>
        <w:spacing w:after="0" w:line="164" w:lineRule="exact"/>
        <w:rPr>
          <w:rFonts w:ascii="Arial" w:cs="Arial" w:eastAsia="Arial" w:hAnsi="Arial"/>
          <w:sz w:val="19"/>
          <w:szCs w:val="19"/>
          <w:color w:val="010000"/>
        </w:rPr>
      </w:pPr>
    </w:p>
    <w:p>
      <w:pPr>
        <w:ind w:right="60" w:firstLine="642"/>
        <w:spacing w:after="0" w:line="231" w:lineRule="auto"/>
        <w:tabs>
          <w:tab w:leader="none" w:pos="1272"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Nomination Notice</w:t>
      </w:r>
      <w:r>
        <w:rPr>
          <w:rFonts w:ascii="Arial" w:cs="Arial" w:eastAsia="Arial" w:hAnsi="Arial"/>
          <w:sz w:val="18"/>
          <w:szCs w:val="18"/>
          <w:color w:val="auto"/>
        </w:rPr>
        <w:t>. To nominate a Nominee, the Nominating Stockholder must, no earlier than 150 calendar days and no later than 120 calendar days before the anniversary of the date that the corporation mailed its proxy statement for the prior year’s annual meeting of stockholders, submit to the secretary of the corporation at the principal executive office of the corporation all of the following information and documents (collectively, the “Nomination Notice”); provided, however, that if (and only if) the annual meeting is not scheduled to be held within a period that commences 30 days before the anniversary date of the prior year’s annual meeting of stockholders and ends 60 days after such anniversary date (an annual meeting date outside such period being referred to herein as an “Other Meeting Date”), the Nomination Notice shall be given in the manner provided herein by the later of the close of business on the date that is 180 days prior to such Other Meeting Date or the tenth day following the date such Other Meeting Date is first publicly announced or disclosed:</w:t>
      </w:r>
    </w:p>
    <w:p>
      <w:pPr>
        <w:spacing w:after="0" w:line="168" w:lineRule="exact"/>
        <w:rPr>
          <w:rFonts w:ascii="Arial" w:cs="Arial" w:eastAsia="Arial" w:hAnsi="Arial"/>
          <w:sz w:val="18"/>
          <w:szCs w:val="18"/>
          <w:color w:val="auto"/>
        </w:rPr>
      </w:pPr>
    </w:p>
    <w:p>
      <w:pPr>
        <w:ind w:left="640" w:right="280" w:firstLine="638"/>
        <w:spacing w:after="0" w:line="249" w:lineRule="auto"/>
        <w:tabs>
          <w:tab w:leader="none" w:pos="1912" w:val="left"/>
        </w:tabs>
        <w:numPr>
          <w:ilvl w:val="1"/>
          <w:numId w:val="54"/>
        </w:numPr>
        <w:rPr>
          <w:rFonts w:ascii="Arial" w:cs="Arial" w:eastAsia="Arial" w:hAnsi="Arial"/>
          <w:sz w:val="19"/>
          <w:szCs w:val="19"/>
          <w:color w:val="010000"/>
        </w:rPr>
      </w:pPr>
      <w:r>
        <w:rPr>
          <w:rFonts w:ascii="Arial" w:cs="Arial" w:eastAsia="Arial" w:hAnsi="Arial"/>
          <w:sz w:val="19"/>
          <w:szCs w:val="19"/>
          <w:color w:val="auto"/>
        </w:rPr>
        <w:t>A copy of the Schedule 14N (or any successor form) relating to each Nominee, completed and filed with the SEC by the Nominating Stockholder as applicable, in accordance with SEC rules;</w:t>
      </w:r>
    </w:p>
    <w:p>
      <w:pPr>
        <w:spacing w:after="0" w:line="142" w:lineRule="exact"/>
        <w:rPr>
          <w:rFonts w:ascii="Arial" w:cs="Arial" w:eastAsia="Arial" w:hAnsi="Arial"/>
          <w:sz w:val="19"/>
          <w:szCs w:val="19"/>
          <w:color w:val="010000"/>
        </w:rPr>
      </w:pPr>
    </w:p>
    <w:p>
      <w:pPr>
        <w:ind w:left="640" w:right="100" w:firstLine="638"/>
        <w:spacing w:after="0" w:line="249" w:lineRule="auto"/>
        <w:tabs>
          <w:tab w:leader="none" w:pos="1912" w:val="left"/>
        </w:tabs>
        <w:numPr>
          <w:ilvl w:val="1"/>
          <w:numId w:val="54"/>
        </w:numPr>
        <w:rPr>
          <w:rFonts w:ascii="Arial" w:cs="Arial" w:eastAsia="Arial" w:hAnsi="Arial"/>
          <w:sz w:val="19"/>
          <w:szCs w:val="19"/>
          <w:color w:val="010000"/>
        </w:rPr>
      </w:pPr>
      <w:r>
        <w:rPr>
          <w:rFonts w:ascii="Arial" w:cs="Arial" w:eastAsia="Arial" w:hAnsi="Arial"/>
          <w:sz w:val="19"/>
          <w:szCs w:val="19"/>
          <w:color w:val="auto"/>
        </w:rPr>
        <w:t>The written consent of each Nominee to being named in the corporation’s proxy statement, form of proxy and ballot as a nominee and to serving as a director, if elected</w:t>
      </w:r>
    </w:p>
    <w:p>
      <w:pPr>
        <w:spacing w:after="0" w:line="156" w:lineRule="exact"/>
        <w:rPr>
          <w:rFonts w:ascii="Arial" w:cs="Arial" w:eastAsia="Arial" w:hAnsi="Arial"/>
          <w:sz w:val="19"/>
          <w:szCs w:val="19"/>
          <w:color w:val="010000"/>
        </w:rPr>
      </w:pPr>
    </w:p>
    <w:p>
      <w:pPr>
        <w:ind w:left="640" w:right="340" w:firstLine="638"/>
        <w:spacing w:after="0" w:line="237" w:lineRule="auto"/>
        <w:tabs>
          <w:tab w:leader="none" w:pos="1912" w:val="left"/>
        </w:tabs>
        <w:numPr>
          <w:ilvl w:val="1"/>
          <w:numId w:val="54"/>
        </w:numPr>
        <w:rPr>
          <w:rFonts w:ascii="Arial" w:cs="Arial" w:eastAsia="Arial" w:hAnsi="Arial"/>
          <w:sz w:val="19"/>
          <w:szCs w:val="19"/>
          <w:color w:val="010000"/>
        </w:rPr>
      </w:pPr>
      <w:r>
        <w:rPr>
          <w:rFonts w:ascii="Arial" w:cs="Arial" w:eastAsia="Arial" w:hAnsi="Arial"/>
          <w:sz w:val="19"/>
          <w:szCs w:val="19"/>
          <w:color w:val="auto"/>
        </w:rPr>
        <w:t>As to each Nominating Stockholder and any interested persons, the stockholder information (as defined in Article I, Section 4(d)(i) of these bylaws)</w:t>
      </w:r>
    </w:p>
    <w:p>
      <w:pPr>
        <w:spacing w:after="0" w:line="164" w:lineRule="exact"/>
        <w:rPr>
          <w:rFonts w:ascii="Arial" w:cs="Arial" w:eastAsia="Arial" w:hAnsi="Arial"/>
          <w:sz w:val="19"/>
          <w:szCs w:val="19"/>
          <w:color w:val="010000"/>
        </w:rPr>
      </w:pPr>
    </w:p>
    <w:p>
      <w:pPr>
        <w:ind w:left="640" w:right="300" w:firstLine="638"/>
        <w:spacing w:after="0" w:line="231" w:lineRule="auto"/>
        <w:tabs>
          <w:tab w:leader="none" w:pos="1912" w:val="left"/>
        </w:tabs>
        <w:numPr>
          <w:ilvl w:val="1"/>
          <w:numId w:val="54"/>
        </w:numPr>
        <w:rPr>
          <w:rFonts w:ascii="Arial" w:cs="Arial" w:eastAsia="Arial" w:hAnsi="Arial"/>
          <w:sz w:val="19"/>
          <w:szCs w:val="19"/>
          <w:color w:val="010000"/>
        </w:rPr>
      </w:pPr>
      <w:r>
        <w:rPr>
          <w:rFonts w:ascii="Arial" w:cs="Arial" w:eastAsia="Arial" w:hAnsi="Arial"/>
          <w:sz w:val="19"/>
          <w:szCs w:val="19"/>
          <w:color w:val="auto"/>
        </w:rPr>
        <w:t>A written notice, in a form deemed satisfactory by the board of directors, of the nomination of each Nominee that includes the following additional information, agreements, representations and warranties by the Nominating Stockholder (including each group member):</w:t>
      </w:r>
    </w:p>
    <w:p>
      <w:pPr>
        <w:spacing w:after="0" w:line="164" w:lineRule="exact"/>
        <w:rPr>
          <w:rFonts w:ascii="Arial" w:cs="Arial" w:eastAsia="Arial" w:hAnsi="Arial"/>
          <w:sz w:val="19"/>
          <w:szCs w:val="19"/>
          <w:color w:val="010000"/>
        </w:rPr>
      </w:pPr>
    </w:p>
    <w:p>
      <w:pPr>
        <w:ind w:left="2560" w:hanging="646"/>
        <w:spacing w:after="0"/>
        <w:tabs>
          <w:tab w:leader="none" w:pos="2560" w:val="left"/>
        </w:tabs>
        <w:numPr>
          <w:ilvl w:val="2"/>
          <w:numId w:val="54"/>
        </w:numPr>
        <w:rPr>
          <w:rFonts w:ascii="Arial" w:cs="Arial" w:eastAsia="Arial" w:hAnsi="Arial"/>
          <w:sz w:val="18"/>
          <w:szCs w:val="18"/>
          <w:color w:val="auto"/>
        </w:rPr>
      </w:pPr>
      <w:r>
        <w:rPr>
          <w:rFonts w:ascii="Arial" w:cs="Arial" w:eastAsia="Arial" w:hAnsi="Arial"/>
          <w:sz w:val="18"/>
          <w:szCs w:val="18"/>
          <w:color w:val="auto"/>
        </w:rPr>
        <w:t>as to each Nominee, the nomination information (as defined in Article I, Section 4(d)(ii) of these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19"/>
        <w:spacing w:after="0"/>
        <w:rPr>
          <w:sz w:val="20"/>
          <w:szCs w:val="20"/>
          <w:color w:val="auto"/>
        </w:rPr>
      </w:pPr>
      <w:r>
        <w:rPr>
          <w:rFonts w:ascii="Arial" w:cs="Arial" w:eastAsia="Arial" w:hAnsi="Arial"/>
          <w:sz w:val="21"/>
          <w:szCs w:val="21"/>
          <w:color w:val="auto"/>
        </w:rPr>
        <w:t>-11-</w:t>
      </w:r>
    </w:p>
    <w:p>
      <w:pPr>
        <w:jc w:val="right"/>
        <w:spacing w:after="0"/>
        <w:rPr>
          <w:sz w:val="20"/>
          <w:szCs w:val="20"/>
          <w:color w:val="auto"/>
        </w:rPr>
      </w:pPr>
      <w:r>
        <w:rPr>
          <w:rFonts w:ascii="Arial" w:cs="Arial" w:eastAsia="Arial" w:hAnsi="Arial"/>
          <w:sz w:val="14"/>
          <w:szCs w:val="14"/>
          <w:color w:val="auto"/>
        </w:rPr>
        <w:t>4878-8402-9764.v3</w:t>
      </w:r>
    </w:p>
    <w:p>
      <w:pPr>
        <w:sectPr>
          <w:pgSz w:w="11900" w:h="16838" w:orient="portrait"/>
          <w:cols w:equalWidth="0" w:num="1">
            <w:col w:w="11240"/>
          </w:cols>
          <w:pgMar w:left="320" w:top="1440" w:right="339" w:bottom="1440" w:gutter="0" w:footer="0" w:header="0"/>
        </w:sectPr>
      </w:pPr>
    </w:p>
    <w:bookmarkStart w:id="96" w:name="page97"/>
    <w:bookmarkEnd w:id="96"/>
    <w:p>
      <w:pPr>
        <w:spacing w:after="0" w:line="200" w:lineRule="exact"/>
        <w:rPr>
          <w:sz w:val="20"/>
          <w:szCs w:val="20"/>
          <w:color w:val="auto"/>
        </w:rPr>
      </w:pPr>
    </w:p>
    <w:p>
      <w:pPr>
        <w:spacing w:after="0" w:line="378" w:lineRule="exact"/>
        <w:rPr>
          <w:sz w:val="20"/>
          <w:szCs w:val="20"/>
          <w:color w:val="auto"/>
        </w:rPr>
      </w:pPr>
    </w:p>
    <w:p>
      <w:pPr>
        <w:ind w:left="160" w:right="480" w:firstLine="634"/>
        <w:spacing w:after="0" w:line="307" w:lineRule="auto"/>
        <w:tabs>
          <w:tab w:leader="none" w:pos="1432" w:val="left"/>
        </w:tabs>
        <w:numPr>
          <w:ilvl w:val="1"/>
          <w:numId w:val="55"/>
        </w:numPr>
        <w:rPr>
          <w:rFonts w:ascii="Arial" w:cs="Arial" w:eastAsia="Arial" w:hAnsi="Arial"/>
          <w:sz w:val="17"/>
          <w:szCs w:val="17"/>
          <w:color w:val="auto"/>
        </w:rPr>
      </w:pPr>
      <w:r>
        <w:rPr>
          <w:rFonts w:ascii="Arial" w:cs="Arial" w:eastAsia="Arial" w:hAnsi="Arial"/>
          <w:sz w:val="17"/>
          <w:szCs w:val="17"/>
          <w:color w:val="auto"/>
        </w:rPr>
        <w:t>the details of any relationship that existed within the past three years and that would have been described pursuant to Item 6(e) of Schedule 14N (or any successor item) if it existed on the date of submission of the Schedule 14N;</w:t>
      </w:r>
    </w:p>
    <w:p>
      <w:pPr>
        <w:spacing w:after="0" w:line="96" w:lineRule="exact"/>
        <w:rPr>
          <w:rFonts w:ascii="Arial" w:cs="Arial" w:eastAsia="Arial" w:hAnsi="Arial"/>
          <w:sz w:val="17"/>
          <w:szCs w:val="17"/>
          <w:color w:val="auto"/>
        </w:rPr>
      </w:pPr>
    </w:p>
    <w:p>
      <w:pPr>
        <w:ind w:left="160" w:right="80" w:firstLine="634"/>
        <w:spacing w:after="0" w:line="236" w:lineRule="auto"/>
        <w:tabs>
          <w:tab w:leader="none" w:pos="1432" w:val="left"/>
        </w:tabs>
        <w:numPr>
          <w:ilvl w:val="1"/>
          <w:numId w:val="55"/>
        </w:numPr>
        <w:rPr>
          <w:rFonts w:ascii="Arial" w:cs="Arial" w:eastAsia="Arial" w:hAnsi="Arial"/>
          <w:sz w:val="19"/>
          <w:szCs w:val="19"/>
          <w:color w:val="auto"/>
        </w:rPr>
      </w:pPr>
      <w:r>
        <w:rPr>
          <w:rFonts w:ascii="Arial" w:cs="Arial" w:eastAsia="Arial" w:hAnsi="Arial"/>
          <w:sz w:val="19"/>
          <w:szCs w:val="19"/>
          <w:color w:val="auto"/>
        </w:rPr>
        <w:t>a representation and warranty that the Nominating Stockholder acquired the securities of the corporation in the ordinary course of business and did not acquire, and is not holding, securities of the corporation for the purpose or with the effect of influencing or changing control of the corporation;</w:t>
      </w:r>
    </w:p>
    <w:p>
      <w:pPr>
        <w:spacing w:after="0" w:line="150" w:lineRule="exact"/>
        <w:rPr>
          <w:rFonts w:ascii="Arial" w:cs="Arial" w:eastAsia="Arial" w:hAnsi="Arial"/>
          <w:sz w:val="19"/>
          <w:szCs w:val="19"/>
          <w:color w:val="auto"/>
        </w:rPr>
      </w:pPr>
    </w:p>
    <w:p>
      <w:pPr>
        <w:jc w:val="both"/>
        <w:ind w:left="160" w:right="520" w:firstLine="634"/>
        <w:spacing w:after="0" w:line="307" w:lineRule="auto"/>
        <w:tabs>
          <w:tab w:leader="none" w:pos="1432" w:val="left"/>
        </w:tabs>
        <w:numPr>
          <w:ilvl w:val="1"/>
          <w:numId w:val="55"/>
        </w:numPr>
        <w:rPr>
          <w:rFonts w:ascii="Arial" w:cs="Arial" w:eastAsia="Arial" w:hAnsi="Arial"/>
          <w:sz w:val="17"/>
          <w:szCs w:val="17"/>
          <w:color w:val="auto"/>
        </w:rPr>
      </w:pPr>
      <w:r>
        <w:rPr>
          <w:rFonts w:ascii="Arial" w:cs="Arial" w:eastAsia="Arial" w:hAnsi="Arial"/>
          <w:sz w:val="17"/>
          <w:szCs w:val="17"/>
          <w:color w:val="auto"/>
        </w:rPr>
        <w:t>a representation and warranty that each Nominee’s candidacy or, if elected, board membership would not violate applicable state or federal law or the rules of any stock exchange on which the corporation’s securities are traded;</w:t>
      </w:r>
    </w:p>
    <w:p>
      <w:pPr>
        <w:spacing w:after="0" w:line="109" w:lineRule="exact"/>
        <w:rPr>
          <w:rFonts w:ascii="Arial" w:cs="Arial" w:eastAsia="Arial" w:hAnsi="Arial"/>
          <w:sz w:val="17"/>
          <w:szCs w:val="17"/>
          <w:color w:val="auto"/>
        </w:rPr>
      </w:pPr>
    </w:p>
    <w:p>
      <w:pPr>
        <w:ind w:left="1440" w:hanging="646"/>
        <w:spacing w:after="0"/>
        <w:tabs>
          <w:tab w:leader="none" w:pos="1440" w:val="left"/>
        </w:tabs>
        <w:numPr>
          <w:ilvl w:val="1"/>
          <w:numId w:val="55"/>
        </w:numPr>
        <w:rPr>
          <w:rFonts w:ascii="Arial" w:cs="Arial" w:eastAsia="Arial" w:hAnsi="Arial"/>
          <w:sz w:val="19"/>
          <w:szCs w:val="19"/>
          <w:color w:val="auto"/>
        </w:rPr>
      </w:pPr>
      <w:r>
        <w:rPr>
          <w:rFonts w:ascii="Arial" w:cs="Arial" w:eastAsia="Arial" w:hAnsi="Arial"/>
          <w:sz w:val="19"/>
          <w:szCs w:val="19"/>
          <w:color w:val="auto"/>
        </w:rPr>
        <w:t>a representation and warranty that each Nominee:</w:t>
      </w:r>
    </w:p>
    <w:p>
      <w:pPr>
        <w:spacing w:after="0" w:line="179" w:lineRule="exact"/>
        <w:rPr>
          <w:rFonts w:ascii="Arial" w:cs="Arial" w:eastAsia="Arial" w:hAnsi="Arial"/>
          <w:sz w:val="19"/>
          <w:szCs w:val="19"/>
          <w:color w:val="auto"/>
        </w:rPr>
      </w:pPr>
    </w:p>
    <w:p>
      <w:pPr>
        <w:ind w:left="2060" w:right="140" w:firstLine="6"/>
        <w:spacing w:after="0" w:line="227" w:lineRule="auto"/>
        <w:tabs>
          <w:tab w:leader="none" w:pos="2437" w:val="left"/>
        </w:tabs>
        <w:numPr>
          <w:ilvl w:val="2"/>
          <w:numId w:val="55"/>
        </w:numPr>
        <w:rPr>
          <w:rFonts w:ascii="Arial" w:cs="Arial" w:eastAsia="Arial" w:hAnsi="Arial"/>
          <w:sz w:val="19"/>
          <w:szCs w:val="19"/>
          <w:color w:val="auto"/>
        </w:rPr>
      </w:pPr>
      <w:r>
        <w:rPr>
          <w:rFonts w:ascii="Arial" w:cs="Arial" w:eastAsia="Arial" w:hAnsi="Arial"/>
          <w:sz w:val="19"/>
          <w:szCs w:val="19"/>
          <w:color w:val="auto"/>
        </w:rPr>
        <w:t>does not have any direct or indirect relationship with the corporation that would cause the Nominee to be considered not independent pursuant to the corporation’s Corporate Governance Guidelines as most recently published on its website and otherwise qualifies as independent under the independence standards;</w:t>
      </w:r>
    </w:p>
    <w:p>
      <w:pPr>
        <w:spacing w:after="0" w:line="167" w:lineRule="exact"/>
        <w:rPr>
          <w:rFonts w:ascii="Arial" w:cs="Arial" w:eastAsia="Arial" w:hAnsi="Arial"/>
          <w:sz w:val="19"/>
          <w:szCs w:val="19"/>
          <w:color w:val="auto"/>
        </w:rPr>
      </w:pPr>
    </w:p>
    <w:p>
      <w:pPr>
        <w:ind w:left="2060" w:right="300" w:firstLine="6"/>
        <w:spacing w:after="0" w:line="249" w:lineRule="auto"/>
        <w:tabs>
          <w:tab w:leader="none" w:pos="2491" w:val="left"/>
        </w:tabs>
        <w:numPr>
          <w:ilvl w:val="2"/>
          <w:numId w:val="55"/>
        </w:numPr>
        <w:rPr>
          <w:rFonts w:ascii="Arial" w:cs="Arial" w:eastAsia="Arial" w:hAnsi="Arial"/>
          <w:sz w:val="19"/>
          <w:szCs w:val="19"/>
          <w:color w:val="auto"/>
        </w:rPr>
      </w:pPr>
      <w:r>
        <w:rPr>
          <w:rFonts w:ascii="Arial" w:cs="Arial" w:eastAsia="Arial" w:hAnsi="Arial"/>
          <w:sz w:val="19"/>
          <w:szCs w:val="19"/>
          <w:color w:val="auto"/>
        </w:rPr>
        <w:t>meets the audit committee and compensation committee independence requirements under the independence standards;</w:t>
      </w:r>
    </w:p>
    <w:p>
      <w:pPr>
        <w:spacing w:after="0" w:line="142" w:lineRule="exact"/>
        <w:rPr>
          <w:rFonts w:ascii="Arial" w:cs="Arial" w:eastAsia="Arial" w:hAnsi="Arial"/>
          <w:sz w:val="19"/>
          <w:szCs w:val="19"/>
          <w:color w:val="auto"/>
        </w:rPr>
      </w:pPr>
    </w:p>
    <w:p>
      <w:pPr>
        <w:ind w:left="2060" w:right="380" w:firstLine="6"/>
        <w:spacing w:after="0" w:line="249" w:lineRule="auto"/>
        <w:tabs>
          <w:tab w:leader="none" w:pos="2545" w:val="left"/>
        </w:tabs>
        <w:numPr>
          <w:ilvl w:val="2"/>
          <w:numId w:val="55"/>
        </w:numPr>
        <w:rPr>
          <w:rFonts w:ascii="Arial" w:cs="Arial" w:eastAsia="Arial" w:hAnsi="Arial"/>
          <w:sz w:val="19"/>
          <w:szCs w:val="19"/>
          <w:color w:val="auto"/>
        </w:rPr>
      </w:pPr>
      <w:r>
        <w:rPr>
          <w:rFonts w:ascii="Arial" w:cs="Arial" w:eastAsia="Arial" w:hAnsi="Arial"/>
          <w:sz w:val="19"/>
          <w:szCs w:val="19"/>
          <w:color w:val="auto"/>
        </w:rPr>
        <w:t>is a “non-employee director” for the purposes of Rule 16b-3 under the Exchange Act (or any successor rule);</w:t>
      </w:r>
    </w:p>
    <w:p>
      <w:pPr>
        <w:spacing w:after="0" w:line="156" w:lineRule="exact"/>
        <w:rPr>
          <w:rFonts w:ascii="Arial" w:cs="Arial" w:eastAsia="Arial" w:hAnsi="Arial"/>
          <w:sz w:val="19"/>
          <w:szCs w:val="19"/>
          <w:color w:val="auto"/>
        </w:rPr>
      </w:pPr>
    </w:p>
    <w:p>
      <w:pPr>
        <w:ind w:left="2060" w:right="80" w:firstLine="6"/>
        <w:spacing w:after="0" w:line="237" w:lineRule="auto"/>
        <w:tabs>
          <w:tab w:leader="none" w:pos="2535" w:val="left"/>
        </w:tabs>
        <w:numPr>
          <w:ilvl w:val="2"/>
          <w:numId w:val="55"/>
        </w:numPr>
        <w:rPr>
          <w:rFonts w:ascii="Arial" w:cs="Arial" w:eastAsia="Arial" w:hAnsi="Arial"/>
          <w:sz w:val="19"/>
          <w:szCs w:val="19"/>
          <w:color w:val="auto"/>
        </w:rPr>
      </w:pPr>
      <w:r>
        <w:rPr>
          <w:rFonts w:ascii="Arial" w:cs="Arial" w:eastAsia="Arial" w:hAnsi="Arial"/>
          <w:sz w:val="19"/>
          <w:szCs w:val="19"/>
          <w:color w:val="auto"/>
        </w:rPr>
        <w:t>is an “outside director” for the purposes of Section 162(m) of the Internal Revenue Code (or any successor provision); and</w:t>
      </w:r>
    </w:p>
    <w:p>
      <w:pPr>
        <w:spacing w:after="0" w:line="164" w:lineRule="exact"/>
        <w:rPr>
          <w:rFonts w:ascii="Arial" w:cs="Arial" w:eastAsia="Arial" w:hAnsi="Arial"/>
          <w:sz w:val="19"/>
          <w:szCs w:val="19"/>
          <w:color w:val="auto"/>
        </w:rPr>
      </w:pPr>
    </w:p>
    <w:p>
      <w:pPr>
        <w:jc w:val="both"/>
        <w:ind w:left="2060" w:right="40" w:firstLine="6"/>
        <w:spacing w:after="0" w:line="227" w:lineRule="auto"/>
        <w:tabs>
          <w:tab w:leader="none" w:pos="2481" w:val="left"/>
        </w:tabs>
        <w:numPr>
          <w:ilvl w:val="2"/>
          <w:numId w:val="55"/>
        </w:numPr>
        <w:rPr>
          <w:rFonts w:ascii="Arial" w:cs="Arial" w:eastAsia="Arial" w:hAnsi="Arial"/>
          <w:sz w:val="19"/>
          <w:szCs w:val="19"/>
          <w:color w:val="auto"/>
        </w:rPr>
      </w:pPr>
      <w:r>
        <w:rPr>
          <w:rFonts w:ascii="Arial" w:cs="Arial" w:eastAsia="Arial" w:hAnsi="Arial"/>
          <w:sz w:val="19"/>
          <w:szCs w:val="19"/>
          <w:color w:val="auto"/>
        </w:rPr>
        <w:t>is not and has not been subject to any event specified in Rule 506(d)(1) of Regulation D (or any successor rule) under the Securities Act of 1933 (the “Securities Act”) or Item 401(f) of Regulation S-K (or any successor rule) under the Exchange Act, without reference to whether the event is material to an evaluation of the ability or integrity of such Nominee;</w:t>
      </w:r>
    </w:p>
    <w:p>
      <w:pPr>
        <w:spacing w:after="0" w:line="153" w:lineRule="exact"/>
        <w:rPr>
          <w:rFonts w:ascii="Arial" w:cs="Arial" w:eastAsia="Arial" w:hAnsi="Arial"/>
          <w:sz w:val="19"/>
          <w:szCs w:val="19"/>
          <w:color w:val="auto"/>
        </w:rPr>
      </w:pPr>
    </w:p>
    <w:p>
      <w:pPr>
        <w:ind w:left="160" w:right="80" w:firstLine="634"/>
        <w:spacing w:after="0" w:line="253" w:lineRule="auto"/>
        <w:tabs>
          <w:tab w:leader="none" w:pos="1432" w:val="left"/>
        </w:tabs>
        <w:numPr>
          <w:ilvl w:val="1"/>
          <w:numId w:val="55"/>
        </w:numPr>
        <w:rPr>
          <w:rFonts w:ascii="Arial" w:cs="Arial" w:eastAsia="Arial" w:hAnsi="Arial"/>
          <w:sz w:val="17"/>
          <w:szCs w:val="17"/>
          <w:color w:val="auto"/>
        </w:rPr>
      </w:pPr>
      <w:r>
        <w:rPr>
          <w:rFonts w:ascii="Arial" w:cs="Arial" w:eastAsia="Arial" w:hAnsi="Arial"/>
          <w:sz w:val="17"/>
          <w:szCs w:val="17"/>
          <w:color w:val="auto"/>
        </w:rPr>
        <w:t>a representation and warranty that the Nominating Stockholder satisfies the eligibility requirements set forth in Article I, Section 5(c) of these bylaws and has provided evidence of ownership to the extent required by Article I, Section 5(c)</w:t>
      </w:r>
    </w:p>
    <w:p>
      <w:pPr>
        <w:spacing w:after="0" w:line="1" w:lineRule="exact"/>
        <w:rPr>
          <w:rFonts w:ascii="Arial" w:cs="Arial" w:eastAsia="Arial" w:hAnsi="Arial"/>
          <w:sz w:val="17"/>
          <w:szCs w:val="17"/>
          <w:color w:val="auto"/>
        </w:rPr>
      </w:pPr>
    </w:p>
    <w:p>
      <w:pPr>
        <w:ind w:left="440" w:hanging="282"/>
        <w:spacing w:after="0"/>
        <w:tabs>
          <w:tab w:leader="none" w:pos="440" w:val="left"/>
        </w:tabs>
        <w:numPr>
          <w:ilvl w:val="0"/>
          <w:numId w:val="56"/>
        </w:numPr>
        <w:rPr>
          <w:rFonts w:ascii="Arial" w:cs="Arial" w:eastAsia="Arial" w:hAnsi="Arial"/>
          <w:sz w:val="19"/>
          <w:szCs w:val="19"/>
          <w:color w:val="auto"/>
        </w:rPr>
      </w:pPr>
      <w:r>
        <w:rPr>
          <w:rFonts w:ascii="Arial" w:cs="Arial" w:eastAsia="Arial" w:hAnsi="Arial"/>
          <w:sz w:val="19"/>
          <w:szCs w:val="19"/>
          <w:color w:val="auto"/>
        </w:rPr>
        <w:t>of these bylaws;</w:t>
      </w:r>
    </w:p>
    <w:p>
      <w:pPr>
        <w:spacing w:after="0" w:line="163" w:lineRule="exact"/>
        <w:rPr>
          <w:rFonts w:ascii="Arial" w:cs="Arial" w:eastAsia="Arial" w:hAnsi="Arial"/>
          <w:sz w:val="19"/>
          <w:szCs w:val="19"/>
          <w:color w:val="auto"/>
        </w:rPr>
      </w:pPr>
    </w:p>
    <w:p>
      <w:pPr>
        <w:ind w:left="160" w:right="420" w:firstLine="634"/>
        <w:spacing w:after="0" w:line="236" w:lineRule="auto"/>
        <w:tabs>
          <w:tab w:leader="none" w:pos="1432" w:val="left"/>
        </w:tabs>
        <w:numPr>
          <w:ilvl w:val="1"/>
          <w:numId w:val="56"/>
        </w:numPr>
        <w:rPr>
          <w:rFonts w:ascii="Arial" w:cs="Arial" w:eastAsia="Arial" w:hAnsi="Arial"/>
          <w:sz w:val="19"/>
          <w:szCs w:val="19"/>
          <w:color w:val="auto"/>
        </w:rPr>
      </w:pPr>
      <w:r>
        <w:rPr>
          <w:rFonts w:ascii="Arial" w:cs="Arial" w:eastAsia="Arial" w:hAnsi="Arial"/>
          <w:sz w:val="19"/>
          <w:szCs w:val="19"/>
          <w:color w:val="auto"/>
        </w:rPr>
        <w:t>a representation and warranty that the Nominating Stockholder intends to continue to satisfy the eligibility requirements described in Article I, Section 5(c) of these bylaws through the date of the annual meeting and a statement regarding the Nominating Stockholder’s intent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440"/>
        <w:spacing w:after="0"/>
        <w:rPr>
          <w:sz w:val="20"/>
          <w:szCs w:val="20"/>
          <w:color w:val="auto"/>
        </w:rPr>
      </w:pPr>
      <w:r>
        <w:rPr>
          <w:rFonts w:ascii="Arial" w:cs="Arial" w:eastAsia="Arial" w:hAnsi="Arial"/>
          <w:sz w:val="21"/>
          <w:szCs w:val="21"/>
          <w:color w:val="auto"/>
        </w:rPr>
        <w:t>-12-</w:t>
      </w:r>
    </w:p>
    <w:p>
      <w:pPr>
        <w:jc w:val="right"/>
        <w:spacing w:after="0"/>
        <w:rPr>
          <w:sz w:val="20"/>
          <w:szCs w:val="20"/>
          <w:color w:val="auto"/>
        </w:rPr>
      </w:pPr>
      <w:r>
        <w:rPr>
          <w:rFonts w:ascii="Arial" w:cs="Arial" w:eastAsia="Arial" w:hAnsi="Arial"/>
          <w:sz w:val="14"/>
          <w:szCs w:val="14"/>
          <w:color w:val="auto"/>
        </w:rPr>
        <w:t>4878-8402-9764.v3</w:t>
      </w:r>
    </w:p>
    <w:p>
      <w:pPr>
        <w:sectPr>
          <w:pgSz w:w="11900" w:h="16838" w:orient="portrait"/>
          <w:cols w:equalWidth="0" w:num="1">
            <w:col w:w="10120"/>
          </w:cols>
          <w:pgMar w:left="1440" w:top="1440" w:right="339" w:bottom="1440" w:gutter="0" w:footer="0" w:header="0"/>
        </w:sectPr>
      </w:pPr>
    </w:p>
    <w:bookmarkStart w:id="97" w:name="page98"/>
    <w:bookmarkEnd w:id="97"/>
    <w:p>
      <w:pPr>
        <w:spacing w:after="0" w:line="200" w:lineRule="exact"/>
        <w:rPr>
          <w:sz w:val="20"/>
          <w:szCs w:val="20"/>
          <w:color w:val="auto"/>
        </w:rPr>
      </w:pPr>
    </w:p>
    <w:p>
      <w:pPr>
        <w:spacing w:after="0" w:line="37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continued ownership of the Minimum Number of shares for at least one year following the annual meeting;</w:t>
      </w:r>
    </w:p>
    <w:p>
      <w:pPr>
        <w:spacing w:after="0" w:line="192" w:lineRule="exact"/>
        <w:rPr>
          <w:sz w:val="20"/>
          <w:szCs w:val="20"/>
          <w:color w:val="auto"/>
        </w:rPr>
      </w:pPr>
    </w:p>
    <w:p>
      <w:pPr>
        <w:ind w:left="640" w:right="40" w:firstLine="634"/>
        <w:spacing w:after="0" w:line="246" w:lineRule="auto"/>
        <w:tabs>
          <w:tab w:leader="none" w:pos="1912" w:val="left"/>
        </w:tabs>
        <w:numPr>
          <w:ilvl w:val="1"/>
          <w:numId w:val="57"/>
        </w:numPr>
        <w:rPr>
          <w:rFonts w:ascii="Arial" w:cs="Arial" w:eastAsia="Arial" w:hAnsi="Arial"/>
          <w:sz w:val="18"/>
          <w:szCs w:val="18"/>
          <w:color w:val="auto"/>
        </w:rPr>
      </w:pPr>
      <w:r>
        <w:rPr>
          <w:rFonts w:ascii="Arial" w:cs="Arial" w:eastAsia="Arial" w:hAnsi="Arial"/>
          <w:sz w:val="18"/>
          <w:szCs w:val="18"/>
          <w:color w:val="auto"/>
        </w:rPr>
        <w:t>a representation and warranty that the Nominating Stockholder has not and will not engage in a “solicitation” within the meaning of Rule 14a-1(l) (without reference to the exception in Section 14a-1(l)(2)(iv)) (or any successor rules) with respect to the annual meeting, other than with respect to a Nominee or any nominee of the board of directors;</w:t>
      </w:r>
    </w:p>
    <w:p>
      <w:pPr>
        <w:spacing w:after="0" w:line="158" w:lineRule="exact"/>
        <w:rPr>
          <w:rFonts w:ascii="Arial" w:cs="Arial" w:eastAsia="Arial" w:hAnsi="Arial"/>
          <w:sz w:val="18"/>
          <w:szCs w:val="18"/>
          <w:color w:val="auto"/>
        </w:rPr>
      </w:pPr>
    </w:p>
    <w:p>
      <w:pPr>
        <w:ind w:left="640" w:right="520" w:firstLine="634"/>
        <w:spacing w:after="0" w:line="291" w:lineRule="auto"/>
        <w:tabs>
          <w:tab w:leader="none" w:pos="1912" w:val="left"/>
        </w:tabs>
        <w:numPr>
          <w:ilvl w:val="1"/>
          <w:numId w:val="57"/>
        </w:numPr>
        <w:rPr>
          <w:rFonts w:ascii="Arial" w:cs="Arial" w:eastAsia="Arial" w:hAnsi="Arial"/>
          <w:sz w:val="17"/>
          <w:szCs w:val="17"/>
          <w:color w:val="auto"/>
        </w:rPr>
      </w:pPr>
      <w:r>
        <w:rPr>
          <w:rFonts w:ascii="Arial" w:cs="Arial" w:eastAsia="Arial" w:hAnsi="Arial"/>
          <w:sz w:val="17"/>
          <w:szCs w:val="17"/>
          <w:color w:val="auto"/>
        </w:rPr>
        <w:t>a representation and warranty that the Nominating Stockholder will not use any proxy card other than the corporation’s proxy card in soliciting stockholders in connection with the election of a Nominee at the annual meeting;</w:t>
      </w:r>
    </w:p>
    <w:p>
      <w:pPr>
        <w:spacing w:after="0" w:line="122" w:lineRule="exact"/>
        <w:rPr>
          <w:rFonts w:ascii="Arial" w:cs="Arial" w:eastAsia="Arial" w:hAnsi="Arial"/>
          <w:sz w:val="17"/>
          <w:szCs w:val="17"/>
          <w:color w:val="auto"/>
        </w:rPr>
      </w:pPr>
    </w:p>
    <w:p>
      <w:pPr>
        <w:ind w:left="640" w:right="140" w:firstLine="634"/>
        <w:spacing w:after="0" w:line="231" w:lineRule="auto"/>
        <w:tabs>
          <w:tab w:leader="none" w:pos="1912" w:val="left"/>
        </w:tabs>
        <w:numPr>
          <w:ilvl w:val="1"/>
          <w:numId w:val="57"/>
        </w:numPr>
        <w:rPr>
          <w:rFonts w:ascii="Arial" w:cs="Arial" w:eastAsia="Arial" w:hAnsi="Arial"/>
          <w:sz w:val="19"/>
          <w:szCs w:val="19"/>
          <w:color w:val="auto"/>
        </w:rPr>
      </w:pPr>
      <w:r>
        <w:rPr>
          <w:rFonts w:ascii="Arial" w:cs="Arial" w:eastAsia="Arial" w:hAnsi="Arial"/>
          <w:sz w:val="19"/>
          <w:szCs w:val="19"/>
          <w:color w:val="auto"/>
        </w:rPr>
        <w:t>a representation and warranty that the Nominating Stockholder has not nominated and will not nominate for election to the board of directors at the annual meeting any person other than the Nominee(s) being nominated pursuant to this Section 5;</w:t>
      </w:r>
    </w:p>
    <w:p>
      <w:pPr>
        <w:spacing w:after="0" w:line="164" w:lineRule="exact"/>
        <w:rPr>
          <w:rFonts w:ascii="Arial" w:cs="Arial" w:eastAsia="Arial" w:hAnsi="Arial"/>
          <w:sz w:val="19"/>
          <w:szCs w:val="19"/>
          <w:color w:val="auto"/>
        </w:rPr>
      </w:pPr>
    </w:p>
    <w:p>
      <w:pPr>
        <w:ind w:left="1920" w:hanging="646"/>
        <w:spacing w:after="0"/>
        <w:tabs>
          <w:tab w:leader="none" w:pos="1920" w:val="left"/>
        </w:tabs>
        <w:numPr>
          <w:ilvl w:val="1"/>
          <w:numId w:val="57"/>
        </w:numPr>
        <w:rPr>
          <w:rFonts w:ascii="Arial" w:cs="Arial" w:eastAsia="Arial" w:hAnsi="Arial"/>
          <w:sz w:val="19"/>
          <w:szCs w:val="19"/>
          <w:color w:val="auto"/>
        </w:rPr>
      </w:pPr>
      <w:r>
        <w:rPr>
          <w:rFonts w:ascii="Arial" w:cs="Arial" w:eastAsia="Arial" w:hAnsi="Arial"/>
          <w:sz w:val="19"/>
          <w:szCs w:val="19"/>
          <w:color w:val="auto"/>
        </w:rPr>
        <w:t>if desired, a Supporting Statement; and</w:t>
      </w:r>
    </w:p>
    <w:p>
      <w:pPr>
        <w:spacing w:after="0" w:line="192" w:lineRule="exact"/>
        <w:rPr>
          <w:rFonts w:ascii="Arial" w:cs="Arial" w:eastAsia="Arial" w:hAnsi="Arial"/>
          <w:sz w:val="19"/>
          <w:szCs w:val="19"/>
          <w:color w:val="auto"/>
        </w:rPr>
      </w:pPr>
    </w:p>
    <w:p>
      <w:pPr>
        <w:ind w:left="640" w:right="340" w:firstLine="634"/>
        <w:spacing w:after="0" w:line="246" w:lineRule="auto"/>
        <w:tabs>
          <w:tab w:leader="none" w:pos="1912" w:val="left"/>
        </w:tabs>
        <w:numPr>
          <w:ilvl w:val="1"/>
          <w:numId w:val="57"/>
        </w:numPr>
        <w:rPr>
          <w:rFonts w:ascii="Arial" w:cs="Arial" w:eastAsia="Arial" w:hAnsi="Arial"/>
          <w:sz w:val="18"/>
          <w:szCs w:val="18"/>
          <w:color w:val="auto"/>
        </w:rPr>
      </w:pPr>
      <w:r>
        <w:rPr>
          <w:rFonts w:ascii="Arial" w:cs="Arial" w:eastAsia="Arial" w:hAnsi="Arial"/>
          <w:sz w:val="18"/>
          <w:szCs w:val="18"/>
          <w:color w:val="auto"/>
        </w:rPr>
        <w:t>in the case of a nomination by a group, the designation by all group members of one group member that is authorized to receive communications, notices and inquiries from the corporation and to act on behalf of all group members with respect to matters relating to the nomination, including withdrawal of the nomination;</w:t>
      </w:r>
    </w:p>
    <w:p>
      <w:pPr>
        <w:spacing w:after="0" w:line="158" w:lineRule="exact"/>
        <w:rPr>
          <w:rFonts w:ascii="Arial" w:cs="Arial" w:eastAsia="Arial" w:hAnsi="Arial"/>
          <w:sz w:val="18"/>
          <w:szCs w:val="18"/>
          <w:color w:val="auto"/>
        </w:rPr>
      </w:pPr>
    </w:p>
    <w:p>
      <w:pPr>
        <w:ind w:right="380" w:firstLine="638"/>
        <w:spacing w:after="0" w:line="237" w:lineRule="auto"/>
        <w:tabs>
          <w:tab w:leader="none" w:pos="1272" w:val="left"/>
        </w:tabs>
        <w:numPr>
          <w:ilvl w:val="0"/>
          <w:numId w:val="58"/>
        </w:numPr>
        <w:rPr>
          <w:rFonts w:ascii="Arial" w:cs="Arial" w:eastAsia="Arial" w:hAnsi="Arial"/>
          <w:sz w:val="19"/>
          <w:szCs w:val="19"/>
          <w:color w:val="010000"/>
        </w:rPr>
      </w:pPr>
      <w:r>
        <w:rPr>
          <w:rFonts w:ascii="Arial" w:cs="Arial" w:eastAsia="Arial" w:hAnsi="Arial"/>
          <w:sz w:val="19"/>
          <w:szCs w:val="19"/>
          <w:color w:val="auto"/>
        </w:rPr>
        <w:t>An executed agreement, in a form deemed satisfactory by the board of directors, pursuant to which the Nominating Stockholder (including each group member) agrees:</w:t>
      </w:r>
    </w:p>
    <w:p>
      <w:pPr>
        <w:spacing w:after="0" w:line="164" w:lineRule="exact"/>
        <w:rPr>
          <w:rFonts w:ascii="Arial" w:cs="Arial" w:eastAsia="Arial" w:hAnsi="Arial"/>
          <w:sz w:val="19"/>
          <w:szCs w:val="19"/>
          <w:color w:val="010000"/>
        </w:rPr>
      </w:pPr>
    </w:p>
    <w:p>
      <w:pPr>
        <w:ind w:left="1920" w:hanging="646"/>
        <w:spacing w:after="0"/>
        <w:tabs>
          <w:tab w:leader="none" w:pos="19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to comply with all applicable laws, rules and regulations in connection with the nomination, solicitation and</w:t>
      </w:r>
    </w:p>
    <w:p>
      <w:pPr>
        <w:spacing w:after="0" w:line="7"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9"/>
          <w:szCs w:val="19"/>
          <w:color w:val="auto"/>
        </w:rPr>
        <w:t>election;</w:t>
      </w:r>
    </w:p>
    <w:p>
      <w:pPr>
        <w:spacing w:after="0" w:line="163" w:lineRule="exact"/>
        <w:rPr>
          <w:rFonts w:ascii="Arial" w:cs="Arial" w:eastAsia="Arial" w:hAnsi="Arial"/>
          <w:sz w:val="18"/>
          <w:szCs w:val="18"/>
          <w:color w:val="auto"/>
        </w:rPr>
      </w:pPr>
    </w:p>
    <w:p>
      <w:pPr>
        <w:ind w:left="640" w:right="20" w:firstLine="634"/>
        <w:spacing w:after="0" w:line="227" w:lineRule="auto"/>
        <w:tabs>
          <w:tab w:leader="none" w:pos="1912" w:val="left"/>
        </w:tabs>
        <w:numPr>
          <w:ilvl w:val="1"/>
          <w:numId w:val="58"/>
        </w:numPr>
        <w:rPr>
          <w:rFonts w:ascii="Arial" w:cs="Arial" w:eastAsia="Arial" w:hAnsi="Arial"/>
          <w:sz w:val="19"/>
          <w:szCs w:val="19"/>
          <w:color w:val="auto"/>
        </w:rPr>
      </w:pPr>
      <w:r>
        <w:rPr>
          <w:rFonts w:ascii="Arial" w:cs="Arial" w:eastAsia="Arial" w:hAnsi="Arial"/>
          <w:sz w:val="19"/>
          <w:szCs w:val="19"/>
          <w:color w:val="auto"/>
        </w:rPr>
        <w:t>to file with the SEC any written solicitation or other written communication with the corporation’s stockholders relating to one or more of the corporation’s directors or director nominees or any Nominee, regardless of whether any such filing is required under rule or regulation or whether any exemption from filing is available for such materials under any rule or regulation;</w:t>
      </w:r>
    </w:p>
    <w:p>
      <w:pPr>
        <w:spacing w:after="0" w:line="167" w:lineRule="exact"/>
        <w:rPr>
          <w:rFonts w:ascii="Arial" w:cs="Arial" w:eastAsia="Arial" w:hAnsi="Arial"/>
          <w:sz w:val="19"/>
          <w:szCs w:val="19"/>
          <w:color w:val="auto"/>
        </w:rPr>
      </w:pPr>
    </w:p>
    <w:p>
      <w:pPr>
        <w:ind w:left="640" w:right="160" w:firstLine="634"/>
        <w:spacing w:after="0" w:line="227" w:lineRule="auto"/>
        <w:tabs>
          <w:tab w:leader="none" w:pos="1912" w:val="left"/>
        </w:tabs>
        <w:numPr>
          <w:ilvl w:val="1"/>
          <w:numId w:val="58"/>
        </w:numPr>
        <w:rPr>
          <w:rFonts w:ascii="Arial" w:cs="Arial" w:eastAsia="Arial" w:hAnsi="Arial"/>
          <w:sz w:val="19"/>
          <w:szCs w:val="19"/>
          <w:color w:val="auto"/>
        </w:rPr>
      </w:pPr>
      <w:r>
        <w:rPr>
          <w:rFonts w:ascii="Arial" w:cs="Arial" w:eastAsia="Arial" w:hAnsi="Arial"/>
          <w:sz w:val="19"/>
          <w:szCs w:val="19"/>
          <w:color w:val="auto"/>
        </w:rPr>
        <w:t>to assume all liability stemming from an action, suit or proceeding concerning any actual or alleged legal or regulatory violation arising out of any communication by the Nominating Stockholder or any of its Nominees with the corporation, its stockholders or any other person in connection with the nomination or election of directors, including, without limitation, the Nomination Notice;</w:t>
      </w:r>
    </w:p>
    <w:p>
      <w:pPr>
        <w:spacing w:after="0" w:line="153" w:lineRule="exact"/>
        <w:rPr>
          <w:rFonts w:ascii="Arial" w:cs="Arial" w:eastAsia="Arial" w:hAnsi="Arial"/>
          <w:sz w:val="19"/>
          <w:szCs w:val="19"/>
          <w:color w:val="auto"/>
        </w:rPr>
      </w:pPr>
    </w:p>
    <w:p>
      <w:pPr>
        <w:ind w:left="640" w:right="20" w:firstLine="634"/>
        <w:spacing w:after="0" w:line="244" w:lineRule="auto"/>
        <w:tabs>
          <w:tab w:leader="none" w:pos="1912" w:val="left"/>
        </w:tabs>
        <w:numPr>
          <w:ilvl w:val="1"/>
          <w:numId w:val="58"/>
        </w:numPr>
        <w:rPr>
          <w:rFonts w:ascii="Arial" w:cs="Arial" w:eastAsia="Arial" w:hAnsi="Arial"/>
          <w:sz w:val="17"/>
          <w:szCs w:val="17"/>
          <w:color w:val="auto"/>
        </w:rPr>
      </w:pPr>
      <w:r>
        <w:rPr>
          <w:rFonts w:ascii="Arial" w:cs="Arial" w:eastAsia="Arial" w:hAnsi="Arial"/>
          <w:sz w:val="17"/>
          <w:szCs w:val="17"/>
          <w:color w:val="auto"/>
        </w:rPr>
        <w:t>to indemnify and hold harmless (jointly with all other group members, in the case of a group member) the corporation and each of its directors, officers and employees individually against any liability, loss, damages, expenses or other costs (including attorneys’ fees) incurred in connection with any threatened or pending action, suit or proceeding, whether legal, administrative or investigative, against the corporation or any of its directors, officers or employees arising out of or relating to</w:t>
      </w:r>
    </w:p>
    <w:p>
      <w:pPr>
        <w:spacing w:after="0" w:line="2" w:lineRule="exact"/>
        <w:rPr>
          <w:rFonts w:ascii="Arial" w:cs="Arial" w:eastAsia="Arial" w:hAnsi="Arial"/>
          <w:sz w:val="17"/>
          <w:szCs w:val="17"/>
          <w:color w:val="auto"/>
        </w:rPr>
      </w:pPr>
    </w:p>
    <w:p>
      <w:pPr>
        <w:ind w:left="920" w:hanging="282"/>
        <w:spacing w:after="0"/>
        <w:tabs>
          <w:tab w:leader="none" w:pos="92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Nominating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420"/>
        <w:spacing w:after="0"/>
        <w:rPr>
          <w:sz w:val="20"/>
          <w:szCs w:val="20"/>
          <w:color w:val="auto"/>
        </w:rPr>
      </w:pPr>
      <w:r>
        <w:rPr>
          <w:rFonts w:ascii="Arial" w:cs="Arial" w:eastAsia="Arial" w:hAnsi="Arial"/>
          <w:sz w:val="21"/>
          <w:szCs w:val="21"/>
          <w:color w:val="auto"/>
        </w:rPr>
        <w:t>-13-</w:t>
      </w:r>
    </w:p>
    <w:p>
      <w:pPr>
        <w:jc w:val="right"/>
        <w:spacing w:after="0"/>
        <w:rPr>
          <w:sz w:val="20"/>
          <w:szCs w:val="20"/>
          <w:color w:val="auto"/>
        </w:rPr>
      </w:pPr>
      <w:r>
        <w:rPr>
          <w:rFonts w:ascii="Arial" w:cs="Arial" w:eastAsia="Arial" w:hAnsi="Arial"/>
          <w:sz w:val="14"/>
          <w:szCs w:val="14"/>
          <w:color w:val="auto"/>
        </w:rPr>
        <w:t>4878-8402-9764.v3</w:t>
      </w:r>
    </w:p>
    <w:p>
      <w:pPr>
        <w:sectPr>
          <w:pgSz w:w="11900" w:h="16838" w:orient="portrait"/>
          <w:cols w:equalWidth="0" w:num="1">
            <w:col w:w="10600"/>
          </w:cols>
          <w:pgMar w:left="960" w:top="1440" w:right="339" w:bottom="1440" w:gutter="0" w:footer="0" w:header="0"/>
        </w:sectPr>
      </w:pPr>
    </w:p>
    <w:bookmarkStart w:id="98" w:name="page99"/>
    <w:bookmarkEnd w:id="98"/>
    <w:p>
      <w:pPr>
        <w:spacing w:after="0" w:line="200" w:lineRule="exact"/>
        <w:rPr>
          <w:sz w:val="20"/>
          <w:szCs w:val="20"/>
          <w:color w:val="auto"/>
        </w:rPr>
      </w:pPr>
    </w:p>
    <w:p>
      <w:pPr>
        <w:spacing w:after="0" w:line="3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Stockholder’s nomination and/or efforts to elect its Nominee(s) pursuant to this Section 5 or (2) a failure or alleged failure of</w:t>
      </w:r>
    </w:p>
    <w:p>
      <w:pPr>
        <w:spacing w:after="0" w:line="8" w:lineRule="exact"/>
        <w:rPr>
          <w:sz w:val="20"/>
          <w:szCs w:val="20"/>
          <w:color w:val="auto"/>
        </w:rPr>
      </w:pPr>
    </w:p>
    <w:p>
      <w:pPr>
        <w:ind w:left="640" w:right="120"/>
        <w:spacing w:after="0" w:line="228" w:lineRule="auto"/>
        <w:rPr>
          <w:sz w:val="20"/>
          <w:szCs w:val="20"/>
          <w:color w:val="auto"/>
        </w:rPr>
      </w:pPr>
      <w:r>
        <w:rPr>
          <w:rFonts w:ascii="Arial" w:cs="Arial" w:eastAsia="Arial" w:hAnsi="Arial"/>
          <w:sz w:val="19"/>
          <w:szCs w:val="19"/>
          <w:color w:val="auto"/>
        </w:rPr>
        <w:t>the Nominating Stockholder or any of its Nominees to comply with, or any breach or alleged breach of, its or their obligations, agreements or representations under this Section 5;</w:t>
      </w:r>
    </w:p>
    <w:p>
      <w:pPr>
        <w:spacing w:after="0" w:line="165" w:lineRule="exact"/>
        <w:rPr>
          <w:sz w:val="20"/>
          <w:szCs w:val="20"/>
          <w:color w:val="auto"/>
        </w:rPr>
      </w:pPr>
    </w:p>
    <w:p>
      <w:pPr>
        <w:ind w:left="640" w:firstLine="634"/>
        <w:spacing w:after="0" w:line="233" w:lineRule="auto"/>
        <w:tabs>
          <w:tab w:leader="none" w:pos="1912"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the event that any information included in the Nomination Notice, or any other communication by the Nominating Stockholder (including with respect to any group member), with the corporation, its stockholders or any other person in connection with the nomination or election ceases to be true and accurate in all material respects (or omits a material fact necessary to make the statements made not misleading), or that the Nominating Stockholder (including any group member) has failed to continue to satisfy the eligibility requirements described in Article I, Section 5(c) of these bylaws, to promptly (and in any event within 48 hours of discovering such misstatement, omission or failure) notify the corporation and any other recipient of such communication of (i) the misstatement or omission in such previously provided information and of the information that is required to correct the misstatement or omission or (ii) such failure.</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information and documents required by this Section 5(d) to be provided by the Nominating Stockholder shall be:</w:t>
      </w:r>
    </w:p>
    <w:p>
      <w:pPr>
        <w:ind w:left="240" w:hanging="238"/>
        <w:spacing w:after="0" w:line="230" w:lineRule="auto"/>
        <w:tabs>
          <w:tab w:leader="none" w:pos="2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provided with respect to and executed by each group member, in the case of information applicable to group members; and</w:t>
      </w:r>
    </w:p>
    <w:p>
      <w:pPr>
        <w:ind w:firstLine="2"/>
        <w:spacing w:after="0" w:line="219" w:lineRule="auto"/>
        <w:tabs>
          <w:tab w:leader="none" w:pos="286" w:val="left"/>
        </w:tabs>
        <w:numPr>
          <w:ilvl w:val="0"/>
          <w:numId w:val="61"/>
        </w:numPr>
        <w:rPr>
          <w:rFonts w:ascii="Arial" w:cs="Arial" w:eastAsia="Arial" w:hAnsi="Arial"/>
          <w:sz w:val="19"/>
          <w:szCs w:val="19"/>
          <w:color w:val="auto"/>
        </w:rPr>
      </w:pPr>
      <w:r>
        <w:rPr>
          <w:rFonts w:ascii="Arial" w:cs="Arial" w:eastAsia="Arial" w:hAnsi="Arial"/>
          <w:sz w:val="19"/>
          <w:szCs w:val="19"/>
          <w:color w:val="auto"/>
        </w:rPr>
        <w:t>provided with respect to the persons specified in Instruction 1 to Items 6(c) and 6(d) of Schedule 14N (or any successor item) in the case of a Nominating Stockholder or group member that is an entity. The Nomination Notice shall be deemed submitted on the date on which all the information and documents referred to in this Section 5(d) (other than such information and documents contemplated to be provided after the date the Nomination Notice is provided) have been delivered to or, if sent by mail, received by the secretary of the corporation.</w:t>
      </w:r>
    </w:p>
    <w:p>
      <w:pPr>
        <w:spacing w:after="0" w:line="166" w:lineRule="exact"/>
        <w:rPr>
          <w:sz w:val="20"/>
          <w:szCs w:val="20"/>
          <w:color w:val="auto"/>
        </w:rPr>
      </w:pPr>
    </w:p>
    <w:p>
      <w:pPr>
        <w:ind w:right="300" w:firstLine="636"/>
        <w:spacing w:after="0" w:line="245" w:lineRule="auto"/>
        <w:rPr>
          <w:sz w:val="20"/>
          <w:szCs w:val="20"/>
          <w:color w:val="auto"/>
        </w:rPr>
      </w:pPr>
      <w:r>
        <w:rPr>
          <w:rFonts w:ascii="Arial" w:cs="Arial" w:eastAsia="Arial" w:hAnsi="Arial"/>
          <w:sz w:val="17"/>
          <w:szCs w:val="17"/>
          <w:color w:val="auto"/>
        </w:rPr>
        <w:t>A Nominating Stockholder providing a Nomination Notice under this Section 5 must update such notice and the information previously provided to the corporation pursuant to this Section 5, if necessary, so that the information provided or required to be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provided therein shall continue to be true and correct (A) as of the record date for the applicable meeting and (B) as of the date that is</w:t>
      </w:r>
    </w:p>
    <w:p>
      <w:pPr>
        <w:spacing w:after="0" w:line="3"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10 business days prior to the meeting (or any adjournment or postponement thereof), and such update must be received by the secretary of the corporation at the principal executive office of the corporation no later than five business days after the record date for such</w:t>
      </w:r>
    </w:p>
    <w:p>
      <w:pPr>
        <w:spacing w:after="0" w:line="232" w:lineRule="auto"/>
        <w:rPr>
          <w:sz w:val="20"/>
          <w:szCs w:val="20"/>
          <w:color w:val="auto"/>
        </w:rPr>
      </w:pPr>
      <w:r>
        <w:rPr>
          <w:rFonts w:ascii="Arial" w:cs="Arial" w:eastAsia="Arial" w:hAnsi="Arial"/>
          <w:sz w:val="18"/>
          <w:szCs w:val="18"/>
          <w:color w:val="auto"/>
        </w:rPr>
        <w:t>meeting (in the case of an update required to be made as of the record date) and no later than five business days prior to for such</w:t>
      </w:r>
    </w:p>
    <w:p>
      <w:pPr>
        <w:ind w:right="40"/>
        <w:spacing w:after="0" w:line="235" w:lineRule="auto"/>
        <w:rPr>
          <w:sz w:val="20"/>
          <w:szCs w:val="20"/>
          <w:color w:val="auto"/>
        </w:rPr>
      </w:pPr>
      <w:r>
        <w:rPr>
          <w:rFonts w:ascii="Arial" w:cs="Arial" w:eastAsia="Arial" w:hAnsi="Arial"/>
          <w:sz w:val="17"/>
          <w:szCs w:val="17"/>
          <w:color w:val="auto"/>
        </w:rPr>
        <w:t>meeting (in the case of an update required to be made as of 10 business days prior to such meeting or any adjournment or postponement thereof). The obligation of a Nominating Stockholder to provide notice or an update pursuant to this Section 5 shall not limit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corporation’s rights with respect to any deficiencies in any notice provided by Nominating Stockholder, extend any applicable deadlines</w:t>
      </w:r>
    </w:p>
    <w:p>
      <w:pPr>
        <w:spacing w:after="0" w:line="3"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under this Section 5 or enable or be deemed to permit a Nominating Stockholder who has previously submitted notice under this Section 5 to amend or update any nomination (other than solely to cure such deficiency) or to submit any new nomination, including by</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changing or adding nominees.</w:t>
      </w:r>
    </w:p>
    <w:p>
      <w:pPr>
        <w:spacing w:after="0" w:line="176" w:lineRule="exact"/>
        <w:rPr>
          <w:sz w:val="20"/>
          <w:szCs w:val="20"/>
          <w:color w:val="auto"/>
        </w:rPr>
      </w:pPr>
    </w:p>
    <w:p>
      <w:pPr>
        <w:ind w:left="640" w:hanging="638"/>
        <w:spacing w:after="0"/>
        <w:tabs>
          <w:tab w:leader="none" w:pos="640"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Exceptions</w:t>
      </w:r>
      <w:r>
        <w:rPr>
          <w:rFonts w:ascii="Arial" w:cs="Arial" w:eastAsia="Arial" w:hAnsi="Arial"/>
          <w:sz w:val="19"/>
          <w:szCs w:val="19"/>
          <w:color w:val="auto"/>
        </w:rPr>
        <w:t>.</w:t>
      </w:r>
    </w:p>
    <w:p>
      <w:pPr>
        <w:spacing w:after="0" w:line="179" w:lineRule="exact"/>
        <w:rPr>
          <w:rFonts w:ascii="Arial" w:cs="Arial" w:eastAsia="Arial" w:hAnsi="Arial"/>
          <w:sz w:val="19"/>
          <w:szCs w:val="19"/>
          <w:color w:val="auto"/>
        </w:rPr>
      </w:pPr>
    </w:p>
    <w:p>
      <w:pPr>
        <w:ind w:right="780" w:firstLine="638"/>
        <w:spacing w:after="0" w:line="249" w:lineRule="auto"/>
        <w:tabs>
          <w:tab w:leader="none" w:pos="1272" w:val="left"/>
        </w:tabs>
        <w:numPr>
          <w:ilvl w:val="1"/>
          <w:numId w:val="62"/>
        </w:numPr>
        <w:rPr>
          <w:rFonts w:ascii="Arial" w:cs="Arial" w:eastAsia="Arial" w:hAnsi="Arial"/>
          <w:sz w:val="19"/>
          <w:szCs w:val="19"/>
          <w:color w:val="010000"/>
        </w:rPr>
      </w:pPr>
      <w:r>
        <w:rPr>
          <w:rFonts w:ascii="Arial" w:cs="Arial" w:eastAsia="Arial" w:hAnsi="Arial"/>
          <w:sz w:val="19"/>
          <w:szCs w:val="19"/>
          <w:color w:val="auto"/>
        </w:rPr>
        <w:t>Notwithstanding anything to the contrary contained in this Section 5, the corporation may omit from its proxy statement any Nominee and any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20"/>
        <w:spacing w:after="0"/>
        <w:rPr>
          <w:sz w:val="20"/>
          <w:szCs w:val="20"/>
          <w:color w:val="auto"/>
        </w:rPr>
      </w:pPr>
      <w:r>
        <w:rPr>
          <w:rFonts w:ascii="Arial" w:cs="Arial" w:eastAsia="Arial" w:hAnsi="Arial"/>
          <w:sz w:val="21"/>
          <w:szCs w:val="21"/>
          <w:color w:val="auto"/>
        </w:rPr>
        <w:t>-14-</w:t>
      </w:r>
    </w:p>
    <w:p>
      <w:pPr>
        <w:jc w:val="right"/>
        <w:spacing w:after="0"/>
        <w:rPr>
          <w:sz w:val="20"/>
          <w:szCs w:val="20"/>
          <w:color w:val="auto"/>
        </w:rPr>
      </w:pPr>
      <w:r>
        <w:rPr>
          <w:rFonts w:ascii="Arial" w:cs="Arial" w:eastAsia="Arial" w:hAnsi="Arial"/>
          <w:sz w:val="14"/>
          <w:szCs w:val="14"/>
          <w:color w:val="auto"/>
        </w:rPr>
        <w:t>4878-8402-9764.v3</w:t>
      </w:r>
    </w:p>
    <w:p>
      <w:pPr>
        <w:sectPr>
          <w:pgSz w:w="11900" w:h="16838" w:orient="portrait"/>
          <w:cols w:equalWidth="0" w:num="1">
            <w:col w:w="10600"/>
          </w:cols>
          <w:pgMar w:left="960" w:top="1440" w:right="339" w:bottom="1440" w:gutter="0" w:footer="0" w:header="0"/>
        </w:sectPr>
      </w:pPr>
    </w:p>
    <w:bookmarkStart w:id="99" w:name="page100"/>
    <w:bookmarkEnd w:id="99"/>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concerning such Nominee (including a Nominating Stockholder’s Supporting Statement) and no vote on such Nominee will occur</w:t>
      </w:r>
    </w:p>
    <w:p>
      <w:pPr>
        <w:spacing w:after="0" w:line="8"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(notwithstanding that proxies in respect of such vote may have been received by the corporation), and the Nominating Stockholder may not, after the last day on which a Nomination Notice would be timely, cure in any way any defect preventing the nomination of such</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Nominee, if:</w:t>
      </w:r>
    </w:p>
    <w:p>
      <w:pPr>
        <w:spacing w:after="0" w:line="176" w:lineRule="exact"/>
        <w:rPr>
          <w:sz w:val="20"/>
          <w:szCs w:val="20"/>
          <w:color w:val="auto"/>
        </w:rPr>
      </w:pPr>
    </w:p>
    <w:p>
      <w:pPr>
        <w:ind w:left="640" w:right="240" w:firstLine="634"/>
        <w:spacing w:after="0" w:line="231" w:lineRule="auto"/>
        <w:tabs>
          <w:tab w:leader="none" w:pos="1912" w:val="left"/>
        </w:tabs>
        <w:numPr>
          <w:ilvl w:val="1"/>
          <w:numId w:val="63"/>
        </w:numPr>
        <w:rPr>
          <w:rFonts w:ascii="Arial" w:cs="Arial" w:eastAsia="Arial" w:hAnsi="Arial"/>
          <w:sz w:val="19"/>
          <w:szCs w:val="19"/>
          <w:color w:val="auto"/>
        </w:rPr>
      </w:pPr>
      <w:r>
        <w:rPr>
          <w:rFonts w:ascii="Arial" w:cs="Arial" w:eastAsia="Arial" w:hAnsi="Arial"/>
          <w:sz w:val="19"/>
          <w:szCs w:val="19"/>
          <w:color w:val="auto"/>
        </w:rPr>
        <w:t>the corporation receives a notice pursuant to Article I, Section 4 of these bylaws that a stockholder intends to nominate a candidate for director at the annual meeting, whether or not such notice is subsequently withdrawn or made the subject of a settlement with the corporation;</w:t>
      </w:r>
    </w:p>
    <w:p>
      <w:pPr>
        <w:spacing w:after="0" w:line="164" w:lineRule="exact"/>
        <w:rPr>
          <w:rFonts w:ascii="Arial" w:cs="Arial" w:eastAsia="Arial" w:hAnsi="Arial"/>
          <w:sz w:val="19"/>
          <w:szCs w:val="19"/>
          <w:color w:val="auto"/>
        </w:rPr>
      </w:pPr>
    </w:p>
    <w:p>
      <w:pPr>
        <w:ind w:left="640" w:right="340" w:firstLine="634"/>
        <w:spacing w:after="0" w:line="223" w:lineRule="auto"/>
        <w:tabs>
          <w:tab w:leader="none" w:pos="1912" w:val="left"/>
        </w:tabs>
        <w:numPr>
          <w:ilvl w:val="1"/>
          <w:numId w:val="63"/>
        </w:numPr>
        <w:rPr>
          <w:rFonts w:ascii="Arial" w:cs="Arial" w:eastAsia="Arial" w:hAnsi="Arial"/>
          <w:sz w:val="19"/>
          <w:szCs w:val="19"/>
          <w:color w:val="auto"/>
        </w:rPr>
      </w:pPr>
      <w:r>
        <w:rPr>
          <w:rFonts w:ascii="Arial" w:cs="Arial" w:eastAsia="Arial" w:hAnsi="Arial"/>
          <w:sz w:val="19"/>
          <w:szCs w:val="19"/>
          <w:color w:val="auto"/>
        </w:rPr>
        <w:t>the Nominating Stockholder or the designated lead group member, as applicable, or any qualified representative thereof, does not appear at the meeting of stockholders to present the nomination submitted pursuant to this Section 5, the Nominating Stockholder withdraws its nomination or the person presiding at the annual meeting declares that such nomination was not made in accordance with the procedures prescribed by this Section 5 and shall therefore be disregarded;</w:t>
      </w:r>
    </w:p>
    <w:p>
      <w:pPr>
        <w:spacing w:after="0" w:line="164" w:lineRule="exact"/>
        <w:rPr>
          <w:rFonts w:ascii="Arial" w:cs="Arial" w:eastAsia="Arial" w:hAnsi="Arial"/>
          <w:sz w:val="19"/>
          <w:szCs w:val="19"/>
          <w:color w:val="auto"/>
        </w:rPr>
      </w:pPr>
    </w:p>
    <w:p>
      <w:pPr>
        <w:ind w:left="640" w:right="20" w:firstLine="634"/>
        <w:spacing w:after="0" w:line="227" w:lineRule="auto"/>
        <w:tabs>
          <w:tab w:leader="none" w:pos="1912" w:val="left"/>
        </w:tabs>
        <w:numPr>
          <w:ilvl w:val="1"/>
          <w:numId w:val="63"/>
        </w:numPr>
        <w:rPr>
          <w:rFonts w:ascii="Arial" w:cs="Arial" w:eastAsia="Arial" w:hAnsi="Arial"/>
          <w:sz w:val="19"/>
          <w:szCs w:val="19"/>
          <w:color w:val="auto"/>
        </w:rPr>
      </w:pPr>
      <w:r>
        <w:rPr>
          <w:rFonts w:ascii="Arial" w:cs="Arial" w:eastAsia="Arial" w:hAnsi="Arial"/>
          <w:sz w:val="19"/>
          <w:szCs w:val="19"/>
          <w:color w:val="auto"/>
        </w:rPr>
        <w:t>the board of directors determines that such Nominee’s nomination or election to the board of directors would result in the corporation violating or failing to be in compliance with the corporation’s bylaws or certificate of incorporation or any applicable law, rule or regulation to which the corporation is subject, including any rules or regulations of the primary stock exchange on which the corporation’s common stock is traded;</w:t>
      </w:r>
    </w:p>
    <w:p>
      <w:pPr>
        <w:spacing w:after="0" w:line="167" w:lineRule="exact"/>
        <w:rPr>
          <w:rFonts w:ascii="Arial" w:cs="Arial" w:eastAsia="Arial" w:hAnsi="Arial"/>
          <w:sz w:val="19"/>
          <w:szCs w:val="19"/>
          <w:color w:val="auto"/>
        </w:rPr>
      </w:pPr>
    </w:p>
    <w:p>
      <w:pPr>
        <w:ind w:left="640" w:right="180" w:firstLine="634"/>
        <w:spacing w:after="0" w:line="231" w:lineRule="auto"/>
        <w:tabs>
          <w:tab w:leader="none" w:pos="1912" w:val="left"/>
        </w:tabs>
        <w:numPr>
          <w:ilvl w:val="1"/>
          <w:numId w:val="63"/>
        </w:numPr>
        <w:rPr>
          <w:rFonts w:ascii="Arial" w:cs="Arial" w:eastAsia="Arial" w:hAnsi="Arial"/>
          <w:sz w:val="19"/>
          <w:szCs w:val="19"/>
          <w:color w:val="auto"/>
        </w:rPr>
      </w:pPr>
      <w:r>
        <w:rPr>
          <w:rFonts w:ascii="Arial" w:cs="Arial" w:eastAsia="Arial" w:hAnsi="Arial"/>
          <w:sz w:val="19"/>
          <w:szCs w:val="19"/>
          <w:color w:val="auto"/>
        </w:rPr>
        <w:t>such Nominee was nominated for election to the board of directors pursuant to this Section 5 at one of the corporation’s two preceding annual meetings of stockholders and either withdrew, became ineligible or received a vote of less than 25% of the shares of common stock entitled to vote for such Nominee;</w:t>
      </w:r>
    </w:p>
    <w:p>
      <w:pPr>
        <w:spacing w:after="0" w:line="150" w:lineRule="exact"/>
        <w:rPr>
          <w:rFonts w:ascii="Arial" w:cs="Arial" w:eastAsia="Arial" w:hAnsi="Arial"/>
          <w:sz w:val="19"/>
          <w:szCs w:val="19"/>
          <w:color w:val="auto"/>
        </w:rPr>
      </w:pPr>
    </w:p>
    <w:p>
      <w:pPr>
        <w:ind w:left="640" w:right="620" w:firstLine="634"/>
        <w:spacing w:after="0" w:line="249" w:lineRule="auto"/>
        <w:tabs>
          <w:tab w:leader="none" w:pos="1912" w:val="left"/>
        </w:tabs>
        <w:numPr>
          <w:ilvl w:val="1"/>
          <w:numId w:val="63"/>
        </w:numPr>
        <w:rPr>
          <w:rFonts w:ascii="Arial" w:cs="Arial" w:eastAsia="Arial" w:hAnsi="Arial"/>
          <w:sz w:val="19"/>
          <w:szCs w:val="19"/>
          <w:color w:val="auto"/>
        </w:rPr>
      </w:pPr>
      <w:r>
        <w:rPr>
          <w:rFonts w:ascii="Arial" w:cs="Arial" w:eastAsia="Arial" w:hAnsi="Arial"/>
          <w:sz w:val="19"/>
          <w:szCs w:val="19"/>
          <w:color w:val="auto"/>
        </w:rPr>
        <w:t>such Nominee has been, within the past three years, an officer or director of a competitor, as defined for purposes of Section 8 of the Clayton Antitrust Act of 1914, as amended; or</w:t>
      </w:r>
    </w:p>
    <w:p>
      <w:pPr>
        <w:spacing w:after="0" w:line="156" w:lineRule="exact"/>
        <w:rPr>
          <w:rFonts w:ascii="Arial" w:cs="Arial" w:eastAsia="Arial" w:hAnsi="Arial"/>
          <w:sz w:val="19"/>
          <w:szCs w:val="19"/>
          <w:color w:val="auto"/>
        </w:rPr>
      </w:pPr>
    </w:p>
    <w:p>
      <w:pPr>
        <w:ind w:left="640" w:right="60" w:firstLine="634"/>
        <w:spacing w:after="0" w:line="250" w:lineRule="auto"/>
        <w:tabs>
          <w:tab w:leader="none" w:pos="1912" w:val="left"/>
        </w:tabs>
        <w:numPr>
          <w:ilvl w:val="1"/>
          <w:numId w:val="63"/>
        </w:numPr>
        <w:rPr>
          <w:rFonts w:ascii="Arial" w:cs="Arial" w:eastAsia="Arial" w:hAnsi="Arial"/>
          <w:sz w:val="17"/>
          <w:szCs w:val="17"/>
          <w:color w:val="auto"/>
        </w:rPr>
      </w:pPr>
      <w:r>
        <w:rPr>
          <w:rFonts w:ascii="Arial" w:cs="Arial" w:eastAsia="Arial" w:hAnsi="Arial"/>
          <w:sz w:val="17"/>
          <w:szCs w:val="17"/>
          <w:color w:val="auto"/>
        </w:rPr>
        <w:t>the corporation is notified, or the board of directors determines, that the Nominating Stockholder or the Nominee has failed to continue to satisfy the eligibility requirements described in Article I, Section 5(c) of these bylaws, any of the information provided or the representations and warranties made in the Nomination Notice ceases to be true and accurate in all material respects (or omits a material fact necessary to make the statements made not misleading), such Nominee becomes unwilling or unable to serve on the board of directors or any material violation or breach occurs of the obligations, agreements, representations or warranties of the Nominating Stockholder or such Nominee under this Section 5.</w:t>
      </w:r>
    </w:p>
    <w:p>
      <w:pPr>
        <w:spacing w:after="0" w:line="156" w:lineRule="exact"/>
        <w:rPr>
          <w:rFonts w:ascii="Arial" w:cs="Arial" w:eastAsia="Arial" w:hAnsi="Arial"/>
          <w:sz w:val="17"/>
          <w:szCs w:val="17"/>
          <w:color w:val="auto"/>
        </w:rPr>
      </w:pPr>
    </w:p>
    <w:p>
      <w:pPr>
        <w:ind w:right="680" w:firstLine="638"/>
        <w:spacing w:after="0" w:line="246" w:lineRule="auto"/>
        <w:tabs>
          <w:tab w:leader="none" w:pos="1272" w:val="left"/>
        </w:tabs>
        <w:numPr>
          <w:ilvl w:val="0"/>
          <w:numId w:val="64"/>
        </w:numPr>
        <w:rPr>
          <w:rFonts w:ascii="Arial" w:cs="Arial" w:eastAsia="Arial" w:hAnsi="Arial"/>
          <w:sz w:val="18"/>
          <w:szCs w:val="18"/>
          <w:color w:val="010000"/>
        </w:rPr>
      </w:pPr>
      <w:r>
        <w:rPr>
          <w:rFonts w:ascii="Arial" w:cs="Arial" w:eastAsia="Arial" w:hAnsi="Arial"/>
          <w:sz w:val="18"/>
          <w:szCs w:val="18"/>
          <w:color w:val="auto"/>
        </w:rPr>
        <w:t>Notwithstanding anything to the contrary contained in this Section 5, the corporation may omit from its proxy statement, or may supplement or correct, any information, including all or any portion of the Supporting Statement or any other statement in support of a Nominee included in the Nomination Notice, if the board of directors determines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20"/>
        <w:spacing w:after="0"/>
        <w:rPr>
          <w:sz w:val="20"/>
          <w:szCs w:val="20"/>
          <w:color w:val="auto"/>
        </w:rPr>
      </w:pPr>
      <w:r>
        <w:rPr>
          <w:rFonts w:ascii="Arial" w:cs="Arial" w:eastAsia="Arial" w:hAnsi="Arial"/>
          <w:sz w:val="21"/>
          <w:szCs w:val="21"/>
          <w:color w:val="auto"/>
        </w:rPr>
        <w:t>-15-</w:t>
      </w:r>
    </w:p>
    <w:p>
      <w:pPr>
        <w:jc w:val="right"/>
        <w:spacing w:after="0"/>
        <w:rPr>
          <w:sz w:val="20"/>
          <w:szCs w:val="20"/>
          <w:color w:val="auto"/>
        </w:rPr>
      </w:pPr>
      <w:r>
        <w:rPr>
          <w:rFonts w:ascii="Arial" w:cs="Arial" w:eastAsia="Arial" w:hAnsi="Arial"/>
          <w:sz w:val="14"/>
          <w:szCs w:val="14"/>
          <w:color w:val="auto"/>
        </w:rPr>
        <w:t>4878-8402-9764.v3</w:t>
      </w:r>
    </w:p>
    <w:p>
      <w:pPr>
        <w:sectPr>
          <w:pgSz w:w="11900" w:h="16838" w:orient="portrait"/>
          <w:cols w:equalWidth="0" w:num="1">
            <w:col w:w="10600"/>
          </w:cols>
          <w:pgMar w:left="960" w:top="1440" w:right="339" w:bottom="1440" w:gutter="0" w:footer="0" w:header="0"/>
        </w:sectPr>
      </w:pPr>
    </w:p>
    <w:bookmarkStart w:id="100" w:name="page101"/>
    <w:bookmarkEnd w:id="100"/>
    <w:p>
      <w:pPr>
        <w:spacing w:after="0" w:line="200" w:lineRule="exact"/>
        <w:rPr>
          <w:sz w:val="20"/>
          <w:szCs w:val="20"/>
          <w:color w:val="auto"/>
        </w:rPr>
      </w:pPr>
    </w:p>
    <w:p>
      <w:pPr>
        <w:spacing w:after="0" w:line="378" w:lineRule="exact"/>
        <w:rPr>
          <w:sz w:val="20"/>
          <w:szCs w:val="20"/>
          <w:color w:val="auto"/>
        </w:rPr>
      </w:pPr>
    </w:p>
    <w:p>
      <w:pPr>
        <w:ind w:left="1280" w:right="680" w:firstLine="634"/>
        <w:spacing w:after="0" w:line="249" w:lineRule="auto"/>
        <w:tabs>
          <w:tab w:leader="none" w:pos="2552" w:val="left"/>
        </w:tabs>
        <w:numPr>
          <w:ilvl w:val="0"/>
          <w:numId w:val="65"/>
        </w:numPr>
        <w:rPr>
          <w:rFonts w:ascii="Arial" w:cs="Arial" w:eastAsia="Arial" w:hAnsi="Arial"/>
          <w:sz w:val="19"/>
          <w:szCs w:val="19"/>
          <w:color w:val="auto"/>
        </w:rPr>
      </w:pPr>
      <w:r>
        <w:rPr>
          <w:rFonts w:ascii="Arial" w:cs="Arial" w:eastAsia="Arial" w:hAnsi="Arial"/>
          <w:sz w:val="19"/>
          <w:szCs w:val="19"/>
          <w:color w:val="auto"/>
        </w:rPr>
        <w:t>such information is not true in all material respects or omits a material statement necessary to make the statements made not misleading;</w:t>
      </w:r>
    </w:p>
    <w:p>
      <w:pPr>
        <w:spacing w:after="0" w:line="142" w:lineRule="exact"/>
        <w:rPr>
          <w:rFonts w:ascii="Arial" w:cs="Arial" w:eastAsia="Arial" w:hAnsi="Arial"/>
          <w:sz w:val="19"/>
          <w:szCs w:val="19"/>
          <w:color w:val="auto"/>
        </w:rPr>
      </w:pPr>
    </w:p>
    <w:p>
      <w:pPr>
        <w:ind w:left="1280" w:right="140" w:firstLine="634"/>
        <w:spacing w:after="0" w:line="236" w:lineRule="auto"/>
        <w:tabs>
          <w:tab w:leader="none" w:pos="2552" w:val="left"/>
        </w:tabs>
        <w:numPr>
          <w:ilvl w:val="0"/>
          <w:numId w:val="65"/>
        </w:numPr>
        <w:rPr>
          <w:rFonts w:ascii="Arial" w:cs="Arial" w:eastAsia="Arial" w:hAnsi="Arial"/>
          <w:sz w:val="19"/>
          <w:szCs w:val="19"/>
          <w:color w:val="auto"/>
        </w:rPr>
      </w:pPr>
      <w:r>
        <w:rPr>
          <w:rFonts w:ascii="Arial" w:cs="Arial" w:eastAsia="Arial" w:hAnsi="Arial"/>
          <w:sz w:val="19"/>
          <w:szCs w:val="19"/>
          <w:color w:val="auto"/>
        </w:rPr>
        <w:t>such information directly or indirectly impugns the character, integrity or personal reputation of, or directly or indirectly makes charges concerning improper, illegal or immoral conduct or associations, without factual foundation, with respect to any person; or</w:t>
      </w:r>
    </w:p>
    <w:p>
      <w:pPr>
        <w:spacing w:after="0" w:line="150" w:lineRule="exact"/>
        <w:rPr>
          <w:rFonts w:ascii="Arial" w:cs="Arial" w:eastAsia="Arial" w:hAnsi="Arial"/>
          <w:sz w:val="19"/>
          <w:szCs w:val="19"/>
          <w:color w:val="auto"/>
        </w:rPr>
      </w:pPr>
    </w:p>
    <w:p>
      <w:pPr>
        <w:ind w:left="1280" w:right="260" w:firstLine="634"/>
        <w:spacing w:after="0" w:line="249" w:lineRule="auto"/>
        <w:tabs>
          <w:tab w:leader="none" w:pos="2552"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the inclusion of such information in the proxy statement would otherwise violate the SEC proxy rules or any other applicable law, rule or regulation.</w:t>
      </w:r>
    </w:p>
    <w:p>
      <w:pPr>
        <w:spacing w:after="0" w:line="156" w:lineRule="exact"/>
        <w:rPr>
          <w:sz w:val="20"/>
          <w:szCs w:val="20"/>
          <w:color w:val="auto"/>
        </w:rPr>
      </w:pPr>
    </w:p>
    <w:p>
      <w:pPr>
        <w:ind w:left="640"/>
        <w:spacing w:after="0"/>
        <w:tabs>
          <w:tab w:leader="none" w:pos="1020" w:val="left"/>
        </w:tabs>
        <w:rPr>
          <w:sz w:val="20"/>
          <w:szCs w:val="20"/>
          <w:color w:val="auto"/>
        </w:rPr>
      </w:pPr>
      <w:r>
        <w:rPr>
          <w:rFonts w:ascii="Arial" w:cs="Arial" w:eastAsia="Arial" w:hAnsi="Arial"/>
          <w:sz w:val="19"/>
          <w:szCs w:val="19"/>
          <w:color w:val="auto"/>
        </w:rPr>
        <w:t>(f)</w:t>
      </w:r>
      <w:r>
        <w:rPr>
          <w:sz w:val="20"/>
          <w:szCs w:val="20"/>
          <w:color w:val="auto"/>
        </w:rPr>
        <w:tab/>
      </w:r>
      <w:r>
        <w:rPr>
          <w:rFonts w:ascii="Arial" w:cs="Arial" w:eastAsia="Arial" w:hAnsi="Arial"/>
          <w:sz w:val="17"/>
          <w:szCs w:val="17"/>
          <w:color w:val="auto"/>
        </w:rPr>
        <w:t>The corporation may solicit against, and include in the proxy statement its own statement relating to, any Nominee.</w:t>
      </w:r>
    </w:p>
    <w:p>
      <w:pPr>
        <w:spacing w:after="0" w:line="179" w:lineRule="exact"/>
        <w:rPr>
          <w:sz w:val="20"/>
          <w:szCs w:val="20"/>
          <w:color w:val="auto"/>
        </w:rPr>
      </w:pPr>
    </w:p>
    <w:p>
      <w:pPr>
        <w:ind w:right="340" w:firstLine="636"/>
        <w:spacing w:after="0" w:line="253"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Notice of Meetings</w:t>
      </w:r>
      <w:r>
        <w:rPr>
          <w:rFonts w:ascii="Arial" w:cs="Arial" w:eastAsia="Arial" w:hAnsi="Arial"/>
          <w:sz w:val="17"/>
          <w:szCs w:val="17"/>
          <w:color w:val="auto"/>
        </w:rPr>
        <w:t>. Except as otherwise provided by law, written notice of each meeting of stockholders, annual or special, stating the place, if any, date and time of the meeting, the means of remote communication, if any, by which stockholders and proxy</w:t>
      </w:r>
    </w:p>
    <w:p>
      <w:pPr>
        <w:spacing w:after="0" w:line="1"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holders may be deemed to be present in person and vote at such meeting, and, in the case of a special meeting, the purpose or purposes for which the meeting is called, shall be given not less than 10 nor more than 60 days before the date of the meeting, to each stockholder entitled to</w:t>
      </w:r>
    </w:p>
    <w:p>
      <w:pPr>
        <w:spacing w:after="0" w:line="232" w:lineRule="auto"/>
        <w:rPr>
          <w:sz w:val="20"/>
          <w:szCs w:val="20"/>
          <w:color w:val="auto"/>
        </w:rPr>
      </w:pPr>
      <w:r>
        <w:rPr>
          <w:rFonts w:ascii="Arial" w:cs="Arial" w:eastAsia="Arial" w:hAnsi="Arial"/>
          <w:sz w:val="18"/>
          <w:szCs w:val="18"/>
          <w:color w:val="auto"/>
        </w:rPr>
        <w:t>vote at such meeting in accordance with Article IV, Section 1 of these bylaws. Notice of a meeting shall be deemed to have been given to all</w:t>
      </w:r>
    </w:p>
    <w:p>
      <w:pPr>
        <w:ind w:right="40"/>
        <w:spacing w:after="0" w:line="228" w:lineRule="auto"/>
        <w:rPr>
          <w:sz w:val="20"/>
          <w:szCs w:val="20"/>
          <w:color w:val="auto"/>
        </w:rPr>
      </w:pPr>
      <w:r>
        <w:rPr>
          <w:rFonts w:ascii="Arial" w:cs="Arial" w:eastAsia="Arial" w:hAnsi="Arial"/>
          <w:sz w:val="19"/>
          <w:szCs w:val="19"/>
          <w:color w:val="auto"/>
        </w:rPr>
        <w:t>stockholders of record who share an address if notice is given in accordance with the “householding” rules set forth in the rules of the Exchange Act and Section 233 of the General Corporation Law of the State of Delaware (the “DGCL”).</w:t>
      </w:r>
    </w:p>
    <w:p>
      <w:pPr>
        <w:spacing w:after="0" w:line="161"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9"/>
          <w:szCs w:val="19"/>
          <w:color w:val="auto"/>
        </w:rPr>
        <w:t>Section 7.</w:t>
      </w:r>
      <w:r>
        <w:rPr>
          <w:sz w:val="20"/>
          <w:szCs w:val="20"/>
          <w:color w:val="auto"/>
        </w:rPr>
        <w:tab/>
      </w:r>
      <w:r>
        <w:rPr>
          <w:rFonts w:ascii="Arial" w:cs="Arial" w:eastAsia="Arial" w:hAnsi="Arial"/>
          <w:sz w:val="17"/>
          <w:szCs w:val="17"/>
          <w:u w:val="single" w:color="auto"/>
          <w:color w:val="auto"/>
        </w:rPr>
        <w:t>Voting List</w:t>
      </w:r>
      <w:r>
        <w:rPr>
          <w:rFonts w:ascii="Arial" w:cs="Arial" w:eastAsia="Arial" w:hAnsi="Arial"/>
          <w:sz w:val="17"/>
          <w:szCs w:val="17"/>
          <w:color w:val="auto"/>
        </w:rPr>
        <w:t>. The officer who has charge of the stock ledger of the corporation or the transfer agent shall prepare and</w:t>
      </w:r>
    </w:p>
    <w:p>
      <w:pPr>
        <w:ind w:right="700"/>
        <w:spacing w:after="0" w:line="235" w:lineRule="auto"/>
        <w:rPr>
          <w:sz w:val="20"/>
          <w:szCs w:val="20"/>
          <w:color w:val="auto"/>
        </w:rPr>
      </w:pPr>
      <w:r>
        <w:rPr>
          <w:rFonts w:ascii="Arial" w:cs="Arial" w:eastAsia="Arial" w:hAnsi="Arial"/>
          <w:sz w:val="17"/>
          <w:szCs w:val="17"/>
          <w:color w:val="auto"/>
        </w:rPr>
        <w:t>make, no later than the 10th day before each meeting of stockholders, a complete list of the stockholders entitled to vote at the meeting, arranged in alphabetical order, and showing the address of each stockholder and the number of shares registered in the name of each</w:t>
      </w:r>
    </w:p>
    <w:p>
      <w:pPr>
        <w:spacing w:after="0" w:line="1"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stockholder; provided, however, that if the record date for determining the stockholders entitled to vote is less than 10 days before the meeting date, the list shall reflect the stockholders entitled to vote as of the tenth day before the meeting date. Nothing in this Section 7 shall require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corporation to include electronic mail addresses or other electronic content information on such list. Such list shall be open to the examination</w:t>
      </w:r>
    </w:p>
    <w:p>
      <w:pPr>
        <w:spacing w:after="0" w:line="3" w:lineRule="exact"/>
        <w:rPr>
          <w:sz w:val="20"/>
          <w:szCs w:val="20"/>
          <w:color w:val="auto"/>
        </w:rPr>
      </w:pPr>
    </w:p>
    <w:p>
      <w:pPr>
        <w:ind w:right="360"/>
        <w:spacing w:after="0" w:line="235" w:lineRule="auto"/>
        <w:rPr>
          <w:sz w:val="20"/>
          <w:szCs w:val="20"/>
          <w:color w:val="auto"/>
        </w:rPr>
      </w:pPr>
      <w:r>
        <w:rPr>
          <w:rFonts w:ascii="Arial" w:cs="Arial" w:eastAsia="Arial" w:hAnsi="Arial"/>
          <w:sz w:val="17"/>
          <w:szCs w:val="17"/>
          <w:color w:val="auto"/>
        </w:rPr>
        <w:t>of any stockholder, for any purpose germane to the meeting, for a period of 10 days ending on the day before the meeting date, (i) on a reasonably accessible electronic network, provided that the information required to gain access to such list is provided with the notice of the</w:t>
      </w:r>
    </w:p>
    <w:p>
      <w:pPr>
        <w:spacing w:after="0" w:line="1"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meeting or (ii) during ordinary business hours, at the principal place of business of the corporation. The corporation may take reasonable steps to ensure that such information on a reasonably accessible electronic network is available only to stockholders of the corporation.</w:t>
      </w:r>
    </w:p>
    <w:p>
      <w:pPr>
        <w:spacing w:after="0" w:line="135" w:lineRule="exact"/>
        <w:rPr>
          <w:sz w:val="20"/>
          <w:szCs w:val="20"/>
          <w:color w:val="auto"/>
        </w:rPr>
      </w:pPr>
    </w:p>
    <w:p>
      <w:pPr>
        <w:ind w:right="60" w:firstLine="636"/>
        <w:spacing w:after="0" w:line="253"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Quorum</w:t>
      </w:r>
      <w:r>
        <w:rPr>
          <w:rFonts w:ascii="Arial" w:cs="Arial" w:eastAsia="Arial" w:hAnsi="Arial"/>
          <w:sz w:val="17"/>
          <w:szCs w:val="17"/>
          <w:color w:val="auto"/>
        </w:rPr>
        <w:t>. The holders of a majority of the stock issued and outstanding and entitled to vote on a matter at the meeting, present in person or represented by proxy, shall constitute a quorum at all meetings of the stockholders for the transaction of business, except as</w:t>
      </w:r>
    </w:p>
    <w:p>
      <w:pPr>
        <w:spacing w:after="0" w:line="1"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otherwise provided by law, the certificate of incorporation or these bylaws. For purposes of the foregoing, where a separate vote by class or classes is required for any matter, the holders of a majority of the outstanding shares of such class or classes, present in person or represented by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proxy, shall constitute a quorum to take action with respect to the vote on that matter. Two or more classes or series of stock shall be considered</w:t>
      </w:r>
    </w:p>
    <w:p>
      <w:pPr>
        <w:spacing w:after="0" w:line="3"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a single class if the holders thereof are entitled to vote together as a single class at the meeting. In the absence of a quorum of the holders of any class of stock entitled to vote on a matter, either (i) the stockholders of such class so present or represented may, by majority vote, adjourn the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meeting of such class from time to time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21"/>
          <w:szCs w:val="21"/>
          <w:color w:val="auto"/>
        </w:rPr>
        <w:t>-16-</w:t>
      </w:r>
    </w:p>
    <w:p>
      <w:pPr>
        <w:jc w:val="right"/>
        <w:spacing w:after="0"/>
        <w:rPr>
          <w:sz w:val="20"/>
          <w:szCs w:val="20"/>
          <w:color w:val="auto"/>
        </w:rPr>
      </w:pPr>
      <w:r>
        <w:rPr>
          <w:rFonts w:ascii="Arial" w:cs="Arial" w:eastAsia="Arial" w:hAnsi="Arial"/>
          <w:sz w:val="14"/>
          <w:szCs w:val="14"/>
          <w:color w:val="auto"/>
        </w:rPr>
        <w:t>4878-8402-9764.v3</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manner provided by Article I, Section 9 of these bylaws until a quorum of such class shall be so present or represented or (ii) the person</w:t>
      </w:r>
    </w:p>
    <w:p>
      <w:pPr>
        <w:spacing w:after="0" w:line="8" w:lineRule="exact"/>
        <w:rPr>
          <w:sz w:val="20"/>
          <w:szCs w:val="20"/>
          <w:color w:val="auto"/>
        </w:rPr>
      </w:pPr>
    </w:p>
    <w:p>
      <w:pPr>
        <w:ind w:right="140"/>
        <w:spacing w:after="0" w:line="228" w:lineRule="auto"/>
        <w:rPr>
          <w:sz w:val="20"/>
          <w:szCs w:val="20"/>
          <w:color w:val="auto"/>
        </w:rPr>
      </w:pPr>
      <w:r>
        <w:rPr>
          <w:rFonts w:ascii="Arial" w:cs="Arial" w:eastAsia="Arial" w:hAnsi="Arial"/>
          <w:sz w:val="19"/>
          <w:szCs w:val="19"/>
          <w:color w:val="auto"/>
        </w:rPr>
        <w:t>presiding at the meeting may on his or her own motion adjourn the meeting from time to time in the manner provided by Article I, Section 9 of these bylaws until a quorum of such class shall be so present and represented.</w:t>
      </w:r>
    </w:p>
    <w:p>
      <w:pPr>
        <w:spacing w:after="0" w:line="161"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9"/>
          <w:szCs w:val="19"/>
          <w:color w:val="auto"/>
        </w:rPr>
        <w:t>Section 9.</w:t>
      </w:r>
      <w:r>
        <w:rPr>
          <w:sz w:val="20"/>
          <w:szCs w:val="20"/>
          <w:color w:val="auto"/>
        </w:rPr>
        <w:tab/>
      </w:r>
      <w:r>
        <w:rPr>
          <w:rFonts w:ascii="Arial" w:cs="Arial" w:eastAsia="Arial" w:hAnsi="Arial"/>
          <w:sz w:val="17"/>
          <w:szCs w:val="17"/>
          <w:u w:val="single" w:color="auto"/>
          <w:color w:val="auto"/>
        </w:rPr>
        <w:t>Adjournments</w:t>
      </w:r>
      <w:r>
        <w:rPr>
          <w:rFonts w:ascii="Arial" w:cs="Arial" w:eastAsia="Arial" w:hAnsi="Arial"/>
          <w:sz w:val="17"/>
          <w:szCs w:val="17"/>
          <w:color w:val="auto"/>
        </w:rPr>
        <w:t>. Any meeting of stockholders may be adjourned from time to time for any reason, whether or not a</w:t>
      </w:r>
    </w:p>
    <w:p>
      <w:pPr>
        <w:ind w:right="140"/>
        <w:spacing w:after="0" w:line="235" w:lineRule="auto"/>
        <w:rPr>
          <w:sz w:val="20"/>
          <w:szCs w:val="20"/>
          <w:color w:val="auto"/>
        </w:rPr>
      </w:pPr>
      <w:r>
        <w:rPr>
          <w:rFonts w:ascii="Arial" w:cs="Arial" w:eastAsia="Arial" w:hAnsi="Arial"/>
          <w:sz w:val="17"/>
          <w:szCs w:val="17"/>
          <w:color w:val="auto"/>
        </w:rPr>
        <w:t>quorum is present, by the board of directors, the chief executive officer or the person presiding at the meeting of stockholders to reconvene at any other time and to any other place, if any, at which a meeting of stockholders may be held under these bylaws, and notice need not be given</w:t>
      </w:r>
    </w:p>
    <w:p>
      <w:pPr>
        <w:spacing w:after="0" w:line="232" w:lineRule="auto"/>
        <w:rPr>
          <w:sz w:val="20"/>
          <w:szCs w:val="20"/>
          <w:color w:val="auto"/>
        </w:rPr>
      </w:pPr>
      <w:r>
        <w:rPr>
          <w:rFonts w:ascii="Arial" w:cs="Arial" w:eastAsia="Arial" w:hAnsi="Arial"/>
          <w:sz w:val="18"/>
          <w:szCs w:val="18"/>
          <w:color w:val="auto"/>
        </w:rPr>
        <w:t>of any such adjourned meeting if the time and place, if any, and the means of remote communication, if any, shall be (i) announced at the</w:t>
      </w:r>
    </w:p>
    <w:p>
      <w:pPr>
        <w:ind w:right="40"/>
        <w:spacing w:after="0" w:line="235" w:lineRule="auto"/>
        <w:rPr>
          <w:sz w:val="20"/>
          <w:szCs w:val="20"/>
          <w:color w:val="auto"/>
        </w:rPr>
      </w:pPr>
      <w:r>
        <w:rPr>
          <w:rFonts w:ascii="Arial" w:cs="Arial" w:eastAsia="Arial" w:hAnsi="Arial"/>
          <w:sz w:val="17"/>
          <w:szCs w:val="17"/>
          <w:color w:val="auto"/>
        </w:rPr>
        <w:t>meeting at which the adjournment is taken, (ii) displayed, during the time scheduled for the meeting, on the same electronic network used to enable stockholders and proxy holders to participate in the meeting by means of remote communication or (iii) set forth in the notice of meeting</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given in accordance with Section 232 of the DGCL. At such adjourned meeting at which a quorum shall be present or represented, any business</w:t>
      </w:r>
    </w:p>
    <w:p>
      <w:pPr>
        <w:spacing w:after="0" w:line="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may be transacted which might have been transacted at the original meeting. If the adjournment is for more than 30 days, or if after the adjournment a new record date is fixed for the adjourned meeting, a notice of the adjourned meeting shall be given to each stockholder of record</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entitled to vote at the meeting.</w:t>
      </w:r>
    </w:p>
    <w:p>
      <w:pPr>
        <w:spacing w:after="0" w:line="176"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9"/>
          <w:szCs w:val="19"/>
          <w:color w:val="auto"/>
        </w:rPr>
        <w:t>Section 10.</w:t>
      </w:r>
      <w:r>
        <w:rPr>
          <w:sz w:val="20"/>
          <w:szCs w:val="20"/>
          <w:color w:val="auto"/>
        </w:rPr>
        <w:tab/>
      </w:r>
      <w:r>
        <w:rPr>
          <w:rFonts w:ascii="Arial" w:cs="Arial" w:eastAsia="Arial" w:hAnsi="Arial"/>
          <w:sz w:val="18"/>
          <w:szCs w:val="18"/>
          <w:u w:val="single" w:color="auto"/>
          <w:color w:val="auto"/>
        </w:rPr>
        <w:t>Action at Meetings</w:t>
      </w:r>
      <w:r>
        <w:rPr>
          <w:rFonts w:ascii="Arial" w:cs="Arial" w:eastAsia="Arial" w:hAnsi="Arial"/>
          <w:sz w:val="18"/>
          <w:szCs w:val="18"/>
          <w:color w:val="auto"/>
        </w:rPr>
        <w:t>.</w:t>
      </w:r>
    </w:p>
    <w:p>
      <w:pPr>
        <w:spacing w:after="0" w:line="179" w:lineRule="exact"/>
        <w:rPr>
          <w:sz w:val="20"/>
          <w:szCs w:val="20"/>
          <w:color w:val="auto"/>
        </w:rPr>
      </w:pPr>
    </w:p>
    <w:p>
      <w:pPr>
        <w:ind w:right="140" w:firstLine="642"/>
        <w:spacing w:after="0" w:line="227" w:lineRule="auto"/>
        <w:tabs>
          <w:tab w:leader="none" w:pos="1272" w:val="left"/>
        </w:tabs>
        <w:numPr>
          <w:ilvl w:val="0"/>
          <w:numId w:val="66"/>
        </w:numPr>
        <w:rPr>
          <w:rFonts w:ascii="Arial" w:cs="Arial" w:eastAsia="Arial" w:hAnsi="Arial"/>
          <w:sz w:val="19"/>
          <w:szCs w:val="19"/>
          <w:color w:val="auto"/>
        </w:rPr>
      </w:pPr>
      <w:r>
        <w:rPr>
          <w:rFonts w:ascii="Arial" w:cs="Arial" w:eastAsia="Arial" w:hAnsi="Arial"/>
          <w:sz w:val="19"/>
          <w:szCs w:val="19"/>
          <w:color w:val="auto"/>
        </w:rPr>
        <w:t>When a quorum is present at any meeting, the vote of the holders of a majority of the voting power of the capital stock present in person or represented by proxy and entitled to vote on the question shall decide any question brought before such meeting, unless the question is one upon which by express provision of law, the certificate of incorporation or these bylaws, a different vote is required, in which case such express provision shall govern and control the decision of such question.</w:t>
      </w:r>
    </w:p>
    <w:p>
      <w:pPr>
        <w:spacing w:after="0" w:line="167" w:lineRule="exact"/>
        <w:rPr>
          <w:rFonts w:ascii="Arial" w:cs="Arial" w:eastAsia="Arial" w:hAnsi="Arial"/>
          <w:sz w:val="19"/>
          <w:szCs w:val="19"/>
          <w:color w:val="auto"/>
        </w:rPr>
      </w:pPr>
    </w:p>
    <w:p>
      <w:pPr>
        <w:ind w:right="80" w:firstLine="642"/>
        <w:spacing w:after="0" w:line="229" w:lineRule="auto"/>
        <w:tabs>
          <w:tab w:leader="none" w:pos="1272" w:val="left"/>
        </w:tabs>
        <w:numPr>
          <w:ilvl w:val="0"/>
          <w:numId w:val="66"/>
        </w:numPr>
        <w:rPr>
          <w:rFonts w:ascii="Arial" w:cs="Arial" w:eastAsia="Arial" w:hAnsi="Arial"/>
          <w:sz w:val="18"/>
          <w:szCs w:val="18"/>
          <w:color w:val="auto"/>
        </w:rPr>
      </w:pPr>
      <w:r>
        <w:rPr>
          <w:rFonts w:ascii="Arial" w:cs="Arial" w:eastAsia="Arial" w:hAnsi="Arial"/>
          <w:sz w:val="18"/>
          <w:szCs w:val="18"/>
          <w:color w:val="auto"/>
        </w:rPr>
        <w:t>At any meeting of stockholders at which directors are to be elected, when a quorum is present: (i) each nominee in an uncontested election shall be elected by the vote of the majority of the votes cast with respect to that director’s election; and (ii) in a contested election, the directors shall be elected by a plurality vote of the shares of capital stock present in person or represented by proxy at the meeting and entitled to vote on the election of directors. For purposes of this Section 10, (i) a “contested election” is an election for which (A) the secretary of the corporation receives a notice pursuant to these bylaws that a stockholder intends to nominate a director or directors, (B) such proposed nomination has not been withdrawn by such stockholder on or prior to the tenth day preceding the date the corporation first mails to stockholders its notice of meeting for such meeting election, and (C) the number of nominees exceeds the number of directors to be elected in such election; (ii) a “majority of the votes cast” shall mean the number of shares voted “for” a director’s election exceeds 50% of the number of votes cast with respect to that director’s election; and (iii) “votes cast” shall mean votes of the shares of capital stock present in person or represented by proxy at the meeting and entitled to vote on the election of directors and shall include “against” votes and exclude abstentions and broker non-votes with respect to that director’s election.</w:t>
      </w:r>
    </w:p>
    <w:p>
      <w:pPr>
        <w:spacing w:after="0" w:line="169"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9"/>
          <w:szCs w:val="19"/>
          <w:color w:val="auto"/>
        </w:rPr>
        <w:t>Section 11.</w:t>
      </w:r>
      <w:r>
        <w:rPr>
          <w:sz w:val="20"/>
          <w:szCs w:val="20"/>
          <w:color w:val="auto"/>
        </w:rPr>
        <w:tab/>
      </w:r>
      <w:r>
        <w:rPr>
          <w:rFonts w:ascii="Arial" w:cs="Arial" w:eastAsia="Arial" w:hAnsi="Arial"/>
          <w:sz w:val="17"/>
          <w:szCs w:val="17"/>
          <w:u w:val="single" w:color="auto"/>
          <w:color w:val="auto"/>
        </w:rPr>
        <w:t>Voting and Proxies</w:t>
      </w:r>
      <w:r>
        <w:rPr>
          <w:rFonts w:ascii="Arial" w:cs="Arial" w:eastAsia="Arial" w:hAnsi="Arial"/>
          <w:sz w:val="17"/>
          <w:szCs w:val="17"/>
          <w:color w:val="auto"/>
        </w:rPr>
        <w:t>. Unless otherwise required by law or provided in the certificate of incorporation, each stockholder</w:t>
      </w:r>
    </w:p>
    <w:p>
      <w:pPr>
        <w:ind w:right="420"/>
        <w:spacing w:after="0" w:line="235" w:lineRule="auto"/>
        <w:rPr>
          <w:sz w:val="20"/>
          <w:szCs w:val="20"/>
          <w:color w:val="auto"/>
        </w:rPr>
      </w:pPr>
      <w:r>
        <w:rPr>
          <w:rFonts w:ascii="Arial" w:cs="Arial" w:eastAsia="Arial" w:hAnsi="Arial"/>
          <w:sz w:val="17"/>
          <w:szCs w:val="17"/>
          <w:color w:val="auto"/>
        </w:rPr>
        <w:t>shall at every meeting of the stockholders be entitled to one vote for each share of capital stock having voting power held of record by such stockholder. Each stockholder entitled to vote at a meeting of stockholders, or to express consent or dissent to corporate action in writing</w:t>
      </w:r>
    </w:p>
    <w:p>
      <w:pPr>
        <w:spacing w:after="0" w:line="1" w:lineRule="exact"/>
        <w:rPr>
          <w:sz w:val="20"/>
          <w:szCs w:val="20"/>
          <w:color w:val="auto"/>
        </w:rPr>
      </w:pPr>
    </w:p>
    <w:p>
      <w:pPr>
        <w:ind w:right="40"/>
        <w:spacing w:after="0" w:line="236" w:lineRule="auto"/>
        <w:rPr>
          <w:sz w:val="20"/>
          <w:szCs w:val="20"/>
          <w:color w:val="auto"/>
        </w:rPr>
      </w:pPr>
      <w:r>
        <w:rPr>
          <w:rFonts w:ascii="Arial" w:cs="Arial" w:eastAsia="Arial" w:hAnsi="Arial"/>
          <w:sz w:val="19"/>
          <w:szCs w:val="19"/>
          <w:color w:val="auto"/>
        </w:rPr>
        <w:t>without a meeting, may authorize another person or persons to act for such stockholder by proxy in the manner authorized by Section 212 of the DGCL, but no such proxy shall be voted or acted upon after three years from its date, unless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19"/>
        <w:spacing w:after="0"/>
        <w:rPr>
          <w:sz w:val="20"/>
          <w:szCs w:val="20"/>
          <w:color w:val="auto"/>
        </w:rPr>
      </w:pPr>
      <w:r>
        <w:rPr>
          <w:rFonts w:ascii="Arial" w:cs="Arial" w:eastAsia="Arial" w:hAnsi="Arial"/>
          <w:sz w:val="21"/>
          <w:szCs w:val="21"/>
          <w:color w:val="auto"/>
        </w:rPr>
        <w:t>-17-</w:t>
      </w:r>
    </w:p>
    <w:p>
      <w:pPr>
        <w:jc w:val="right"/>
        <w:spacing w:after="0"/>
        <w:rPr>
          <w:sz w:val="20"/>
          <w:szCs w:val="20"/>
          <w:color w:val="auto"/>
        </w:rPr>
      </w:pPr>
      <w:r>
        <w:rPr>
          <w:rFonts w:ascii="Arial" w:cs="Arial" w:eastAsia="Arial" w:hAnsi="Arial"/>
          <w:sz w:val="14"/>
          <w:szCs w:val="14"/>
          <w:color w:val="auto"/>
        </w:rPr>
        <w:t>4878-8402-9764.v3</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proxy provides for a longer period. All proxies must be filed with the secretary of the corporation or the inspector of election for the meeting at</w:t>
      </w:r>
    </w:p>
    <w:p>
      <w:pPr>
        <w:spacing w:after="0" w:line="8" w:lineRule="exact"/>
        <w:rPr>
          <w:sz w:val="20"/>
          <w:szCs w:val="20"/>
          <w:color w:val="auto"/>
        </w:rPr>
      </w:pPr>
    </w:p>
    <w:p>
      <w:pPr>
        <w:ind w:right="500"/>
        <w:spacing w:after="0" w:line="235" w:lineRule="auto"/>
        <w:rPr>
          <w:sz w:val="20"/>
          <w:szCs w:val="20"/>
          <w:color w:val="auto"/>
        </w:rPr>
      </w:pPr>
      <w:r>
        <w:rPr>
          <w:rFonts w:ascii="Arial" w:cs="Arial" w:eastAsia="Arial" w:hAnsi="Arial"/>
          <w:sz w:val="17"/>
          <w:szCs w:val="17"/>
          <w:color w:val="auto"/>
        </w:rPr>
        <w:t>the beginning of such meeting in order to be counted in any vote at the meeting. Subject to the limitation set forth in the last clauses of the second preceding sentence, a duly executed proxy that does not state that it is irrevocable shall continue in full force and effect unless (i)</w:t>
      </w:r>
    </w:p>
    <w:p>
      <w:pPr>
        <w:spacing w:after="0" w:line="232" w:lineRule="auto"/>
        <w:rPr>
          <w:sz w:val="20"/>
          <w:szCs w:val="20"/>
          <w:color w:val="auto"/>
        </w:rPr>
      </w:pPr>
      <w:r>
        <w:rPr>
          <w:rFonts w:ascii="Arial" w:cs="Arial" w:eastAsia="Arial" w:hAnsi="Arial"/>
          <w:sz w:val="18"/>
          <w:szCs w:val="18"/>
          <w:color w:val="auto"/>
        </w:rPr>
        <w:t>revoked by the person executing it, before the vote pursuant to that proxy, by a writing delivered to the corporation stating that the proxy is</w:t>
      </w:r>
    </w:p>
    <w:p>
      <w:pPr>
        <w:ind w:right="460"/>
        <w:spacing w:after="0" w:line="235" w:lineRule="auto"/>
        <w:rPr>
          <w:sz w:val="20"/>
          <w:szCs w:val="20"/>
          <w:color w:val="auto"/>
        </w:rPr>
      </w:pPr>
      <w:r>
        <w:rPr>
          <w:rFonts w:ascii="Arial" w:cs="Arial" w:eastAsia="Arial" w:hAnsi="Arial"/>
          <w:sz w:val="17"/>
          <w:szCs w:val="17"/>
          <w:color w:val="auto"/>
        </w:rPr>
        <w:t>revoked or by a subsequent proxy executed by, or attendance at the meeting and voting in person by, the person executing the proxy, or (ii) written notice of the death or incapacity of the maker of that proxy is received by the corporation before the vote pursuant to that proxy is</w:t>
      </w:r>
    </w:p>
    <w:p>
      <w:pPr>
        <w:spacing w:after="0" w:line="232" w:lineRule="auto"/>
        <w:rPr>
          <w:sz w:val="20"/>
          <w:szCs w:val="20"/>
          <w:color w:val="auto"/>
        </w:rPr>
      </w:pPr>
      <w:r>
        <w:rPr>
          <w:rFonts w:ascii="Arial" w:cs="Arial" w:eastAsia="Arial" w:hAnsi="Arial"/>
          <w:sz w:val="18"/>
          <w:szCs w:val="18"/>
          <w:color w:val="auto"/>
        </w:rPr>
        <w:t>counted. A duly executed proxy shall be irrevocable if it states that it is irrevocable and if, and only as long as, it is coupled with an interest</w:t>
      </w:r>
    </w:p>
    <w:p>
      <w:pPr>
        <w:ind w:right="20"/>
        <w:spacing w:after="0" w:line="235" w:lineRule="auto"/>
        <w:rPr>
          <w:sz w:val="20"/>
          <w:szCs w:val="20"/>
          <w:color w:val="auto"/>
        </w:rPr>
      </w:pPr>
      <w:r>
        <w:rPr>
          <w:rFonts w:ascii="Arial" w:cs="Arial" w:eastAsia="Arial" w:hAnsi="Arial"/>
          <w:sz w:val="17"/>
          <w:szCs w:val="17"/>
          <w:color w:val="auto"/>
        </w:rPr>
        <w:t>sufficient in law to support an irrevocable power, regardless of whether the interest with which it is coupled is an interest in the stock itself or an interest in the corporation generally. Voting at meetings of stockholders need not be by written ballot unless so directed by the person presiding</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at the meeting or the board of directors.</w:t>
      </w:r>
    </w:p>
    <w:p>
      <w:pPr>
        <w:spacing w:after="0" w:line="176" w:lineRule="exact"/>
        <w:rPr>
          <w:sz w:val="20"/>
          <w:szCs w:val="20"/>
          <w:color w:val="auto"/>
        </w:rPr>
      </w:pPr>
    </w:p>
    <w:p>
      <w:pPr>
        <w:ind w:right="400" w:firstLine="636"/>
        <w:spacing w:after="0" w:line="245"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Action Without Meeting</w:t>
      </w:r>
      <w:r>
        <w:rPr>
          <w:rFonts w:ascii="Arial" w:cs="Arial" w:eastAsia="Arial" w:hAnsi="Arial"/>
          <w:sz w:val="17"/>
          <w:szCs w:val="17"/>
          <w:color w:val="auto"/>
        </w:rPr>
        <w:t>. Any action required to be taken at any annual or special meeting of stockholders, or any action which may be taken at any annual or special meeting of such stockholders, may be taken without a meeting, without prior notice and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without a vote, if a consent in writing, setting forth the action so taken, shall be signed by the holders of outstanding stock having not less than</w:t>
      </w:r>
    </w:p>
    <w:p>
      <w:pPr>
        <w:spacing w:after="0" w:line="3"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the minimum number of votes that would be necessary to authorize or take such action at a meeting at which all shares entitled to vote thereon were present and voted. Prompt notice of the taking of the corporate action without a meeting by less than unanimous written consent shall be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given to those stockholders who have not consented in writing.</w:t>
      </w:r>
    </w:p>
    <w:p>
      <w:pPr>
        <w:spacing w:after="0" w:line="176" w:lineRule="exact"/>
        <w:rPr>
          <w:sz w:val="20"/>
          <w:szCs w:val="20"/>
          <w:color w:val="auto"/>
        </w:rPr>
      </w:pPr>
    </w:p>
    <w:p>
      <w:pPr>
        <w:ind w:right="60" w:firstLine="636"/>
        <w:spacing w:after="0" w:line="245"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u w:val="single" w:color="auto"/>
          <w:color w:val="auto"/>
        </w:rPr>
        <w:t>Organization</w:t>
      </w:r>
      <w:r>
        <w:rPr>
          <w:rFonts w:ascii="Arial" w:cs="Arial" w:eastAsia="Arial" w:hAnsi="Arial"/>
          <w:sz w:val="17"/>
          <w:szCs w:val="17"/>
          <w:color w:val="auto"/>
        </w:rPr>
        <w:t>. Meetings of stockholders shall be presided over by the chair of the board of directors, if any, or in the absence of the chair of the board of directors by the vice chair of the board of directors, if any, or in the absence of the vice chair of the board of</w:t>
      </w:r>
    </w:p>
    <w:p>
      <w:pPr>
        <w:spacing w:after="0" w:line="1"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directors by the lead independent director of the board of directors, or in the absence of the lead independent director of the board of directors by the president, or in the absence of the president by a vice president, or in the absence of the foregoing persons by a person designated by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or in the absence of such designation by a person chosen at the meeting. The secretary, or in the absence of the secretary an</w:t>
      </w:r>
    </w:p>
    <w:p>
      <w:pPr>
        <w:spacing w:after="0" w:line="3" w:lineRule="exact"/>
        <w:rPr>
          <w:sz w:val="20"/>
          <w:szCs w:val="20"/>
          <w:color w:val="auto"/>
        </w:rPr>
      </w:pPr>
    </w:p>
    <w:p>
      <w:pPr>
        <w:ind w:right="20"/>
        <w:spacing w:after="0" w:line="228" w:lineRule="auto"/>
        <w:rPr>
          <w:sz w:val="20"/>
          <w:szCs w:val="20"/>
          <w:color w:val="auto"/>
        </w:rPr>
      </w:pPr>
      <w:r>
        <w:rPr>
          <w:rFonts w:ascii="Arial" w:cs="Arial" w:eastAsia="Arial" w:hAnsi="Arial"/>
          <w:sz w:val="19"/>
          <w:szCs w:val="19"/>
          <w:color w:val="auto"/>
        </w:rPr>
        <w:t>assistant secretary, shall act as secretary of the meeting, but in the absence of the secretary and any assistant secretary the person presiding at the meeting may appoint any person to act as secretary of the meeting.</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order of business at each such meeting shall be as determined by the person presiding at the meeting. The board of directors may</w:t>
      </w:r>
    </w:p>
    <w:p>
      <w:pPr>
        <w:spacing w:after="0" w:line="19"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adopt by resolution such rules and regulations for the conduct of the meeting as it shall deem appropriate. Except to the extent inconsistent with such rules and regulations as adopted by the board of directors, the person presiding at the meeting shall have the right and authority to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prescribe such rules, regulations and procedures and to do all such acts and things as, in the judgment of such person, are necessary or desirable</w:t>
      </w:r>
    </w:p>
    <w:p>
      <w:pPr>
        <w:spacing w:after="0" w:line="3"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for the proper conduct of the meeting, including, without limitation, (i) establishing procedures for the maintenance of order and safety, (ii) establishing limitations on the time allotted to questions or comments on the affairs of the corporation, (iii) establishing restrictions on entry to</w:t>
      </w:r>
    </w:p>
    <w:p>
      <w:pPr>
        <w:spacing w:after="0" w:line="232" w:lineRule="auto"/>
        <w:rPr>
          <w:sz w:val="20"/>
          <w:szCs w:val="20"/>
          <w:color w:val="auto"/>
        </w:rPr>
      </w:pPr>
      <w:r>
        <w:rPr>
          <w:rFonts w:ascii="Arial" w:cs="Arial" w:eastAsia="Arial" w:hAnsi="Arial"/>
          <w:sz w:val="18"/>
          <w:szCs w:val="18"/>
          <w:color w:val="auto"/>
        </w:rPr>
        <w:t>such meeting after the time prescribed for the commencement thereof, (iv) establishing limitations on attendance and participation at the</w:t>
      </w:r>
    </w:p>
    <w:p>
      <w:pPr>
        <w:ind w:right="620"/>
        <w:spacing w:after="0" w:line="235" w:lineRule="auto"/>
        <w:rPr>
          <w:sz w:val="20"/>
          <w:szCs w:val="20"/>
          <w:color w:val="auto"/>
        </w:rPr>
      </w:pPr>
      <w:r>
        <w:rPr>
          <w:rFonts w:ascii="Arial" w:cs="Arial" w:eastAsia="Arial" w:hAnsi="Arial"/>
          <w:sz w:val="17"/>
          <w:szCs w:val="17"/>
          <w:color w:val="auto"/>
        </w:rPr>
        <w:t>meeting to stockholders of record, their duly authorized proxies and such other individuals as the person presiding at the meeting may determine, (v) establishing the opening and closing of the voting polls, for each item on which a vote is to be taken, (vi) determining and</w:t>
      </w:r>
    </w:p>
    <w:p>
      <w:pPr>
        <w:spacing w:after="0" w:line="232" w:lineRule="auto"/>
        <w:rPr>
          <w:sz w:val="20"/>
          <w:szCs w:val="20"/>
          <w:color w:val="auto"/>
        </w:rPr>
      </w:pPr>
      <w:r>
        <w:rPr>
          <w:rFonts w:ascii="Arial" w:cs="Arial" w:eastAsia="Arial" w:hAnsi="Arial"/>
          <w:sz w:val="18"/>
          <w:szCs w:val="18"/>
          <w:color w:val="auto"/>
        </w:rPr>
        <w:t>declaring that a matter, business or nomination was not properly brought before the meeting, (vii) removing any stockholder or any other</w:t>
      </w:r>
    </w:p>
    <w:p>
      <w:pPr>
        <w:ind w:right="80"/>
        <w:spacing w:after="0" w:line="271" w:lineRule="auto"/>
        <w:rPr>
          <w:sz w:val="20"/>
          <w:szCs w:val="20"/>
          <w:color w:val="auto"/>
        </w:rPr>
      </w:pPr>
      <w:r>
        <w:rPr>
          <w:rFonts w:ascii="Arial" w:cs="Arial" w:eastAsia="Arial" w:hAnsi="Arial"/>
          <w:sz w:val="17"/>
          <w:szCs w:val="17"/>
          <w:color w:val="auto"/>
        </w:rPr>
        <w:t>individual who refuses to comply with meeting rules, regulations and procedures as set forth by the board of directors or the person presiding at the meeting, (viii) concluding the meeting or adjourning or postponing the meeting, whether or not a quorum is present, to a later date or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19"/>
        <w:spacing w:after="0"/>
        <w:rPr>
          <w:sz w:val="20"/>
          <w:szCs w:val="20"/>
          <w:color w:val="auto"/>
        </w:rPr>
      </w:pPr>
      <w:r>
        <w:rPr>
          <w:rFonts w:ascii="Arial" w:cs="Arial" w:eastAsia="Arial" w:hAnsi="Arial"/>
          <w:sz w:val="21"/>
          <w:szCs w:val="21"/>
          <w:color w:val="auto"/>
        </w:rPr>
        <w:t>-18-</w:t>
      </w:r>
    </w:p>
    <w:p>
      <w:pPr>
        <w:jc w:val="right"/>
        <w:spacing w:after="0"/>
        <w:rPr>
          <w:sz w:val="20"/>
          <w:szCs w:val="20"/>
          <w:color w:val="auto"/>
        </w:rPr>
      </w:pPr>
      <w:r>
        <w:rPr>
          <w:rFonts w:ascii="Arial" w:cs="Arial" w:eastAsia="Arial" w:hAnsi="Arial"/>
          <w:sz w:val="14"/>
          <w:szCs w:val="14"/>
          <w:color w:val="auto"/>
        </w:rPr>
        <w:t>4878-8402-9764.v3</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200" w:lineRule="exact"/>
        <w:rPr>
          <w:sz w:val="20"/>
          <w:szCs w:val="20"/>
          <w:color w:val="auto"/>
        </w:rPr>
      </w:pPr>
    </w:p>
    <w:p>
      <w:pPr>
        <w:spacing w:after="0" w:line="378" w:lineRule="exact"/>
        <w:rPr>
          <w:sz w:val="20"/>
          <w:szCs w:val="20"/>
          <w:color w:val="auto"/>
        </w:rPr>
      </w:pPr>
    </w:p>
    <w:p>
      <w:pPr>
        <w:ind w:right="140"/>
        <w:spacing w:after="0" w:line="249" w:lineRule="auto"/>
        <w:rPr>
          <w:sz w:val="20"/>
          <w:szCs w:val="20"/>
          <w:color w:val="auto"/>
        </w:rPr>
      </w:pPr>
      <w:r>
        <w:rPr>
          <w:rFonts w:ascii="Arial" w:cs="Arial" w:eastAsia="Arial" w:hAnsi="Arial"/>
          <w:sz w:val="19"/>
          <w:szCs w:val="19"/>
          <w:color w:val="auto"/>
        </w:rPr>
        <w:t>and at the same or some other place, if any, or by means of remote communication and (ix) restricting the use of audio/video recording devices and cell phones at the meeting.</w:t>
      </w:r>
    </w:p>
    <w:p>
      <w:pPr>
        <w:spacing w:after="0" w:line="143" w:lineRule="exact"/>
        <w:rPr>
          <w:sz w:val="20"/>
          <w:szCs w:val="20"/>
          <w:color w:val="auto"/>
        </w:rPr>
      </w:pPr>
    </w:p>
    <w:p>
      <w:pPr>
        <w:ind w:right="40" w:firstLine="636"/>
        <w:spacing w:after="0" w:line="253"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Inspectors</w:t>
      </w:r>
      <w:r>
        <w:rPr>
          <w:rFonts w:ascii="Arial" w:cs="Arial" w:eastAsia="Arial" w:hAnsi="Arial"/>
          <w:sz w:val="17"/>
          <w:szCs w:val="17"/>
          <w:color w:val="auto"/>
        </w:rPr>
        <w:t>. Prior to any meeting of stockholders, the board of directors or the president shall appoint one or more inspectors to act at such meeting and make a written report thereof and may designate one or more persons as alternate inspectors to replace any</w:t>
      </w:r>
    </w:p>
    <w:p>
      <w:pPr>
        <w:spacing w:after="0" w:line="1"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inspector who fails to act. If no inspector or alternate is able to act at the meeting of stockholders, the person presiding at the meeting shall appoint one or more inspectors to act at the meeting. Each inspector, before entering upon the discharge of his or her duties, shall take and sign</w:t>
      </w:r>
    </w:p>
    <w:p>
      <w:pPr>
        <w:spacing w:after="0" w:line="232" w:lineRule="auto"/>
        <w:rPr>
          <w:sz w:val="20"/>
          <w:szCs w:val="20"/>
          <w:color w:val="auto"/>
        </w:rPr>
      </w:pPr>
      <w:r>
        <w:rPr>
          <w:rFonts w:ascii="Arial" w:cs="Arial" w:eastAsia="Arial" w:hAnsi="Arial"/>
          <w:sz w:val="18"/>
          <w:szCs w:val="18"/>
          <w:color w:val="auto"/>
        </w:rPr>
        <w:t>an oath faithfully to execute the duties of inspector with strict impartiality and according to the best of his or her ability. The inspectors shall (i)</w:t>
      </w:r>
    </w:p>
    <w:p>
      <w:pPr>
        <w:ind w:right="80"/>
        <w:spacing w:after="0" w:line="235" w:lineRule="auto"/>
        <w:rPr>
          <w:sz w:val="20"/>
          <w:szCs w:val="20"/>
          <w:color w:val="auto"/>
        </w:rPr>
      </w:pPr>
      <w:r>
        <w:rPr>
          <w:rFonts w:ascii="Arial" w:cs="Arial" w:eastAsia="Arial" w:hAnsi="Arial"/>
          <w:sz w:val="17"/>
          <w:szCs w:val="17"/>
          <w:color w:val="auto"/>
        </w:rPr>
        <w:t>ascertain the number of shares outstanding and the voting power of each, (ii) determine the shares represented at the meeting and the validity of proxies and ballots, (iii) count all votes and ballots, (iv) determine and retain for a reasonable period a record of the disposition of any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challenges made to any determination by the inspectors and (v) certify their determination of the number of shares represented at the meeting</w:t>
      </w:r>
    </w:p>
    <w:p>
      <w:pPr>
        <w:spacing w:after="0" w:line="3"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and their count of all votes and ballots. The inspectors may appoint or retain other persons to assist them in the performance of their duties. The date and time of the opening and closing of the polls for each matter upon which the stockholders will vote at a meeting shall be announced at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meeting. No ballot, proxy or vote, nor any revocation thereof or change thereto, shall be accepted by the inspectors after the closing of the</w:t>
      </w:r>
    </w:p>
    <w:p>
      <w:pPr>
        <w:spacing w:after="0" w:line="3" w:lineRule="exact"/>
        <w:rPr>
          <w:sz w:val="20"/>
          <w:szCs w:val="20"/>
          <w:color w:val="auto"/>
        </w:rPr>
      </w:pPr>
    </w:p>
    <w:p>
      <w:pPr>
        <w:ind w:right="80"/>
        <w:spacing w:after="0" w:line="228" w:lineRule="auto"/>
        <w:rPr>
          <w:sz w:val="20"/>
          <w:szCs w:val="20"/>
          <w:color w:val="auto"/>
        </w:rPr>
      </w:pPr>
      <w:r>
        <w:rPr>
          <w:rFonts w:ascii="Arial" w:cs="Arial" w:eastAsia="Arial" w:hAnsi="Arial"/>
          <w:sz w:val="19"/>
          <w:szCs w:val="19"/>
          <w:color w:val="auto"/>
        </w:rPr>
        <w:t>polls. In determining the validity and counting of proxies and ballots, the inspectors shall conduct the examination in accordance with, consider such information as is permitted by, applicable law.</w:t>
      </w:r>
    </w:p>
    <w:p>
      <w:pPr>
        <w:spacing w:after="0" w:line="159" w:lineRule="exact"/>
        <w:rPr>
          <w:sz w:val="20"/>
          <w:szCs w:val="20"/>
          <w:color w:val="auto"/>
        </w:rPr>
      </w:pPr>
    </w:p>
    <w:p>
      <w:pPr>
        <w:ind w:left="4980"/>
        <w:spacing w:after="0"/>
        <w:rPr>
          <w:sz w:val="20"/>
          <w:szCs w:val="20"/>
          <w:color w:val="auto"/>
        </w:rPr>
      </w:pPr>
      <w:r>
        <w:rPr>
          <w:rFonts w:ascii="Arial" w:cs="Arial" w:eastAsia="Arial" w:hAnsi="Arial"/>
          <w:sz w:val="19"/>
          <w:szCs w:val="19"/>
          <w:b w:val="1"/>
          <w:bCs w:val="1"/>
          <w:color w:val="auto"/>
        </w:rPr>
        <w:t>Article II</w:t>
      </w:r>
    </w:p>
    <w:p>
      <w:pPr>
        <w:spacing w:after="0" w:line="166" w:lineRule="exact"/>
        <w:rPr>
          <w:sz w:val="20"/>
          <w:szCs w:val="20"/>
          <w:color w:val="auto"/>
        </w:rPr>
      </w:pPr>
    </w:p>
    <w:p>
      <w:pPr>
        <w:ind w:left="5040"/>
        <w:spacing w:after="0"/>
        <w:rPr>
          <w:sz w:val="20"/>
          <w:szCs w:val="20"/>
          <w:color w:val="auto"/>
        </w:rPr>
      </w:pPr>
      <w:r>
        <w:rPr>
          <w:rFonts w:ascii="Arial" w:cs="Arial" w:eastAsia="Arial" w:hAnsi="Arial"/>
          <w:sz w:val="19"/>
          <w:szCs w:val="19"/>
          <w:b w:val="1"/>
          <w:bCs w:val="1"/>
          <w:color w:val="auto"/>
        </w:rPr>
        <w:t>DIRECTORS</w:t>
      </w:r>
    </w:p>
    <w:p>
      <w:pPr>
        <w:spacing w:after="0" w:line="198" w:lineRule="exact"/>
        <w:rPr>
          <w:sz w:val="20"/>
          <w:szCs w:val="20"/>
          <w:color w:val="auto"/>
        </w:rPr>
      </w:pPr>
    </w:p>
    <w:p>
      <w:pPr>
        <w:ind w:right="140" w:firstLine="636"/>
        <w:spacing w:after="0" w:line="232"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Number, Election, Tenure and Qualification</w:t>
      </w:r>
      <w:r>
        <w:rPr>
          <w:rFonts w:ascii="Arial" w:cs="Arial" w:eastAsia="Arial" w:hAnsi="Arial"/>
          <w:sz w:val="18"/>
          <w:szCs w:val="18"/>
          <w:color w:val="auto"/>
        </w:rPr>
        <w:t>. The number of directors that shall constitute the whole board of directors shall be determined from time to time by resolution of the majority of the directors then in office, provided that the whole board of directors</w:t>
      </w:r>
    </w:p>
    <w:p>
      <w:pPr>
        <w:spacing w:after="0"/>
        <w:rPr>
          <w:sz w:val="20"/>
          <w:szCs w:val="20"/>
          <w:color w:val="auto"/>
        </w:rPr>
      </w:pPr>
      <w:r>
        <w:rPr>
          <w:rFonts w:ascii="Arial" w:cs="Arial" w:eastAsia="Arial" w:hAnsi="Arial"/>
          <w:sz w:val="17"/>
          <w:szCs w:val="17"/>
          <w:color w:val="auto"/>
        </w:rPr>
        <w:t>shall consist of at least one member. No decrease in the number of authorized directors shall have the effect of removing any director before that</w:t>
      </w:r>
    </w:p>
    <w:p>
      <w:pPr>
        <w:spacing w:after="0" w:line="3" w:lineRule="exact"/>
        <w:rPr>
          <w:sz w:val="20"/>
          <w:szCs w:val="20"/>
          <w:color w:val="auto"/>
        </w:rPr>
      </w:pPr>
    </w:p>
    <w:p>
      <w:pPr>
        <w:ind w:right="320"/>
        <w:spacing w:after="0" w:line="235" w:lineRule="auto"/>
        <w:rPr>
          <w:sz w:val="20"/>
          <w:szCs w:val="20"/>
          <w:color w:val="auto"/>
        </w:rPr>
      </w:pPr>
      <w:r>
        <w:rPr>
          <w:rFonts w:ascii="Arial" w:cs="Arial" w:eastAsia="Arial" w:hAnsi="Arial"/>
          <w:sz w:val="17"/>
          <w:szCs w:val="17"/>
          <w:color w:val="auto"/>
        </w:rPr>
        <w:t>director’s term of office expires. The directors shall be elected at the annual meeting or at any special meeting of the stockholders, except as otherwise provided in these bylaws, and each director elected shall hold office until such director’s successor is duly elected and qualified or</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until such director’s earlier resignation, removal, death or incapacity. Directors need not be stockholders.</w:t>
      </w:r>
    </w:p>
    <w:p>
      <w:pPr>
        <w:spacing w:after="0" w:line="176" w:lineRule="exact"/>
        <w:rPr>
          <w:sz w:val="20"/>
          <w:szCs w:val="20"/>
          <w:color w:val="auto"/>
        </w:rPr>
      </w:pPr>
    </w:p>
    <w:p>
      <w:pPr>
        <w:ind w:right="240" w:firstLine="636"/>
        <w:spacing w:after="0" w:line="245"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Vacancies</w:t>
      </w:r>
      <w:r>
        <w:rPr>
          <w:rFonts w:ascii="Arial" w:cs="Arial" w:eastAsia="Arial" w:hAnsi="Arial"/>
          <w:sz w:val="17"/>
          <w:szCs w:val="17"/>
          <w:color w:val="auto"/>
        </w:rPr>
        <w:t>. Sole power to fill newly created directorships resulting from any increase in the authorized number of directors and vacancies occurring in the board of directors for any reason, whether because of death, resignation, disqualification or any other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reason, shall be vested in the board of directors through action by a majority of the directors then in office, though less than a quorum, or by a</w:t>
      </w:r>
    </w:p>
    <w:p>
      <w:pPr>
        <w:spacing w:after="0" w:line="3" w:lineRule="exact"/>
        <w:rPr>
          <w:sz w:val="20"/>
          <w:szCs w:val="20"/>
          <w:color w:val="auto"/>
        </w:rPr>
      </w:pPr>
    </w:p>
    <w:p>
      <w:pPr>
        <w:ind w:right="120"/>
        <w:spacing w:after="0" w:line="228" w:lineRule="auto"/>
        <w:rPr>
          <w:sz w:val="20"/>
          <w:szCs w:val="20"/>
          <w:color w:val="auto"/>
        </w:rPr>
      </w:pPr>
      <w:r>
        <w:rPr>
          <w:rFonts w:ascii="Arial" w:cs="Arial" w:eastAsia="Arial" w:hAnsi="Arial"/>
          <w:sz w:val="19"/>
          <w:szCs w:val="19"/>
          <w:color w:val="auto"/>
        </w:rPr>
        <w:t>sole remaining director, and a director so chosen shall hold office until the next annual meeting of stockholders and until his or her successor is duly elected and qualified or until such director’s earlier resignation, removal, death or incapacity.</w:t>
      </w:r>
    </w:p>
    <w:p>
      <w:pPr>
        <w:spacing w:after="0" w:line="161"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9"/>
          <w:szCs w:val="19"/>
          <w:color w:val="auto"/>
        </w:rPr>
        <w:t>Section 3.</w:t>
      </w:r>
      <w:r>
        <w:rPr>
          <w:sz w:val="20"/>
          <w:szCs w:val="20"/>
          <w:color w:val="auto"/>
        </w:rPr>
        <w:tab/>
      </w:r>
      <w:r>
        <w:rPr>
          <w:rFonts w:ascii="Arial" w:cs="Arial" w:eastAsia="Arial" w:hAnsi="Arial"/>
          <w:sz w:val="17"/>
          <w:szCs w:val="17"/>
          <w:u w:val="single" w:color="auto"/>
          <w:color w:val="auto"/>
        </w:rPr>
        <w:t>Resignation and Removal</w:t>
      </w:r>
      <w:r>
        <w:rPr>
          <w:rFonts w:ascii="Arial" w:cs="Arial" w:eastAsia="Arial" w:hAnsi="Arial"/>
          <w:sz w:val="17"/>
          <w:szCs w:val="17"/>
          <w:color w:val="auto"/>
        </w:rPr>
        <w:t>. Any director may resign at any time by providing written notice to the corporation at its</w:t>
      </w:r>
    </w:p>
    <w:p>
      <w:pPr>
        <w:ind w:right="40"/>
        <w:spacing w:after="0" w:line="235" w:lineRule="auto"/>
        <w:rPr>
          <w:sz w:val="20"/>
          <w:szCs w:val="20"/>
          <w:color w:val="auto"/>
        </w:rPr>
      </w:pPr>
      <w:r>
        <w:rPr>
          <w:rFonts w:ascii="Arial" w:cs="Arial" w:eastAsia="Arial" w:hAnsi="Arial"/>
          <w:sz w:val="17"/>
          <w:szCs w:val="17"/>
          <w:color w:val="auto"/>
        </w:rPr>
        <w:t>principal place of business or to the chief executive officer or the secretary. Such resignation shall be effective upon receipt unless it is specified to be effective at some other time or upon the happening of some other event, in which case it shall be effective at such later time or upon the</w:t>
      </w:r>
    </w:p>
    <w:p>
      <w:pPr>
        <w:spacing w:after="0" w:line="1" w:lineRule="exact"/>
        <w:rPr>
          <w:sz w:val="20"/>
          <w:szCs w:val="20"/>
          <w:color w:val="auto"/>
        </w:rPr>
      </w:pPr>
    </w:p>
    <w:p>
      <w:pPr>
        <w:ind w:right="300"/>
        <w:spacing w:after="0" w:line="236" w:lineRule="auto"/>
        <w:rPr>
          <w:sz w:val="20"/>
          <w:szCs w:val="20"/>
          <w:color w:val="auto"/>
        </w:rPr>
      </w:pPr>
      <w:r>
        <w:rPr>
          <w:rFonts w:ascii="Arial" w:cs="Arial" w:eastAsia="Arial" w:hAnsi="Arial"/>
          <w:sz w:val="19"/>
          <w:szCs w:val="19"/>
          <w:color w:val="auto"/>
        </w:rPr>
        <w:t>happening of such event, and unless otherwise specified therein no acceptance of such resignation shall be necessary to make it effective and unless otherwise specified therein, no acceptance of such resignation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19"/>
        <w:spacing w:after="0"/>
        <w:rPr>
          <w:sz w:val="20"/>
          <w:szCs w:val="20"/>
          <w:color w:val="auto"/>
        </w:rPr>
      </w:pPr>
      <w:r>
        <w:rPr>
          <w:rFonts w:ascii="Arial" w:cs="Arial" w:eastAsia="Arial" w:hAnsi="Arial"/>
          <w:sz w:val="21"/>
          <w:szCs w:val="21"/>
          <w:color w:val="auto"/>
        </w:rPr>
        <w:t>-19-</w:t>
      </w:r>
    </w:p>
    <w:p>
      <w:pPr>
        <w:jc w:val="right"/>
        <w:spacing w:after="0"/>
        <w:rPr>
          <w:sz w:val="20"/>
          <w:szCs w:val="20"/>
          <w:color w:val="auto"/>
        </w:rPr>
      </w:pPr>
      <w:r>
        <w:rPr>
          <w:rFonts w:ascii="Arial" w:cs="Arial" w:eastAsia="Arial" w:hAnsi="Arial"/>
          <w:sz w:val="14"/>
          <w:szCs w:val="14"/>
          <w:color w:val="auto"/>
        </w:rPr>
        <w:t>4878-8402-9764.v3</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200" w:lineRule="exact"/>
        <w:rPr>
          <w:sz w:val="20"/>
          <w:szCs w:val="20"/>
          <w:color w:val="auto"/>
        </w:rPr>
      </w:pPr>
    </w:p>
    <w:p>
      <w:pPr>
        <w:spacing w:after="0" w:line="378"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necessary to make it effective. Any director or the entire board of directors may be removed, with or without cause, by the holders of a majority of the shares then entitled to vote at an election of directors, unless otherwise specified by law or the certificate of incorporation.</w:t>
      </w:r>
    </w:p>
    <w:p>
      <w:pPr>
        <w:spacing w:after="0" w:line="120" w:lineRule="exact"/>
        <w:rPr>
          <w:sz w:val="20"/>
          <w:szCs w:val="20"/>
          <w:color w:val="auto"/>
        </w:rPr>
      </w:pPr>
    </w:p>
    <w:p>
      <w:pPr>
        <w:ind w:right="180" w:firstLine="636"/>
        <w:spacing w:after="0" w:line="236"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General Powers</w:t>
      </w:r>
      <w:r>
        <w:rPr>
          <w:rFonts w:ascii="Arial" w:cs="Arial" w:eastAsia="Arial" w:hAnsi="Arial"/>
          <w:sz w:val="19"/>
          <w:szCs w:val="19"/>
          <w:color w:val="auto"/>
        </w:rPr>
        <w:t>. The business and affairs of the corporation shall be managed by or under the direction of its board of directors, which may exercise all powers of the corporation and do all such lawful acts and things as are not by statute or by the certificate of incorporation or by these bylaws directed or required to be exercised or done by the stockholders.</w:t>
      </w:r>
    </w:p>
    <w:p>
      <w:pPr>
        <w:spacing w:after="0" w:line="147"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9"/>
          <w:szCs w:val="19"/>
          <w:color w:val="auto"/>
        </w:rPr>
        <w:t>Section 5.</w:t>
      </w:r>
      <w:r>
        <w:rPr>
          <w:sz w:val="20"/>
          <w:szCs w:val="20"/>
          <w:color w:val="auto"/>
        </w:rPr>
        <w:tab/>
      </w:r>
      <w:r>
        <w:rPr>
          <w:rFonts w:ascii="Arial" w:cs="Arial" w:eastAsia="Arial" w:hAnsi="Arial"/>
          <w:sz w:val="17"/>
          <w:szCs w:val="17"/>
          <w:u w:val="single" w:color="auto"/>
          <w:color w:val="auto"/>
        </w:rPr>
        <w:t>Chair of the Board of Directors; Vice Chair of the Board of Directors</w:t>
      </w:r>
      <w:r>
        <w:rPr>
          <w:rFonts w:ascii="Arial" w:cs="Arial" w:eastAsia="Arial" w:hAnsi="Arial"/>
          <w:sz w:val="17"/>
          <w:szCs w:val="17"/>
          <w:color w:val="auto"/>
        </w:rPr>
        <w:t>. If the board of directors appoints a chair of the</w:t>
      </w:r>
    </w:p>
    <w:p>
      <w:pPr>
        <w:spacing w:after="0"/>
        <w:rPr>
          <w:sz w:val="20"/>
          <w:szCs w:val="20"/>
          <w:color w:val="auto"/>
        </w:rPr>
      </w:pPr>
      <w:r>
        <w:rPr>
          <w:rFonts w:ascii="Arial" w:cs="Arial" w:eastAsia="Arial" w:hAnsi="Arial"/>
          <w:sz w:val="17"/>
          <w:szCs w:val="17"/>
          <w:color w:val="auto"/>
        </w:rPr>
        <w:t>board of directors, the chair of the board of directors shall, when present, preside at all meetings of the stockholders and the board of directors.</w:t>
      </w:r>
    </w:p>
    <w:p>
      <w:pPr>
        <w:spacing w:after="0" w:line="3" w:lineRule="exact"/>
        <w:rPr>
          <w:sz w:val="20"/>
          <w:szCs w:val="20"/>
          <w:color w:val="auto"/>
        </w:rPr>
      </w:pPr>
    </w:p>
    <w:p>
      <w:pPr>
        <w:ind w:right="180"/>
        <w:spacing w:after="0" w:line="235" w:lineRule="auto"/>
        <w:rPr>
          <w:sz w:val="20"/>
          <w:szCs w:val="20"/>
          <w:color w:val="auto"/>
        </w:rPr>
      </w:pPr>
      <w:r>
        <w:rPr>
          <w:rFonts w:ascii="Arial" w:cs="Arial" w:eastAsia="Arial" w:hAnsi="Arial"/>
          <w:sz w:val="17"/>
          <w:szCs w:val="17"/>
          <w:color w:val="auto"/>
        </w:rPr>
        <w:t>The chair of the board of directors shall perform such duties and possess such powers as are customarily vested in the office of the chair of the board of directors or as may be vested by the board of directors. The board of directors may appoint a vice chair of the board of directors. The</w:t>
      </w:r>
    </w:p>
    <w:p>
      <w:pPr>
        <w:spacing w:after="0" w:line="232" w:lineRule="auto"/>
        <w:rPr>
          <w:sz w:val="20"/>
          <w:szCs w:val="20"/>
          <w:color w:val="auto"/>
        </w:rPr>
      </w:pPr>
      <w:r>
        <w:rPr>
          <w:rFonts w:ascii="Arial" w:cs="Arial" w:eastAsia="Arial" w:hAnsi="Arial"/>
          <w:sz w:val="18"/>
          <w:szCs w:val="18"/>
          <w:color w:val="auto"/>
        </w:rPr>
        <w:t>vice chair of the board of directors shall perform such duties and possess such powers as may be vested in the vice chair by the board of</w:t>
      </w:r>
    </w:p>
    <w:p>
      <w:pPr>
        <w:ind w:right="200"/>
        <w:spacing w:after="0" w:line="228" w:lineRule="auto"/>
        <w:rPr>
          <w:sz w:val="20"/>
          <w:szCs w:val="20"/>
          <w:color w:val="auto"/>
        </w:rPr>
      </w:pPr>
      <w:r>
        <w:rPr>
          <w:rFonts w:ascii="Arial" w:cs="Arial" w:eastAsia="Arial" w:hAnsi="Arial"/>
          <w:sz w:val="19"/>
          <w:szCs w:val="19"/>
          <w:color w:val="auto"/>
        </w:rPr>
        <w:t>directors. In the absence or disability of the chair of the board of directors, the vice chair of the board of directors shall also perform the duties and exercise the powers of the chair of the board of directors.</w:t>
      </w:r>
    </w:p>
    <w:p>
      <w:pPr>
        <w:spacing w:after="0" w:line="165" w:lineRule="exact"/>
        <w:rPr>
          <w:sz w:val="20"/>
          <w:szCs w:val="20"/>
          <w:color w:val="auto"/>
        </w:rPr>
      </w:pPr>
    </w:p>
    <w:p>
      <w:pPr>
        <w:ind w:right="400" w:firstLine="636"/>
        <w:spacing w:after="0" w:line="249"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u w:val="single" w:color="auto"/>
          <w:color w:val="auto"/>
        </w:rPr>
        <w:t>Place of Meetings</w:t>
      </w:r>
      <w:r>
        <w:rPr>
          <w:rFonts w:ascii="Arial" w:cs="Arial" w:eastAsia="Arial" w:hAnsi="Arial"/>
          <w:sz w:val="19"/>
          <w:szCs w:val="19"/>
          <w:color w:val="auto"/>
        </w:rPr>
        <w:t>. The board of directors may hold meetings, both regular and special, either within or without the State of Delaware or solely by means of remote communication.</w:t>
      </w:r>
    </w:p>
    <w:p>
      <w:pPr>
        <w:spacing w:after="0" w:line="143" w:lineRule="exact"/>
        <w:rPr>
          <w:sz w:val="20"/>
          <w:szCs w:val="20"/>
          <w:color w:val="auto"/>
        </w:rPr>
      </w:pPr>
    </w:p>
    <w:p>
      <w:pPr>
        <w:ind w:right="480" w:firstLine="636"/>
        <w:spacing w:after="0" w:line="253"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Regular Meetings</w:t>
      </w:r>
      <w:r>
        <w:rPr>
          <w:rFonts w:ascii="Arial" w:cs="Arial" w:eastAsia="Arial" w:hAnsi="Arial"/>
          <w:sz w:val="17"/>
          <w:szCs w:val="17"/>
          <w:color w:val="auto"/>
        </w:rPr>
        <w:t>. Regular meetings of the board of directors may be held without notice at such time and at such place, if any, or by means of remote communication as shall from time to time be determined by the board of directors; provided that any</w:t>
      </w:r>
    </w:p>
    <w:p>
      <w:pPr>
        <w:spacing w:after="0" w:line="1"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director who is absent when such a determination is made shall be given prompt notice of such determination. A regular meeting of the board of directors may be held without notice immediately after and at the same place or by the same means of remote communication as the annual</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meeting of stockholders.</w:t>
      </w:r>
    </w:p>
    <w:p>
      <w:pPr>
        <w:spacing w:after="0" w:line="163" w:lineRule="exact"/>
        <w:rPr>
          <w:sz w:val="20"/>
          <w:szCs w:val="20"/>
          <w:color w:val="auto"/>
        </w:rPr>
      </w:pPr>
    </w:p>
    <w:p>
      <w:pPr>
        <w:ind w:right="280" w:firstLine="636"/>
        <w:spacing w:after="0" w:line="253"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the board of directors may be called by the chair of the board of directors, the chief executive officer, the secretary, or on the written request of two or more directors, or by one director in the event that there is only one</w:t>
      </w:r>
    </w:p>
    <w:p>
      <w:pPr>
        <w:spacing w:after="0" w:line="1"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director in office. Reasonable notice, delivered either personally or by mail, courier or electronic means sent to a director’s business address, home address or electronic mail address, shall be given to each director by the secretary or the chair of the board of directors or by the officer or</w:t>
      </w:r>
    </w:p>
    <w:p>
      <w:pPr>
        <w:spacing w:after="0" w:line="1" w:lineRule="exact"/>
        <w:rPr>
          <w:sz w:val="20"/>
          <w:szCs w:val="20"/>
          <w:color w:val="auto"/>
        </w:rPr>
      </w:pPr>
    </w:p>
    <w:p>
      <w:pPr>
        <w:ind w:right="140"/>
        <w:spacing w:after="0" w:line="236" w:lineRule="auto"/>
        <w:rPr>
          <w:sz w:val="20"/>
          <w:szCs w:val="20"/>
          <w:color w:val="auto"/>
        </w:rPr>
      </w:pPr>
      <w:r>
        <w:rPr>
          <w:rFonts w:ascii="Arial" w:cs="Arial" w:eastAsia="Arial" w:hAnsi="Arial"/>
          <w:sz w:val="19"/>
          <w:szCs w:val="19"/>
          <w:color w:val="auto"/>
        </w:rPr>
        <w:t>one of the directors calling the meeting. A notice or waiver of notice of a meeting of the board of directors need not specify the purposes of the meeting.</w:t>
      </w:r>
    </w:p>
    <w:p>
      <w:pPr>
        <w:spacing w:after="0" w:line="151" w:lineRule="exact"/>
        <w:rPr>
          <w:sz w:val="20"/>
          <w:szCs w:val="20"/>
          <w:color w:val="auto"/>
        </w:rPr>
      </w:pPr>
    </w:p>
    <w:p>
      <w:pPr>
        <w:ind w:right="100" w:firstLine="636"/>
        <w:spacing w:after="0" w:line="239"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Quorum, Action at Meeting, Adjournments</w:t>
      </w:r>
      <w:r>
        <w:rPr>
          <w:rFonts w:ascii="Arial" w:cs="Arial" w:eastAsia="Arial" w:hAnsi="Arial"/>
          <w:sz w:val="18"/>
          <w:szCs w:val="18"/>
          <w:color w:val="auto"/>
        </w:rPr>
        <w:t>. At all meetings of the board of directors, a majority of directors then in office, but in no event less than one-third of the entire board of directors, shall constitute a quorum for the transaction of business and the act of</w:t>
      </w:r>
    </w:p>
    <w:p>
      <w:pPr>
        <w:spacing w:after="0" w:line="1"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a majority of the directors present at any meeting at which there is a quorum shall be the act of the board of directors, except as may be otherwise specifically provided by law or by the certificate of incorporation. For purposes of this Section 9, the term “entire board of directors”</w:t>
      </w:r>
    </w:p>
    <w:p>
      <w:pPr>
        <w:spacing w:after="0" w:line="232" w:lineRule="auto"/>
        <w:rPr>
          <w:sz w:val="20"/>
          <w:szCs w:val="20"/>
          <w:color w:val="auto"/>
        </w:rPr>
      </w:pPr>
      <w:r>
        <w:rPr>
          <w:rFonts w:ascii="Arial" w:cs="Arial" w:eastAsia="Arial" w:hAnsi="Arial"/>
          <w:sz w:val="18"/>
          <w:szCs w:val="18"/>
          <w:color w:val="auto"/>
        </w:rPr>
        <w:t>shall mean the number of directors last fixed by the stockholders or directors, as the case may be, in accordance with law and these bylaws;</w:t>
      </w:r>
    </w:p>
    <w:p>
      <w:pPr>
        <w:ind w:right="180"/>
        <w:spacing w:after="0" w:line="235" w:lineRule="auto"/>
        <w:rPr>
          <w:sz w:val="20"/>
          <w:szCs w:val="20"/>
          <w:color w:val="auto"/>
        </w:rPr>
      </w:pPr>
      <w:r>
        <w:rPr>
          <w:rFonts w:ascii="Arial" w:cs="Arial" w:eastAsia="Arial" w:hAnsi="Arial"/>
          <w:sz w:val="17"/>
          <w:szCs w:val="17"/>
          <w:color w:val="auto"/>
        </w:rPr>
        <w:t>provided, however, that if less than all the number so fixed of directors were elected, the “entire board of directors” shall mean the greatest number of directors so elected to hold office at any one time pursuant to such authorization. If a quorum shall not be present at any meeting of</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the board of directors, a majority of the directors present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21"/>
          <w:szCs w:val="21"/>
          <w:color w:val="auto"/>
        </w:rPr>
        <w:t>-20-</w:t>
      </w:r>
    </w:p>
    <w:p>
      <w:pPr>
        <w:jc w:val="right"/>
        <w:spacing w:after="0"/>
        <w:rPr>
          <w:sz w:val="20"/>
          <w:szCs w:val="20"/>
          <w:color w:val="auto"/>
        </w:rPr>
      </w:pPr>
      <w:r>
        <w:rPr>
          <w:rFonts w:ascii="Arial" w:cs="Arial" w:eastAsia="Arial" w:hAnsi="Arial"/>
          <w:sz w:val="14"/>
          <w:szCs w:val="14"/>
          <w:color w:val="auto"/>
        </w:rPr>
        <w:t>4878-8402-9764.v3</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thereat may adjourn the meeting from time to time, without notice other than announcement at the meeting, until a quorum shall be present.</w:t>
      </w:r>
    </w:p>
    <w:p>
      <w:pPr>
        <w:spacing w:after="0" w:line="204" w:lineRule="exact"/>
        <w:rPr>
          <w:sz w:val="20"/>
          <w:szCs w:val="20"/>
          <w:color w:val="auto"/>
        </w:rPr>
      </w:pPr>
    </w:p>
    <w:p>
      <w:pPr>
        <w:ind w:right="80" w:firstLine="636"/>
        <w:spacing w:after="0" w:line="232"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Action by Consent</w:t>
      </w:r>
      <w:r>
        <w:rPr>
          <w:rFonts w:ascii="Arial" w:cs="Arial" w:eastAsia="Arial" w:hAnsi="Arial"/>
          <w:sz w:val="18"/>
          <w:szCs w:val="18"/>
          <w:color w:val="auto"/>
        </w:rPr>
        <w:t>. Unless otherwise restricted by the certificate of incorporation or these bylaws, any action required or permitted to be taken at any meeting of the board of directors or of any committee thereof may be taken without a meeting, if all members of</w:t>
      </w:r>
    </w:p>
    <w:p>
      <w:pPr>
        <w:spacing w:after="0" w:line="230" w:lineRule="auto"/>
        <w:rPr>
          <w:sz w:val="20"/>
          <w:szCs w:val="20"/>
          <w:color w:val="auto"/>
        </w:rPr>
      </w:pPr>
      <w:r>
        <w:rPr>
          <w:rFonts w:ascii="Arial" w:cs="Arial" w:eastAsia="Arial" w:hAnsi="Arial"/>
          <w:sz w:val="18"/>
          <w:szCs w:val="18"/>
          <w:color w:val="auto"/>
        </w:rPr>
        <w:t>the board of directors or committee thereof, as the case may be, consent thereto in writing or by electronic transmission, and the writing or</w:t>
      </w:r>
    </w:p>
    <w:p>
      <w:pPr>
        <w:ind w:right="280"/>
        <w:spacing w:after="0" w:line="235" w:lineRule="auto"/>
        <w:rPr>
          <w:sz w:val="20"/>
          <w:szCs w:val="20"/>
          <w:color w:val="auto"/>
        </w:rPr>
      </w:pPr>
      <w:r>
        <w:rPr>
          <w:rFonts w:ascii="Arial" w:cs="Arial" w:eastAsia="Arial" w:hAnsi="Arial"/>
          <w:sz w:val="17"/>
          <w:szCs w:val="17"/>
          <w:color w:val="auto"/>
        </w:rPr>
        <w:t>writings or electronic transmission or transmissions are filed with the minutes of proceedings of the board of directors, or committee thereof. Such filing shall be in paper form if the minutes are maintained in paper form and shall be in electronic form if the minutes are maintained in</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electronic form.</w:t>
      </w:r>
    </w:p>
    <w:p>
      <w:pPr>
        <w:spacing w:after="0" w:line="176" w:lineRule="exact"/>
        <w:rPr>
          <w:sz w:val="20"/>
          <w:szCs w:val="20"/>
          <w:color w:val="auto"/>
        </w:rPr>
      </w:pPr>
    </w:p>
    <w:p>
      <w:pPr>
        <w:ind w:right="180" w:firstLine="636"/>
        <w:spacing w:after="0" w:line="245"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Remote Participation</w:t>
      </w:r>
      <w:r>
        <w:rPr>
          <w:rFonts w:ascii="Arial" w:cs="Arial" w:eastAsia="Arial" w:hAnsi="Arial"/>
          <w:sz w:val="17"/>
          <w:szCs w:val="17"/>
          <w:color w:val="auto"/>
        </w:rPr>
        <w:t>. Unless otherwise restricted by law, the certificate of incorporation or these bylaws, members of the board of directors or of any committee thereof may participate in a meeting of the board of directors or of any committee, as the case may</w:t>
      </w:r>
    </w:p>
    <w:p>
      <w:pPr>
        <w:spacing w:after="0" w:line="1" w:lineRule="exact"/>
        <w:rPr>
          <w:sz w:val="20"/>
          <w:szCs w:val="20"/>
          <w:color w:val="auto"/>
        </w:rPr>
      </w:pPr>
    </w:p>
    <w:p>
      <w:pPr>
        <w:ind w:right="520"/>
        <w:spacing w:after="0" w:line="258" w:lineRule="auto"/>
        <w:rPr>
          <w:sz w:val="20"/>
          <w:szCs w:val="20"/>
          <w:color w:val="auto"/>
        </w:rPr>
      </w:pPr>
      <w:r>
        <w:rPr>
          <w:rFonts w:ascii="Arial" w:cs="Arial" w:eastAsia="Arial" w:hAnsi="Arial"/>
          <w:sz w:val="18"/>
          <w:szCs w:val="18"/>
          <w:color w:val="auto"/>
        </w:rPr>
        <w:t>be, by means of conference telephone, electronic or similar communications equipment by means of which all persons participating in the meeting can hear each other, and such participation in a meeting shall constitute presence in person at the meeting.</w:t>
      </w:r>
    </w:p>
    <w:p>
      <w:pPr>
        <w:spacing w:after="0" w:line="135" w:lineRule="exact"/>
        <w:rPr>
          <w:sz w:val="20"/>
          <w:szCs w:val="20"/>
          <w:color w:val="auto"/>
        </w:rPr>
      </w:pPr>
    </w:p>
    <w:p>
      <w:pPr>
        <w:ind w:firstLine="636"/>
        <w:spacing w:after="0" w:line="253"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Committees</w:t>
      </w:r>
      <w:r>
        <w:rPr>
          <w:rFonts w:ascii="Arial" w:cs="Arial" w:eastAsia="Arial" w:hAnsi="Arial"/>
          <w:sz w:val="17"/>
          <w:szCs w:val="17"/>
          <w:color w:val="auto"/>
        </w:rPr>
        <w:t>. The board of directors may designate one or more committees, each committee to consist of one or more of the directors of the corporation. The board of directors may designate one or more directors as alternate members of any committee, who may</w:t>
      </w:r>
    </w:p>
    <w:p>
      <w:pPr>
        <w:spacing w:after="0" w:line="1"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replace any absent or disqualified member at any meeting of the committee. Any such committee, to the extent provided in the resolution of the board of directors, shall have and may exercise all the powers and authority of the board of directors in the management of the business and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affairs of the corporation, and may authorize the seal of the corporation to be affixed to all papers which may require it, but no such committee</w:t>
      </w:r>
    </w:p>
    <w:p>
      <w:pPr>
        <w:spacing w:after="0" w:line="3"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shall have the power or authority in reference to amending the certificate of incorporation, adopting an agreement of merger or consolidation, recommending to the stockholders the sale, lease or exchange of all or substantially all of the corporation’s property and assets, recommending</w:t>
      </w:r>
    </w:p>
    <w:p>
      <w:pPr>
        <w:spacing w:after="0" w:line="1" w:lineRule="exact"/>
        <w:rPr>
          <w:sz w:val="20"/>
          <w:szCs w:val="20"/>
          <w:color w:val="auto"/>
        </w:rPr>
      </w:pPr>
    </w:p>
    <w:p>
      <w:pPr>
        <w:ind w:right="180"/>
        <w:spacing w:after="0" w:line="235" w:lineRule="auto"/>
        <w:rPr>
          <w:sz w:val="20"/>
          <w:szCs w:val="20"/>
          <w:color w:val="auto"/>
        </w:rPr>
      </w:pPr>
      <w:r>
        <w:rPr>
          <w:rFonts w:ascii="Arial" w:cs="Arial" w:eastAsia="Arial" w:hAnsi="Arial"/>
          <w:sz w:val="17"/>
          <w:szCs w:val="17"/>
          <w:color w:val="auto"/>
        </w:rPr>
        <w:t>to the stockholders a dissolution of the corporation or a revocation of a dissolution, or amending the bylaws of the corporation; and, unless the resolution designating such committee or the certificate of incorporation expressly so provide, no such committee shall have the power or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authority to declare a dividend or to authorize the issuance of stock. Such committee or committees shall have such name or names as may be</w:t>
      </w:r>
    </w:p>
    <w:p>
      <w:pPr>
        <w:spacing w:after="0" w:line="3"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determined from time to time by resolution adopted by the board of directors. Each committee shall keep regular minutes of its meetings and make such reports to the board of directors as the board of directors may request. Except as the board of directors may otherwise determine, any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committee may make rules for the conduct of its business, but unless otherwise provided by the board of directors or in such rules, its business</w:t>
      </w:r>
    </w:p>
    <w:p>
      <w:pPr>
        <w:spacing w:after="0" w:line="3" w:lineRule="exact"/>
        <w:rPr>
          <w:sz w:val="20"/>
          <w:szCs w:val="20"/>
          <w:color w:val="auto"/>
        </w:rPr>
      </w:pPr>
    </w:p>
    <w:p>
      <w:pPr>
        <w:ind w:right="600"/>
        <w:spacing w:after="0" w:line="228" w:lineRule="auto"/>
        <w:rPr>
          <w:sz w:val="20"/>
          <w:szCs w:val="20"/>
          <w:color w:val="auto"/>
        </w:rPr>
      </w:pPr>
      <w:r>
        <w:rPr>
          <w:rFonts w:ascii="Arial" w:cs="Arial" w:eastAsia="Arial" w:hAnsi="Arial"/>
          <w:sz w:val="19"/>
          <w:szCs w:val="19"/>
          <w:color w:val="auto"/>
        </w:rPr>
        <w:t>shall be conducted as nearly as possible in the same manner as is provided in these bylaws for the conduct of its business by the board of directors.</w:t>
      </w:r>
    </w:p>
    <w:p>
      <w:pPr>
        <w:spacing w:after="0" w:line="161"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9"/>
          <w:szCs w:val="19"/>
          <w:color w:val="auto"/>
        </w:rPr>
        <w:t>Section 13.</w:t>
      </w:r>
      <w:r>
        <w:rPr>
          <w:sz w:val="20"/>
          <w:szCs w:val="20"/>
          <w:color w:val="auto"/>
        </w:rPr>
        <w:tab/>
      </w:r>
      <w:r>
        <w:rPr>
          <w:rFonts w:ascii="Arial" w:cs="Arial" w:eastAsia="Arial" w:hAnsi="Arial"/>
          <w:sz w:val="17"/>
          <w:szCs w:val="17"/>
          <w:u w:val="single" w:color="auto"/>
          <w:color w:val="auto"/>
        </w:rPr>
        <w:t>Compensation</w:t>
      </w:r>
      <w:r>
        <w:rPr>
          <w:rFonts w:ascii="Arial" w:cs="Arial" w:eastAsia="Arial" w:hAnsi="Arial"/>
          <w:sz w:val="17"/>
          <w:szCs w:val="17"/>
          <w:color w:val="auto"/>
        </w:rPr>
        <w:t>. Unless otherwise restricted by the certificate of incorporation or these bylaws, the board of directors</w:t>
      </w:r>
    </w:p>
    <w:p>
      <w:pPr>
        <w:ind w:right="60"/>
        <w:spacing w:after="0" w:line="235" w:lineRule="auto"/>
        <w:rPr>
          <w:sz w:val="20"/>
          <w:szCs w:val="20"/>
          <w:color w:val="auto"/>
        </w:rPr>
      </w:pPr>
      <w:r>
        <w:rPr>
          <w:rFonts w:ascii="Arial" w:cs="Arial" w:eastAsia="Arial" w:hAnsi="Arial"/>
          <w:sz w:val="17"/>
          <w:szCs w:val="17"/>
          <w:color w:val="auto"/>
        </w:rPr>
        <w:t>shall have the authority to fix from time to time the compensation of directors. The directors may be paid their expenses, if any, of attendance at each meeting of the board of directors and the performance of their responsibilities as directors and may be paid a fixed sum for attendance at</w:t>
      </w:r>
    </w:p>
    <w:p>
      <w:pPr>
        <w:spacing w:after="0" w:line="232" w:lineRule="auto"/>
        <w:rPr>
          <w:sz w:val="20"/>
          <w:szCs w:val="20"/>
          <w:color w:val="auto"/>
        </w:rPr>
      </w:pPr>
      <w:r>
        <w:rPr>
          <w:rFonts w:ascii="Arial" w:cs="Arial" w:eastAsia="Arial" w:hAnsi="Arial"/>
          <w:sz w:val="18"/>
          <w:szCs w:val="18"/>
          <w:color w:val="auto"/>
        </w:rPr>
        <w:t>each meeting of the board of directors and/or a stated salary as director. No such payment shall preclude any director from serving the</w:t>
      </w:r>
    </w:p>
    <w:p>
      <w:pPr>
        <w:ind w:right="160"/>
        <w:spacing w:after="0" w:line="228" w:lineRule="auto"/>
        <w:rPr>
          <w:sz w:val="20"/>
          <w:szCs w:val="20"/>
          <w:color w:val="auto"/>
        </w:rPr>
      </w:pPr>
      <w:r>
        <w:rPr>
          <w:rFonts w:ascii="Arial" w:cs="Arial" w:eastAsia="Arial" w:hAnsi="Arial"/>
          <w:sz w:val="19"/>
          <w:szCs w:val="19"/>
          <w:color w:val="auto"/>
        </w:rPr>
        <w:t>corporation or its parent or subsidiary corporations in any other capacity and receiving compensation therefor. The board of directors may also allow compensation for members of special or standing committees for service on such committees.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19"/>
        <w:spacing w:after="0"/>
        <w:rPr>
          <w:sz w:val="20"/>
          <w:szCs w:val="20"/>
          <w:color w:val="auto"/>
        </w:rPr>
      </w:pPr>
      <w:r>
        <w:rPr>
          <w:rFonts w:ascii="Arial" w:cs="Arial" w:eastAsia="Arial" w:hAnsi="Arial"/>
          <w:sz w:val="21"/>
          <w:szCs w:val="21"/>
          <w:color w:val="auto"/>
        </w:rPr>
        <w:t>-21-</w:t>
      </w:r>
    </w:p>
    <w:p>
      <w:pPr>
        <w:jc w:val="right"/>
        <w:spacing w:after="0"/>
        <w:rPr>
          <w:sz w:val="20"/>
          <w:szCs w:val="20"/>
          <w:color w:val="auto"/>
        </w:rPr>
      </w:pPr>
      <w:r>
        <w:rPr>
          <w:rFonts w:ascii="Arial" w:cs="Arial" w:eastAsia="Arial" w:hAnsi="Arial"/>
          <w:sz w:val="14"/>
          <w:szCs w:val="14"/>
          <w:color w:val="auto"/>
        </w:rPr>
        <w:t>4878-8402-9764.v3</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200" w:lineRule="exact"/>
        <w:rPr>
          <w:sz w:val="20"/>
          <w:szCs w:val="20"/>
          <w:color w:val="auto"/>
        </w:rPr>
      </w:pPr>
    </w:p>
    <w:p>
      <w:pPr>
        <w:spacing w:after="0" w:line="372" w:lineRule="exact"/>
        <w:rPr>
          <w:sz w:val="20"/>
          <w:szCs w:val="20"/>
          <w:color w:val="auto"/>
        </w:rPr>
      </w:pPr>
    </w:p>
    <w:p>
      <w:pPr>
        <w:ind w:left="4980"/>
        <w:spacing w:after="0"/>
        <w:rPr>
          <w:sz w:val="20"/>
          <w:szCs w:val="20"/>
          <w:color w:val="auto"/>
        </w:rPr>
      </w:pPr>
      <w:r>
        <w:rPr>
          <w:rFonts w:ascii="Arial" w:cs="Arial" w:eastAsia="Arial" w:hAnsi="Arial"/>
          <w:sz w:val="19"/>
          <w:szCs w:val="19"/>
          <w:b w:val="1"/>
          <w:bCs w:val="1"/>
          <w:color w:val="auto"/>
        </w:rPr>
        <w:t>Article III</w:t>
      </w:r>
    </w:p>
    <w:p>
      <w:pPr>
        <w:spacing w:after="0" w:line="166" w:lineRule="exact"/>
        <w:rPr>
          <w:sz w:val="20"/>
          <w:szCs w:val="20"/>
          <w:color w:val="auto"/>
        </w:rPr>
      </w:pPr>
    </w:p>
    <w:p>
      <w:pPr>
        <w:ind w:left="5140"/>
        <w:spacing w:after="0"/>
        <w:rPr>
          <w:sz w:val="20"/>
          <w:szCs w:val="20"/>
          <w:color w:val="auto"/>
        </w:rPr>
      </w:pPr>
      <w:r>
        <w:rPr>
          <w:rFonts w:ascii="Arial" w:cs="Arial" w:eastAsia="Arial" w:hAnsi="Arial"/>
          <w:sz w:val="19"/>
          <w:szCs w:val="19"/>
          <w:b w:val="1"/>
          <w:bCs w:val="1"/>
          <w:color w:val="auto"/>
        </w:rPr>
        <w:t>OFFICERS</w:t>
      </w:r>
    </w:p>
    <w:p>
      <w:pPr>
        <w:spacing w:after="0" w:line="195"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9"/>
          <w:szCs w:val="19"/>
          <w:color w:val="auto"/>
        </w:rPr>
        <w:t>Section 1.</w:t>
      </w:r>
      <w:r>
        <w:rPr>
          <w:sz w:val="20"/>
          <w:szCs w:val="20"/>
          <w:color w:val="auto"/>
        </w:rPr>
        <w:tab/>
      </w:r>
      <w:r>
        <w:rPr>
          <w:rFonts w:ascii="Arial" w:cs="Arial" w:eastAsia="Arial" w:hAnsi="Arial"/>
          <w:sz w:val="17"/>
          <w:szCs w:val="17"/>
          <w:u w:val="single" w:color="auto"/>
          <w:color w:val="auto"/>
        </w:rPr>
        <w:t>Enumeration</w:t>
      </w:r>
      <w:r>
        <w:rPr>
          <w:rFonts w:ascii="Arial" w:cs="Arial" w:eastAsia="Arial" w:hAnsi="Arial"/>
          <w:sz w:val="17"/>
          <w:szCs w:val="17"/>
          <w:color w:val="auto"/>
        </w:rPr>
        <w:t>. The officers of the corporation shall be chosen by the board of directors and shall include a president, a</w:t>
      </w:r>
    </w:p>
    <w:p>
      <w:pPr>
        <w:ind w:right="360"/>
        <w:spacing w:after="0" w:line="235" w:lineRule="auto"/>
        <w:rPr>
          <w:sz w:val="20"/>
          <w:szCs w:val="20"/>
          <w:color w:val="auto"/>
        </w:rPr>
      </w:pPr>
      <w:r>
        <w:rPr>
          <w:rFonts w:ascii="Arial" w:cs="Arial" w:eastAsia="Arial" w:hAnsi="Arial"/>
          <w:sz w:val="17"/>
          <w:szCs w:val="17"/>
          <w:color w:val="auto"/>
        </w:rPr>
        <w:t>secretary and a chief financial officer or treasurer and such other officers with such titles, terms of office and duties as the board of directors may from time to time determine, including one or more vice-presidents, and one or more assistant secretaries and assistant treasurers. If</w:t>
      </w:r>
    </w:p>
    <w:p>
      <w:pPr>
        <w:spacing w:after="0" w:line="219" w:lineRule="auto"/>
        <w:rPr>
          <w:sz w:val="20"/>
          <w:szCs w:val="20"/>
          <w:color w:val="auto"/>
        </w:rPr>
      </w:pPr>
      <w:r>
        <w:rPr>
          <w:rFonts w:ascii="Arial" w:cs="Arial" w:eastAsia="Arial" w:hAnsi="Arial"/>
          <w:sz w:val="19"/>
          <w:szCs w:val="19"/>
          <w:color w:val="auto"/>
        </w:rPr>
        <w:t>authorized by resolution of the board of directors, the chief executive officer may be empowered to appoint from time to time assistant</w:t>
      </w:r>
    </w:p>
    <w:p>
      <w:pPr>
        <w:spacing w:after="0" w:line="1" w:lineRule="exact"/>
        <w:rPr>
          <w:sz w:val="20"/>
          <w:szCs w:val="20"/>
          <w:color w:val="auto"/>
        </w:rPr>
      </w:pPr>
    </w:p>
    <w:p>
      <w:pPr>
        <w:ind w:right="540"/>
        <w:spacing w:after="0" w:line="228" w:lineRule="auto"/>
        <w:rPr>
          <w:sz w:val="20"/>
          <w:szCs w:val="20"/>
          <w:color w:val="auto"/>
        </w:rPr>
      </w:pPr>
      <w:r>
        <w:rPr>
          <w:rFonts w:ascii="Arial" w:cs="Arial" w:eastAsia="Arial" w:hAnsi="Arial"/>
          <w:sz w:val="19"/>
          <w:szCs w:val="19"/>
          <w:color w:val="auto"/>
        </w:rPr>
        <w:t>secretaries and assistant treasurers. Any number of offices may be held by the same person, unless the certificate of incorporation or these bylaws otherwise provide.</w:t>
      </w:r>
    </w:p>
    <w:p>
      <w:pPr>
        <w:spacing w:after="0" w:line="161"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9"/>
          <w:szCs w:val="19"/>
          <w:color w:val="auto"/>
        </w:rPr>
        <w:t>Section 2.</w:t>
      </w:r>
      <w:r>
        <w:rPr>
          <w:sz w:val="20"/>
          <w:szCs w:val="20"/>
          <w:color w:val="auto"/>
        </w:rPr>
        <w:tab/>
      </w:r>
      <w:r>
        <w:rPr>
          <w:rFonts w:ascii="Arial" w:cs="Arial" w:eastAsia="Arial" w:hAnsi="Arial"/>
          <w:sz w:val="17"/>
          <w:szCs w:val="17"/>
          <w:u w:val="single" w:color="auto"/>
          <w:color w:val="auto"/>
        </w:rPr>
        <w:t>Tenure</w:t>
      </w:r>
      <w:r>
        <w:rPr>
          <w:rFonts w:ascii="Arial" w:cs="Arial" w:eastAsia="Arial" w:hAnsi="Arial"/>
          <w:sz w:val="17"/>
          <w:szCs w:val="17"/>
          <w:color w:val="auto"/>
        </w:rPr>
        <w:t>. Each officer of the corporation shall hold office until such officer’s successor is elected and qualified, unless a</w:t>
      </w:r>
    </w:p>
    <w:p>
      <w:pPr>
        <w:ind w:right="40"/>
        <w:spacing w:after="0" w:line="235" w:lineRule="auto"/>
        <w:rPr>
          <w:sz w:val="20"/>
          <w:szCs w:val="20"/>
          <w:color w:val="auto"/>
        </w:rPr>
      </w:pPr>
      <w:r>
        <w:rPr>
          <w:rFonts w:ascii="Arial" w:cs="Arial" w:eastAsia="Arial" w:hAnsi="Arial"/>
          <w:sz w:val="17"/>
          <w:szCs w:val="17"/>
          <w:color w:val="auto"/>
        </w:rPr>
        <w:t>different term is specified in the vote choosing or appointing an officer, or until such officer’s earlier death, resignation or removal. Any officer elected or appointed by the board of directors or by the chief executive officer may be removed at any time by the affirmative vote of a majority</w:t>
      </w:r>
    </w:p>
    <w:p>
      <w:pPr>
        <w:spacing w:after="0" w:line="232" w:lineRule="auto"/>
        <w:rPr>
          <w:sz w:val="20"/>
          <w:szCs w:val="20"/>
          <w:color w:val="auto"/>
        </w:rPr>
      </w:pPr>
      <w:r>
        <w:rPr>
          <w:rFonts w:ascii="Arial" w:cs="Arial" w:eastAsia="Arial" w:hAnsi="Arial"/>
          <w:sz w:val="18"/>
          <w:szCs w:val="18"/>
          <w:color w:val="auto"/>
        </w:rPr>
        <w:t>of the board of directors or a committee duly authorized to do so, except that any officer appointed by the chief executive officer may also be</w:t>
      </w:r>
    </w:p>
    <w:p>
      <w:pPr>
        <w:ind w:right="120"/>
        <w:spacing w:after="0" w:line="222" w:lineRule="auto"/>
        <w:rPr>
          <w:sz w:val="20"/>
          <w:szCs w:val="20"/>
          <w:color w:val="auto"/>
        </w:rPr>
      </w:pPr>
      <w:r>
        <w:rPr>
          <w:rFonts w:ascii="Arial" w:cs="Arial" w:eastAsia="Arial" w:hAnsi="Arial"/>
          <w:sz w:val="18"/>
          <w:szCs w:val="18"/>
          <w:color w:val="auto"/>
        </w:rPr>
        <w:t>removed at any time by the chief executive officer. Any such removal shall be without prejudice to the contractual rights of such officer, if any, with the corporation, and the election of an officer shall not of itself create contractual rights. Any vacancy occurring in any office of the</w:t>
      </w:r>
    </w:p>
    <w:p>
      <w:pPr>
        <w:spacing w:after="0" w:line="219" w:lineRule="auto"/>
        <w:rPr>
          <w:sz w:val="20"/>
          <w:szCs w:val="20"/>
          <w:color w:val="auto"/>
        </w:rPr>
      </w:pPr>
      <w:r>
        <w:rPr>
          <w:rFonts w:ascii="Arial" w:cs="Arial" w:eastAsia="Arial" w:hAnsi="Arial"/>
          <w:sz w:val="19"/>
          <w:szCs w:val="19"/>
          <w:color w:val="auto"/>
        </w:rPr>
        <w:t>corporation may be filled by the board of directors, at its discretion. Any officer may resign by delivering a written resignation to the</w:t>
      </w:r>
    </w:p>
    <w:p>
      <w:pPr>
        <w:spacing w:after="0" w:line="1" w:lineRule="exact"/>
        <w:rPr>
          <w:sz w:val="20"/>
          <w:szCs w:val="20"/>
          <w:color w:val="auto"/>
        </w:rPr>
      </w:pPr>
    </w:p>
    <w:p>
      <w:pPr>
        <w:ind w:right="300"/>
        <w:spacing w:after="0" w:line="235" w:lineRule="auto"/>
        <w:rPr>
          <w:sz w:val="20"/>
          <w:szCs w:val="20"/>
          <w:color w:val="auto"/>
        </w:rPr>
      </w:pPr>
      <w:r>
        <w:rPr>
          <w:rFonts w:ascii="Arial" w:cs="Arial" w:eastAsia="Arial" w:hAnsi="Arial"/>
          <w:sz w:val="17"/>
          <w:szCs w:val="17"/>
          <w:color w:val="auto"/>
        </w:rPr>
        <w:t>corporation at its principal place of business or to the chief executive officer or the secretary. Such resignation shall be effective upon receipt unless it is specified to be effective at some other time or upon the happening of some other event, in which case it shall be effective at such</w:t>
      </w:r>
    </w:p>
    <w:p>
      <w:pPr>
        <w:spacing w:after="0" w:line="1" w:lineRule="exact"/>
        <w:rPr>
          <w:sz w:val="20"/>
          <w:szCs w:val="20"/>
          <w:color w:val="auto"/>
        </w:rPr>
      </w:pPr>
    </w:p>
    <w:p>
      <w:pPr>
        <w:ind w:right="240"/>
        <w:spacing w:after="0" w:line="228" w:lineRule="auto"/>
        <w:rPr>
          <w:sz w:val="20"/>
          <w:szCs w:val="20"/>
          <w:color w:val="auto"/>
        </w:rPr>
      </w:pPr>
      <w:r>
        <w:rPr>
          <w:rFonts w:ascii="Arial" w:cs="Arial" w:eastAsia="Arial" w:hAnsi="Arial"/>
          <w:sz w:val="19"/>
          <w:szCs w:val="19"/>
          <w:color w:val="auto"/>
        </w:rPr>
        <w:t>later time or upon the happening of such event, and unless otherwise specified therein no acceptance of such resignation shall be necessary to make it effective.</w:t>
      </w:r>
    </w:p>
    <w:p>
      <w:pPr>
        <w:spacing w:after="0" w:line="161"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9"/>
          <w:szCs w:val="19"/>
          <w:color w:val="auto"/>
        </w:rPr>
        <w:t>Section 3.</w:t>
      </w:r>
      <w:r>
        <w:rPr>
          <w:sz w:val="20"/>
          <w:szCs w:val="20"/>
          <w:color w:val="auto"/>
        </w:rPr>
        <w:tab/>
      </w:r>
      <w:r>
        <w:rPr>
          <w:rFonts w:ascii="Arial" w:cs="Arial" w:eastAsia="Arial" w:hAnsi="Arial"/>
          <w:sz w:val="17"/>
          <w:szCs w:val="17"/>
          <w:u w:val="single" w:color="auto"/>
          <w:color w:val="auto"/>
        </w:rPr>
        <w:t>Powers and Duties</w:t>
      </w:r>
      <w:r>
        <w:rPr>
          <w:rFonts w:ascii="Arial" w:cs="Arial" w:eastAsia="Arial" w:hAnsi="Arial"/>
          <w:sz w:val="17"/>
          <w:szCs w:val="17"/>
          <w:color w:val="auto"/>
        </w:rPr>
        <w:t>. The officers of the corporation shall have such powers and duties in the management of the</w:t>
      </w:r>
    </w:p>
    <w:p>
      <w:pPr>
        <w:ind w:right="160"/>
        <w:spacing w:after="0" w:line="235" w:lineRule="auto"/>
        <w:rPr>
          <w:sz w:val="20"/>
          <w:szCs w:val="20"/>
          <w:color w:val="auto"/>
        </w:rPr>
      </w:pPr>
      <w:r>
        <w:rPr>
          <w:rFonts w:ascii="Arial" w:cs="Arial" w:eastAsia="Arial" w:hAnsi="Arial"/>
          <w:sz w:val="17"/>
          <w:szCs w:val="17"/>
          <w:color w:val="auto"/>
        </w:rPr>
        <w:t>corporation as shall be stated in these bylaws or in a resolution of the board of directors which is not inconsistent with these bylaws and, to the extent not so stated, as generally pertain to their respective offices, subject to the control of the board of directors. The secretary shall have the</w:t>
      </w:r>
    </w:p>
    <w:p>
      <w:pPr>
        <w:spacing w:after="0" w:line="1" w:lineRule="exact"/>
        <w:rPr>
          <w:sz w:val="20"/>
          <w:szCs w:val="20"/>
          <w:color w:val="auto"/>
        </w:rPr>
      </w:pPr>
    </w:p>
    <w:p>
      <w:pPr>
        <w:ind w:right="540"/>
        <w:spacing w:after="0" w:line="236" w:lineRule="auto"/>
        <w:rPr>
          <w:sz w:val="20"/>
          <w:szCs w:val="20"/>
          <w:color w:val="auto"/>
        </w:rPr>
      </w:pPr>
      <w:r>
        <w:rPr>
          <w:rFonts w:ascii="Arial" w:cs="Arial" w:eastAsia="Arial" w:hAnsi="Arial"/>
          <w:sz w:val="19"/>
          <w:szCs w:val="19"/>
          <w:color w:val="auto"/>
        </w:rPr>
        <w:t>duty to record the proceedings of the meetings of the stockholders, the board of directors and any committees in a book to be kept for that purpose.</w:t>
      </w:r>
    </w:p>
    <w:p>
      <w:pPr>
        <w:spacing w:after="0" w:line="151" w:lineRule="exact"/>
        <w:rPr>
          <w:sz w:val="20"/>
          <w:szCs w:val="20"/>
          <w:color w:val="auto"/>
        </w:rPr>
      </w:pPr>
    </w:p>
    <w:p>
      <w:pPr>
        <w:ind w:right="240" w:firstLine="636"/>
        <w:spacing w:after="0" w:line="253"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Bond</w:t>
      </w:r>
      <w:r>
        <w:rPr>
          <w:rFonts w:ascii="Arial" w:cs="Arial" w:eastAsia="Arial" w:hAnsi="Arial"/>
          <w:sz w:val="17"/>
          <w:szCs w:val="17"/>
          <w:color w:val="auto"/>
        </w:rPr>
        <w:t>. If required by the board of directors, any officer shall give the corporation a bond in such sum and with such surety or sureties and upon such terms and conditions as shall be satisfactory to the board of directors, including without limitation a bond for</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faithful performance of the duties of such officer’s office and for the restoration to the corporation of all books, papers, vouchers, money and other property of whatever kind in such officer’s possession or under such officer’s control and belonging to the corporation.</w:t>
      </w:r>
    </w:p>
    <w:p>
      <w:pPr>
        <w:spacing w:after="0" w:line="155" w:lineRule="exact"/>
        <w:rPr>
          <w:sz w:val="20"/>
          <w:szCs w:val="20"/>
          <w:color w:val="auto"/>
        </w:rPr>
      </w:pPr>
    </w:p>
    <w:p>
      <w:pPr>
        <w:ind w:left="4980"/>
        <w:spacing w:after="0"/>
        <w:rPr>
          <w:sz w:val="20"/>
          <w:szCs w:val="20"/>
          <w:color w:val="auto"/>
        </w:rPr>
      </w:pPr>
      <w:r>
        <w:rPr>
          <w:rFonts w:ascii="Arial" w:cs="Arial" w:eastAsia="Arial" w:hAnsi="Arial"/>
          <w:sz w:val="19"/>
          <w:szCs w:val="19"/>
          <w:b w:val="1"/>
          <w:bCs w:val="1"/>
          <w:color w:val="auto"/>
        </w:rPr>
        <w:t>Article IV</w:t>
      </w:r>
    </w:p>
    <w:p>
      <w:pPr>
        <w:spacing w:after="0" w:line="166" w:lineRule="exact"/>
        <w:rPr>
          <w:sz w:val="20"/>
          <w:szCs w:val="20"/>
          <w:color w:val="auto"/>
        </w:rPr>
      </w:pPr>
    </w:p>
    <w:p>
      <w:pPr>
        <w:ind w:left="5180"/>
        <w:spacing w:after="0"/>
        <w:rPr>
          <w:sz w:val="20"/>
          <w:szCs w:val="20"/>
          <w:color w:val="auto"/>
        </w:rPr>
      </w:pPr>
      <w:r>
        <w:rPr>
          <w:rFonts w:ascii="Arial" w:cs="Arial" w:eastAsia="Arial" w:hAnsi="Arial"/>
          <w:sz w:val="19"/>
          <w:szCs w:val="19"/>
          <w:b w:val="1"/>
          <w:bCs w:val="1"/>
          <w:color w:val="auto"/>
        </w:rPr>
        <w:t>NOTICES</w:t>
      </w:r>
    </w:p>
    <w:p>
      <w:pPr>
        <w:spacing w:after="0" w:line="195"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9"/>
          <w:szCs w:val="19"/>
          <w:color w:val="auto"/>
        </w:rPr>
        <w:t>Section 1.</w:t>
      </w:r>
      <w:r>
        <w:rPr>
          <w:sz w:val="20"/>
          <w:szCs w:val="20"/>
          <w:color w:val="auto"/>
        </w:rPr>
        <w:tab/>
      </w:r>
      <w:r>
        <w:rPr>
          <w:rFonts w:ascii="Arial" w:cs="Arial" w:eastAsia="Arial" w:hAnsi="Arial"/>
          <w:sz w:val="17"/>
          <w:szCs w:val="17"/>
          <w:u w:val="single" w:color="auto"/>
          <w:color w:val="auto"/>
        </w:rPr>
        <w:t>Delivery</w:t>
      </w:r>
      <w:r>
        <w:rPr>
          <w:rFonts w:ascii="Arial" w:cs="Arial" w:eastAsia="Arial" w:hAnsi="Arial"/>
          <w:sz w:val="17"/>
          <w:szCs w:val="17"/>
          <w:color w:val="auto"/>
        </w:rPr>
        <w:t>. Whenever, under the provisions of law, or of the certificate of incorporation or these bylaws, written notice is</w:t>
      </w:r>
    </w:p>
    <w:p>
      <w:pPr>
        <w:ind w:right="200"/>
        <w:spacing w:after="0" w:line="235" w:lineRule="auto"/>
        <w:rPr>
          <w:sz w:val="20"/>
          <w:szCs w:val="20"/>
          <w:color w:val="auto"/>
        </w:rPr>
      </w:pPr>
      <w:r>
        <w:rPr>
          <w:rFonts w:ascii="Arial" w:cs="Arial" w:eastAsia="Arial" w:hAnsi="Arial"/>
          <w:sz w:val="17"/>
          <w:szCs w:val="17"/>
          <w:color w:val="auto"/>
        </w:rPr>
        <w:t>required to be given to any director or stockholder, such notice may be given by mail, addressed to such director or stockholder, at the address of such director or stockholder as it appears on the records of the corporation, with postage thereon prepaid, or by any other means, including</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electronic means,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21"/>
          <w:szCs w:val="21"/>
          <w:color w:val="auto"/>
        </w:rPr>
        <w:t>-22-</w:t>
      </w:r>
    </w:p>
    <w:p>
      <w:pPr>
        <w:jc w:val="right"/>
        <w:spacing w:after="0"/>
        <w:rPr>
          <w:sz w:val="20"/>
          <w:szCs w:val="20"/>
          <w:color w:val="auto"/>
        </w:rPr>
      </w:pPr>
      <w:r>
        <w:rPr>
          <w:rFonts w:ascii="Arial" w:cs="Arial" w:eastAsia="Arial" w:hAnsi="Arial"/>
          <w:sz w:val="14"/>
          <w:szCs w:val="14"/>
          <w:color w:val="auto"/>
        </w:rPr>
        <w:t>4878-8402-9764.v3</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Such notice shall be deemed to be given (i) if mailed, when deposited in the United States mail or delivered to a nationally recognized courier</w:t>
      </w:r>
    </w:p>
    <w:p>
      <w:pPr>
        <w:spacing w:after="0" w:line="8"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service, (ii) if sent by electronic mail, when delivered to an electronic mail address at which the director or stockholder has consented to receive such notice and (iii) if transmitted by a posting on an electronic network together with separate notice of such specific posting, upon the later of</w:t>
      </w:r>
    </w:p>
    <w:p>
      <w:pPr>
        <w:spacing w:after="0" w:line="1" w:lineRule="exact"/>
        <w:rPr>
          <w:sz w:val="20"/>
          <w:szCs w:val="20"/>
          <w:color w:val="auto"/>
        </w:rPr>
      </w:pPr>
    </w:p>
    <w:p>
      <w:pPr>
        <w:jc w:val="both"/>
        <w:ind w:right="220" w:firstLine="6"/>
        <w:spacing w:after="0" w:line="223" w:lineRule="auto"/>
        <w:tabs>
          <w:tab w:leader="none" w:pos="318" w:val="left"/>
        </w:tabs>
        <w:numPr>
          <w:ilvl w:val="0"/>
          <w:numId w:val="67"/>
        </w:numPr>
        <w:rPr>
          <w:rFonts w:ascii="Arial" w:cs="Arial" w:eastAsia="Arial" w:hAnsi="Arial"/>
          <w:sz w:val="19"/>
          <w:szCs w:val="19"/>
          <w:color w:val="auto"/>
        </w:rPr>
      </w:pPr>
      <w:r>
        <w:rPr>
          <w:rFonts w:ascii="Arial" w:cs="Arial" w:eastAsia="Arial" w:hAnsi="Arial"/>
          <w:sz w:val="19"/>
          <w:szCs w:val="19"/>
          <w:color w:val="auto"/>
        </w:rPr>
        <w:t>such posting and (B) the giving of such separate notice. Oral notice or other in-hand delivery (in person or by telephone) shall be deemed given at the time it is actually given. For purposes of these bylaws, “electronic transmission” means any form of communication, not directly involving the physical transmission of paper, that creates a record that may be retained, retrieved and reviewed by a recipient thereof, and that may be directly reproduced in paper form through an automated process.</w:t>
      </w:r>
    </w:p>
    <w:p>
      <w:pPr>
        <w:spacing w:after="0" w:line="166" w:lineRule="exact"/>
        <w:rPr>
          <w:sz w:val="20"/>
          <w:szCs w:val="20"/>
          <w:color w:val="auto"/>
        </w:rPr>
      </w:pPr>
    </w:p>
    <w:p>
      <w:pPr>
        <w:ind w:firstLine="636"/>
        <w:spacing w:after="0" w:line="245"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Waiver of Notice</w:t>
      </w:r>
      <w:r>
        <w:rPr>
          <w:rFonts w:ascii="Arial" w:cs="Arial" w:eastAsia="Arial" w:hAnsi="Arial"/>
          <w:sz w:val="17"/>
          <w:szCs w:val="17"/>
          <w:color w:val="auto"/>
        </w:rPr>
        <w:t>. Whenever any notice is required to be given by law, the certificate of incorporation or these bylaws, a waiver thereof in writing, signed by the person or persons entitled to said notice, or a waiver by electronic transmission by the person or persons</w:t>
      </w:r>
    </w:p>
    <w:p>
      <w:pPr>
        <w:spacing w:after="0" w:line="231" w:lineRule="auto"/>
        <w:rPr>
          <w:sz w:val="20"/>
          <w:szCs w:val="20"/>
          <w:color w:val="auto"/>
        </w:rPr>
      </w:pPr>
      <w:r>
        <w:rPr>
          <w:rFonts w:ascii="Arial" w:cs="Arial" w:eastAsia="Arial" w:hAnsi="Arial"/>
          <w:sz w:val="18"/>
          <w:szCs w:val="18"/>
          <w:color w:val="auto"/>
        </w:rPr>
        <w:t>entitled to said notice, whether before or after the time stated therein, shall be deemed equivalent thereto. Attendance of a person, either in</w:t>
      </w:r>
    </w:p>
    <w:p>
      <w:pPr>
        <w:spacing w:after="0" w:line="1"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person or by proxy, at any meeting shall constitute a waiver of notice of such meeting, except where a person attends a meeting for the express purpose of objecting, at the beginning of the meeting, to the transaction of any business because the meeting was not lawfully called or</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convened.</w:t>
      </w:r>
    </w:p>
    <w:p>
      <w:pPr>
        <w:spacing w:after="0" w:line="170" w:lineRule="exact"/>
        <w:rPr>
          <w:sz w:val="20"/>
          <w:szCs w:val="20"/>
          <w:color w:val="auto"/>
        </w:rPr>
      </w:pPr>
    </w:p>
    <w:p>
      <w:pPr>
        <w:ind w:left="4980"/>
        <w:spacing w:after="0"/>
        <w:rPr>
          <w:sz w:val="20"/>
          <w:szCs w:val="20"/>
          <w:color w:val="auto"/>
        </w:rPr>
      </w:pPr>
      <w:r>
        <w:rPr>
          <w:rFonts w:ascii="Arial" w:cs="Arial" w:eastAsia="Arial" w:hAnsi="Arial"/>
          <w:sz w:val="19"/>
          <w:szCs w:val="19"/>
          <w:b w:val="1"/>
          <w:bCs w:val="1"/>
          <w:color w:val="auto"/>
        </w:rPr>
        <w:t>Article V</w:t>
      </w:r>
    </w:p>
    <w:p>
      <w:pPr>
        <w:spacing w:after="0" w:line="166" w:lineRule="exact"/>
        <w:rPr>
          <w:sz w:val="20"/>
          <w:szCs w:val="20"/>
          <w:color w:val="auto"/>
        </w:rPr>
      </w:pPr>
    </w:p>
    <w:p>
      <w:pPr>
        <w:ind w:left="4700"/>
        <w:spacing w:after="0"/>
        <w:rPr>
          <w:sz w:val="20"/>
          <w:szCs w:val="20"/>
          <w:color w:val="auto"/>
        </w:rPr>
      </w:pPr>
      <w:r>
        <w:rPr>
          <w:rFonts w:ascii="Arial" w:cs="Arial" w:eastAsia="Arial" w:hAnsi="Arial"/>
          <w:sz w:val="19"/>
          <w:szCs w:val="19"/>
          <w:b w:val="1"/>
          <w:bCs w:val="1"/>
          <w:color w:val="auto"/>
        </w:rPr>
        <w:t>INDEMNIFICATION</w:t>
      </w:r>
    </w:p>
    <w:p>
      <w:pPr>
        <w:spacing w:after="0" w:line="198" w:lineRule="exact"/>
        <w:rPr>
          <w:sz w:val="20"/>
          <w:szCs w:val="20"/>
          <w:color w:val="auto"/>
        </w:rPr>
      </w:pPr>
    </w:p>
    <w:p>
      <w:pPr>
        <w:ind w:right="240" w:firstLine="636"/>
        <w:spacing w:after="0" w:line="245"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Actions Other than by or in the Right of the Corporation</w:t>
      </w:r>
      <w:r>
        <w:rPr>
          <w:rFonts w:ascii="Arial" w:cs="Arial" w:eastAsia="Arial" w:hAnsi="Arial"/>
          <w:sz w:val="17"/>
          <w:szCs w:val="17"/>
          <w:color w:val="auto"/>
        </w:rPr>
        <w:t xml:space="preserve"> . Subject to Section 4 of this Article V, the corporation shall indemnify any person who is or was a director or officer of the corporation, or is or was serving at the request of the corporation as a director,</w:t>
      </w:r>
    </w:p>
    <w:p>
      <w:pPr>
        <w:spacing w:after="0" w:line="1"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officer, employee or agent of another corporation, partnership, joint venture, trust or other enterprise, including service with respect to employee benefit plans, and the corporation may indemnify any person who is or was an employee or agent of the corporation, in each case who was or is</w:t>
      </w:r>
    </w:p>
    <w:p>
      <w:pPr>
        <w:spacing w:after="0" w:line="219" w:lineRule="auto"/>
        <w:rPr>
          <w:sz w:val="20"/>
          <w:szCs w:val="20"/>
          <w:color w:val="auto"/>
        </w:rPr>
      </w:pPr>
      <w:r>
        <w:rPr>
          <w:rFonts w:ascii="Arial" w:cs="Arial" w:eastAsia="Arial" w:hAnsi="Arial"/>
          <w:sz w:val="19"/>
          <w:szCs w:val="19"/>
          <w:color w:val="auto"/>
        </w:rPr>
        <w:t>a party or is threatened to be made a party to any threatened, pending or completed action, suit or proceeding, whether civil, criminal,</w:t>
      </w:r>
    </w:p>
    <w:p>
      <w:pPr>
        <w:spacing w:after="0" w:line="1" w:lineRule="exact"/>
        <w:rPr>
          <w:sz w:val="20"/>
          <w:szCs w:val="20"/>
          <w:color w:val="auto"/>
        </w:rPr>
      </w:pPr>
    </w:p>
    <w:p>
      <w:pPr>
        <w:ind w:right="260"/>
        <w:spacing w:after="0" w:line="235" w:lineRule="auto"/>
        <w:rPr>
          <w:sz w:val="20"/>
          <w:szCs w:val="20"/>
          <w:color w:val="auto"/>
        </w:rPr>
      </w:pPr>
      <w:r>
        <w:rPr>
          <w:rFonts w:ascii="Arial" w:cs="Arial" w:eastAsia="Arial" w:hAnsi="Arial"/>
          <w:sz w:val="17"/>
          <w:szCs w:val="17"/>
          <w:color w:val="auto"/>
        </w:rPr>
        <w:t>administrative or investigative (other than an action by or in the right of the corporation) by reason of the fact that such person is or was a director, officer, employee or agent of the corporation, or is or was serving at the request of the corporation as a director, officer, employee or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agent of another corporation, partnership, joint venture, trust or other enterprise against all expenses, liabilities and losses (including attorneys’</w:t>
      </w:r>
    </w:p>
    <w:p>
      <w:pPr>
        <w:spacing w:after="0" w:line="3"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fees and related disbursements, judgments, fines, and amounts paid or to be paid in settlement) actually and reasonably incurred or suffered by such person in connection with such action, suit or proceeding if such person acted in good faith and in a manner such person reasonably</w:t>
      </w:r>
    </w:p>
    <w:p>
      <w:pPr>
        <w:spacing w:after="0" w:line="232" w:lineRule="auto"/>
        <w:rPr>
          <w:sz w:val="20"/>
          <w:szCs w:val="20"/>
          <w:color w:val="auto"/>
        </w:rPr>
      </w:pPr>
      <w:r>
        <w:rPr>
          <w:rFonts w:ascii="Arial" w:cs="Arial" w:eastAsia="Arial" w:hAnsi="Arial"/>
          <w:sz w:val="18"/>
          <w:szCs w:val="18"/>
          <w:color w:val="auto"/>
        </w:rPr>
        <w:t>believed to be in or not opposed to the best interests of the corporation, and, with respect to any criminal action or proceedings, had no</w:t>
      </w:r>
    </w:p>
    <w:p>
      <w:pPr>
        <w:ind w:right="140"/>
        <w:spacing w:after="0" w:line="235" w:lineRule="auto"/>
        <w:rPr>
          <w:sz w:val="20"/>
          <w:szCs w:val="20"/>
          <w:color w:val="auto"/>
        </w:rPr>
      </w:pPr>
      <w:r>
        <w:rPr>
          <w:rFonts w:ascii="Arial" w:cs="Arial" w:eastAsia="Arial" w:hAnsi="Arial"/>
          <w:sz w:val="17"/>
          <w:szCs w:val="17"/>
          <w:color w:val="auto"/>
        </w:rPr>
        <w:t>reasonable cause to believe his or her conduct was unlawful. The termination of any action, suit or proceeding by judgment, order, settlement, conviction, or upon a plea of nolo contendere or its equivalent, shall not, of itself, create a presumption that the person did not act in good faith</w:t>
      </w:r>
    </w:p>
    <w:p>
      <w:pPr>
        <w:spacing w:after="0" w:line="1" w:lineRule="exact"/>
        <w:rPr>
          <w:sz w:val="20"/>
          <w:szCs w:val="20"/>
          <w:color w:val="auto"/>
        </w:rPr>
      </w:pPr>
    </w:p>
    <w:p>
      <w:pPr>
        <w:ind w:right="140"/>
        <w:spacing w:after="0" w:line="236" w:lineRule="auto"/>
        <w:rPr>
          <w:sz w:val="20"/>
          <w:szCs w:val="20"/>
          <w:color w:val="auto"/>
        </w:rPr>
      </w:pPr>
      <w:r>
        <w:rPr>
          <w:rFonts w:ascii="Arial" w:cs="Arial" w:eastAsia="Arial" w:hAnsi="Arial"/>
          <w:sz w:val="19"/>
          <w:szCs w:val="19"/>
          <w:color w:val="auto"/>
        </w:rPr>
        <w:t>and in a manner which such person reasonably believed to be in or not opposed to the best interests of the corporation, and, with respect to any criminal action or proceeding, had reasonable cause to believe that his or her conduct was unlawful.</w:t>
      </w:r>
    </w:p>
    <w:p>
      <w:pPr>
        <w:spacing w:after="0" w:line="151" w:lineRule="exact"/>
        <w:rPr>
          <w:sz w:val="20"/>
          <w:szCs w:val="20"/>
          <w:color w:val="auto"/>
        </w:rPr>
      </w:pPr>
    </w:p>
    <w:p>
      <w:pPr>
        <w:ind w:right="20" w:firstLine="636"/>
        <w:spacing w:after="0" w:line="253"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Actions by or in the Right of the Corporation</w:t>
      </w:r>
      <w:r>
        <w:rPr>
          <w:rFonts w:ascii="Arial" w:cs="Arial" w:eastAsia="Arial" w:hAnsi="Arial"/>
          <w:sz w:val="17"/>
          <w:szCs w:val="17"/>
          <w:color w:val="auto"/>
        </w:rPr>
        <w:t>. Subject to Section 4 of this Article V, the corporation shall indemnify any person who was or is a party or is threatened to be made a party to any threatened, pending or completed action or suit by or in the right of the</w:t>
      </w:r>
    </w:p>
    <w:p>
      <w:pPr>
        <w:spacing w:after="0" w:line="1" w:lineRule="exact"/>
        <w:rPr>
          <w:sz w:val="20"/>
          <w:szCs w:val="20"/>
          <w:color w:val="auto"/>
        </w:rPr>
      </w:pPr>
    </w:p>
    <w:p>
      <w:pPr>
        <w:ind w:right="260"/>
        <w:spacing w:after="0" w:line="235" w:lineRule="auto"/>
        <w:rPr>
          <w:sz w:val="20"/>
          <w:szCs w:val="20"/>
          <w:color w:val="auto"/>
        </w:rPr>
      </w:pPr>
      <w:r>
        <w:rPr>
          <w:rFonts w:ascii="Arial" w:cs="Arial" w:eastAsia="Arial" w:hAnsi="Arial"/>
          <w:sz w:val="17"/>
          <w:szCs w:val="17"/>
          <w:color w:val="auto"/>
        </w:rPr>
        <w:t>corporation to procure a judgment in its favor by reason of the fact that such person is or was a director, officer, employee or agent of the corporation, or is or was serving at the request of the corporation as a director, officer, employee or agent of another corporation, partnership,</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joint venture, trust or other enterprise against all expenses (including attorneys’ fees and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21"/>
          <w:szCs w:val="21"/>
          <w:color w:val="auto"/>
        </w:rPr>
        <w:t>-23-</w:t>
      </w:r>
    </w:p>
    <w:p>
      <w:pPr>
        <w:jc w:val="right"/>
        <w:spacing w:after="0"/>
        <w:rPr>
          <w:sz w:val="20"/>
          <w:szCs w:val="20"/>
          <w:color w:val="auto"/>
        </w:rPr>
      </w:pPr>
      <w:r>
        <w:rPr>
          <w:rFonts w:ascii="Arial" w:cs="Arial" w:eastAsia="Arial" w:hAnsi="Arial"/>
          <w:sz w:val="14"/>
          <w:szCs w:val="14"/>
          <w:color w:val="auto"/>
        </w:rPr>
        <w:t>4878-8402-9764.v3</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disbursements) actually and reasonably incurred by such person in connection with the defense or settlement of such action or suit if such</w:t>
      </w:r>
    </w:p>
    <w:p>
      <w:pPr>
        <w:spacing w:after="0" w:line="8" w:lineRule="exact"/>
        <w:rPr>
          <w:sz w:val="20"/>
          <w:szCs w:val="20"/>
          <w:color w:val="auto"/>
        </w:rPr>
      </w:pPr>
    </w:p>
    <w:p>
      <w:pPr>
        <w:ind w:right="360"/>
        <w:spacing w:after="0" w:line="235" w:lineRule="auto"/>
        <w:rPr>
          <w:sz w:val="20"/>
          <w:szCs w:val="20"/>
          <w:color w:val="auto"/>
        </w:rPr>
      </w:pPr>
      <w:r>
        <w:rPr>
          <w:rFonts w:ascii="Arial" w:cs="Arial" w:eastAsia="Arial" w:hAnsi="Arial"/>
          <w:sz w:val="17"/>
          <w:szCs w:val="17"/>
          <w:color w:val="auto"/>
        </w:rPr>
        <w:t>person acted in good faith and in a manner such person reasonably believed to be in or not opposed to the best interests of the corporation; except that no indemnification shall be made in respect of any claim, issue or matter as to which such person shall have been adjudged to be</w:t>
      </w:r>
    </w:p>
    <w:p>
      <w:pPr>
        <w:spacing w:after="0" w:line="232" w:lineRule="auto"/>
        <w:rPr>
          <w:sz w:val="20"/>
          <w:szCs w:val="20"/>
          <w:color w:val="auto"/>
        </w:rPr>
      </w:pPr>
      <w:r>
        <w:rPr>
          <w:rFonts w:ascii="Arial" w:cs="Arial" w:eastAsia="Arial" w:hAnsi="Arial"/>
          <w:sz w:val="18"/>
          <w:szCs w:val="18"/>
          <w:color w:val="auto"/>
        </w:rPr>
        <w:t>liable to the corporation unless and only to the extent that the Court of Chancery of the State of Delaware or the court in which such action or</w:t>
      </w:r>
    </w:p>
    <w:p>
      <w:pPr>
        <w:spacing w:after="0" w:line="235" w:lineRule="auto"/>
        <w:rPr>
          <w:sz w:val="20"/>
          <w:szCs w:val="20"/>
          <w:color w:val="auto"/>
        </w:rPr>
      </w:pPr>
      <w:r>
        <w:rPr>
          <w:rFonts w:ascii="Arial" w:cs="Arial" w:eastAsia="Arial" w:hAnsi="Arial"/>
          <w:sz w:val="17"/>
          <w:szCs w:val="17"/>
          <w:color w:val="auto"/>
        </w:rPr>
        <w:t>suit was brought shall determine upon application that, despite the adjudication of liability but in view of all the circumstances of the case, such person is fairly and reasonably entitled to indemnity for such expenses which the Court of Chancery of the State of Delaware or such other court</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shall deem proper.</w:t>
      </w:r>
    </w:p>
    <w:p>
      <w:pPr>
        <w:spacing w:after="0" w:line="176" w:lineRule="exact"/>
        <w:rPr>
          <w:sz w:val="20"/>
          <w:szCs w:val="20"/>
          <w:color w:val="auto"/>
        </w:rPr>
      </w:pPr>
    </w:p>
    <w:p>
      <w:pPr>
        <w:ind w:right="60" w:firstLine="636"/>
        <w:spacing w:after="0" w:line="232"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Success on the Merits</w:t>
      </w:r>
      <w:r>
        <w:rPr>
          <w:rFonts w:ascii="Arial" w:cs="Arial" w:eastAsia="Arial" w:hAnsi="Arial"/>
          <w:sz w:val="18"/>
          <w:szCs w:val="18"/>
          <w:color w:val="auto"/>
        </w:rPr>
        <w:t>. To the extent that any person described in Section 1 or 2 of this Article V has been successful on the merits or otherwise in defense of any action, suit or proceeding referred to in said Sections, or in defense of any claim, issue or matter</w:t>
      </w:r>
    </w:p>
    <w:p>
      <w:pPr>
        <w:ind w:right="420"/>
        <w:spacing w:after="0" w:line="236" w:lineRule="auto"/>
        <w:rPr>
          <w:sz w:val="20"/>
          <w:szCs w:val="20"/>
          <w:color w:val="auto"/>
        </w:rPr>
      </w:pPr>
      <w:r>
        <w:rPr>
          <w:rFonts w:ascii="Arial" w:cs="Arial" w:eastAsia="Arial" w:hAnsi="Arial"/>
          <w:sz w:val="19"/>
          <w:szCs w:val="19"/>
          <w:color w:val="auto"/>
        </w:rPr>
        <w:t>therein, such person shall be indemnified against all expenses (including attorneys’ fees and related disbursements) actually and reasonably incurred by such person in connection therewith.</w:t>
      </w:r>
    </w:p>
    <w:p>
      <w:pPr>
        <w:spacing w:after="0" w:line="151" w:lineRule="exact"/>
        <w:rPr>
          <w:sz w:val="20"/>
          <w:szCs w:val="20"/>
          <w:color w:val="auto"/>
        </w:rPr>
      </w:pPr>
    </w:p>
    <w:p>
      <w:pPr>
        <w:ind w:right="180" w:firstLine="636"/>
        <w:spacing w:after="0" w:line="253"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Specific Authorization</w:t>
      </w:r>
      <w:r>
        <w:rPr>
          <w:rFonts w:ascii="Arial" w:cs="Arial" w:eastAsia="Arial" w:hAnsi="Arial"/>
          <w:sz w:val="17"/>
          <w:szCs w:val="17"/>
          <w:color w:val="auto"/>
        </w:rPr>
        <w:t>. Any indemnification under Section 1 or 2 of this Article V (unless ordered by a court) shall be made by the corporation only as authorized in the specific case upon a determination that indemnification of the director, officer, employee or</w:t>
      </w:r>
    </w:p>
    <w:p>
      <w:pPr>
        <w:spacing w:after="0" w:line="1"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agent is proper in the circumstances because such person has met the applicable standard of conduct set forth in Section 1 or 2, as the case may be, of this Article V. Such determination shall be made (1) by the board of directors by a majority vote of a quorum consisting of directors who</w:t>
      </w:r>
    </w:p>
    <w:p>
      <w:pPr>
        <w:spacing w:after="0" w:line="1" w:lineRule="exact"/>
        <w:rPr>
          <w:sz w:val="20"/>
          <w:szCs w:val="20"/>
          <w:color w:val="auto"/>
        </w:rPr>
      </w:pPr>
    </w:p>
    <w:p>
      <w:pPr>
        <w:ind w:right="380"/>
        <w:spacing w:after="0" w:line="236" w:lineRule="auto"/>
        <w:rPr>
          <w:sz w:val="20"/>
          <w:szCs w:val="20"/>
          <w:color w:val="auto"/>
        </w:rPr>
      </w:pPr>
      <w:r>
        <w:rPr>
          <w:rFonts w:ascii="Arial" w:cs="Arial" w:eastAsia="Arial" w:hAnsi="Arial"/>
          <w:sz w:val="19"/>
          <w:szCs w:val="19"/>
          <w:color w:val="auto"/>
        </w:rPr>
        <w:t>were not parties to such action, suit or proceeding, or (2) if such a quorum is not obtainable, or, even if obtainable a quorum of disinterested directors so directs, by independent legal counsel in a written opinion, or (3) by the stockholders of the corporation.</w:t>
      </w:r>
    </w:p>
    <w:p>
      <w:pPr>
        <w:spacing w:after="0" w:line="147"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9"/>
          <w:szCs w:val="19"/>
          <w:color w:val="auto"/>
        </w:rPr>
        <w:t>Section 5.</w:t>
      </w:r>
      <w:r>
        <w:rPr>
          <w:sz w:val="20"/>
          <w:szCs w:val="20"/>
          <w:color w:val="auto"/>
        </w:rPr>
        <w:tab/>
      </w:r>
      <w:r>
        <w:rPr>
          <w:rFonts w:ascii="Arial" w:cs="Arial" w:eastAsia="Arial" w:hAnsi="Arial"/>
          <w:sz w:val="17"/>
          <w:szCs w:val="17"/>
          <w:u w:val="single" w:color="auto"/>
          <w:color w:val="auto"/>
        </w:rPr>
        <w:t>Advance Payment</w:t>
      </w:r>
      <w:r>
        <w:rPr>
          <w:rFonts w:ascii="Arial" w:cs="Arial" w:eastAsia="Arial" w:hAnsi="Arial"/>
          <w:sz w:val="17"/>
          <w:szCs w:val="17"/>
          <w:color w:val="auto"/>
        </w:rPr>
        <w:t>. Expenses incurred in defending a civil or criminal action, suit or proceeding may be paid by the</w:t>
      </w:r>
    </w:p>
    <w:p>
      <w:pPr>
        <w:ind w:right="100"/>
        <w:spacing w:after="0" w:line="235" w:lineRule="auto"/>
        <w:rPr>
          <w:sz w:val="20"/>
          <w:szCs w:val="20"/>
          <w:color w:val="auto"/>
        </w:rPr>
      </w:pPr>
      <w:r>
        <w:rPr>
          <w:rFonts w:ascii="Arial" w:cs="Arial" w:eastAsia="Arial" w:hAnsi="Arial"/>
          <w:sz w:val="17"/>
          <w:szCs w:val="17"/>
          <w:color w:val="auto"/>
        </w:rPr>
        <w:t>corporation in advance of the final disposition of such action, suit or proceeding as authorized by the board of directors in the manner provided for in Section 4 of this Article V upon receipt of an undertaking by or on behalf of any person described in said Section to repay such amount if</w:t>
      </w:r>
    </w:p>
    <w:p>
      <w:pPr>
        <w:spacing w:after="0" w:line="1" w:lineRule="exact"/>
        <w:rPr>
          <w:sz w:val="20"/>
          <w:szCs w:val="20"/>
          <w:color w:val="auto"/>
        </w:rPr>
      </w:pPr>
    </w:p>
    <w:p>
      <w:pPr>
        <w:ind w:right="220"/>
        <w:spacing w:after="0" w:line="287" w:lineRule="auto"/>
        <w:rPr>
          <w:sz w:val="20"/>
          <w:szCs w:val="20"/>
          <w:color w:val="auto"/>
        </w:rPr>
      </w:pPr>
      <w:r>
        <w:rPr>
          <w:rFonts w:ascii="Arial" w:cs="Arial" w:eastAsia="Arial" w:hAnsi="Arial"/>
          <w:sz w:val="17"/>
          <w:szCs w:val="17"/>
          <w:color w:val="auto"/>
        </w:rPr>
        <w:t>it shall ultimately be determined that such person is not entitled to indemnification by the corporation as authorized in this Article V or, where indemnification is granted, to the extent the expenses so advanced or reimbursed exceed the amount to which such person is entitled.</w:t>
      </w:r>
    </w:p>
    <w:p>
      <w:pPr>
        <w:spacing w:after="0" w:line="113" w:lineRule="exact"/>
        <w:rPr>
          <w:sz w:val="20"/>
          <w:szCs w:val="20"/>
          <w:color w:val="auto"/>
        </w:rPr>
      </w:pPr>
    </w:p>
    <w:p>
      <w:pPr>
        <w:ind w:right="140" w:firstLine="636"/>
        <w:spacing w:after="0" w:line="253"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Non-Exclusivity</w:t>
      </w:r>
      <w:r>
        <w:rPr>
          <w:rFonts w:ascii="Arial" w:cs="Arial" w:eastAsia="Arial" w:hAnsi="Arial"/>
          <w:sz w:val="17"/>
          <w:szCs w:val="17"/>
          <w:color w:val="auto"/>
        </w:rPr>
        <w:t>. The indemnification and advancement of expenses provided by this Article V shall not be deemed exclusive of any other rights to which those seeking indemnification or advancement of expenses may be entitled under any bylaw, agreement,</w:t>
      </w:r>
    </w:p>
    <w:p>
      <w:pPr>
        <w:spacing w:after="0" w:line="1"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vote of stockholders or disinterested directors or otherwise, both as to action in such person’s official capacity and as to action in another capacity while holding such office, and shall continue as to a person who has ceased to be director, officer, employee or agent of the corporation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and shall inure to the benefit of the heirs, executors and administrators of such a person; provided, however, that any repeal or amendment of</w:t>
      </w:r>
    </w:p>
    <w:p>
      <w:pPr>
        <w:spacing w:after="0" w:line="3"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any of the provisions of this Article V shall not adversely affect any right or protection of any person entitled to indemnification existing at the time of such repeal or amendment. The rights to indemnification and advancement of expenses provided by this Article V shall be contract</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rights.</w:t>
      </w:r>
    </w:p>
    <w:p>
      <w:pPr>
        <w:spacing w:after="0" w:line="176" w:lineRule="exact"/>
        <w:rPr>
          <w:sz w:val="20"/>
          <w:szCs w:val="20"/>
          <w:color w:val="auto"/>
        </w:rPr>
      </w:pPr>
    </w:p>
    <w:p>
      <w:pPr>
        <w:ind w:right="100" w:firstLine="636"/>
        <w:spacing w:after="0" w:line="232"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purchase and maintain insurance on its own behalf and on behalf of any person who is or was a director, officer, employee or agent of the corporation, or is or was serving at the request of the corporation as a director, officer,</w:t>
      </w:r>
    </w:p>
    <w:p>
      <w:pPr>
        <w:ind w:right="500"/>
        <w:spacing w:after="0" w:line="236" w:lineRule="auto"/>
        <w:rPr>
          <w:sz w:val="20"/>
          <w:szCs w:val="20"/>
          <w:color w:val="auto"/>
        </w:rPr>
      </w:pPr>
      <w:r>
        <w:rPr>
          <w:rFonts w:ascii="Arial" w:cs="Arial" w:eastAsia="Arial" w:hAnsi="Arial"/>
          <w:sz w:val="19"/>
          <w:szCs w:val="19"/>
          <w:color w:val="auto"/>
        </w:rPr>
        <w:t>employee or agent of another corporation, partnership, joint venture, trust or other enterprise against any expense, liability or loss asserted against such person and incurred by such person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19"/>
        <w:spacing w:after="0"/>
        <w:rPr>
          <w:sz w:val="20"/>
          <w:szCs w:val="20"/>
          <w:color w:val="auto"/>
        </w:rPr>
      </w:pPr>
      <w:r>
        <w:rPr>
          <w:rFonts w:ascii="Arial" w:cs="Arial" w:eastAsia="Arial" w:hAnsi="Arial"/>
          <w:sz w:val="21"/>
          <w:szCs w:val="21"/>
          <w:color w:val="auto"/>
        </w:rPr>
        <w:t>-24-</w:t>
      </w:r>
    </w:p>
    <w:p>
      <w:pPr>
        <w:jc w:val="right"/>
        <w:spacing w:after="0"/>
        <w:rPr>
          <w:sz w:val="20"/>
          <w:szCs w:val="20"/>
          <w:color w:val="auto"/>
        </w:rPr>
      </w:pPr>
      <w:r>
        <w:rPr>
          <w:rFonts w:ascii="Arial" w:cs="Arial" w:eastAsia="Arial" w:hAnsi="Arial"/>
          <w:sz w:val="14"/>
          <w:szCs w:val="14"/>
          <w:color w:val="auto"/>
        </w:rPr>
        <w:t>4878-8402-9764.v3</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200" w:lineRule="exact"/>
        <w:rPr>
          <w:sz w:val="20"/>
          <w:szCs w:val="20"/>
          <w:color w:val="auto"/>
        </w:rPr>
      </w:pPr>
    </w:p>
    <w:p>
      <w:pPr>
        <w:spacing w:after="0" w:line="378" w:lineRule="exact"/>
        <w:rPr>
          <w:sz w:val="20"/>
          <w:szCs w:val="20"/>
          <w:color w:val="auto"/>
        </w:rPr>
      </w:pPr>
    </w:p>
    <w:p>
      <w:pPr>
        <w:ind w:right="80"/>
        <w:spacing w:after="0" w:line="249" w:lineRule="auto"/>
        <w:rPr>
          <w:sz w:val="20"/>
          <w:szCs w:val="20"/>
          <w:color w:val="auto"/>
        </w:rPr>
      </w:pPr>
      <w:r>
        <w:rPr>
          <w:rFonts w:ascii="Arial" w:cs="Arial" w:eastAsia="Arial" w:hAnsi="Arial"/>
          <w:sz w:val="19"/>
          <w:szCs w:val="19"/>
          <w:color w:val="auto"/>
        </w:rPr>
        <w:t>any such capacity, or arising out of such person’s status as such, whether or not the corporation would have the power to indemnify such person against such expense, liability or loss under the provisions of this Article V.</w:t>
      </w:r>
    </w:p>
    <w:p>
      <w:pPr>
        <w:spacing w:after="0" w:line="143" w:lineRule="exact"/>
        <w:rPr>
          <w:sz w:val="20"/>
          <w:szCs w:val="20"/>
          <w:color w:val="auto"/>
        </w:rPr>
      </w:pPr>
    </w:p>
    <w:p>
      <w:pPr>
        <w:ind w:firstLine="636"/>
        <w:spacing w:after="0" w:line="253"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Subrogation</w:t>
      </w:r>
      <w:r>
        <w:rPr>
          <w:rFonts w:ascii="Arial" w:cs="Arial" w:eastAsia="Arial" w:hAnsi="Arial"/>
          <w:sz w:val="17"/>
          <w:szCs w:val="17"/>
          <w:color w:val="auto"/>
        </w:rPr>
        <w:t>. In the event of any payment under this Article V, the corporation shall be subrogated to the extent of such payment to all of the rights of recovery of the person entitled to indemnification (under any insurance policy or otherwise), who shall execute all</w:t>
      </w:r>
    </w:p>
    <w:p>
      <w:pPr>
        <w:spacing w:after="0" w:line="1" w:lineRule="exact"/>
        <w:rPr>
          <w:sz w:val="20"/>
          <w:szCs w:val="20"/>
          <w:color w:val="auto"/>
        </w:rPr>
      </w:pPr>
    </w:p>
    <w:p>
      <w:pPr>
        <w:ind w:right="460"/>
        <w:spacing w:after="0" w:line="228" w:lineRule="auto"/>
        <w:rPr>
          <w:sz w:val="20"/>
          <w:szCs w:val="20"/>
          <w:color w:val="auto"/>
        </w:rPr>
      </w:pPr>
      <w:r>
        <w:rPr>
          <w:rFonts w:ascii="Arial" w:cs="Arial" w:eastAsia="Arial" w:hAnsi="Arial"/>
          <w:sz w:val="19"/>
          <w:szCs w:val="19"/>
          <w:color w:val="auto"/>
        </w:rPr>
        <w:t>papers required and shall do everything necessary to secure such rights, including the execution of such documents necessary to enable the corporation to effectively bring suit to enforce such rights.</w:t>
      </w:r>
    </w:p>
    <w:p>
      <w:pPr>
        <w:spacing w:after="0" w:line="161"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9"/>
          <w:szCs w:val="19"/>
          <w:color w:val="auto"/>
        </w:rPr>
        <w:t>Section 9.</w:t>
      </w:r>
      <w:r>
        <w:rPr>
          <w:sz w:val="20"/>
          <w:szCs w:val="20"/>
          <w:color w:val="auto"/>
        </w:rPr>
        <w:tab/>
      </w:r>
      <w:r>
        <w:rPr>
          <w:rFonts w:ascii="Arial" w:cs="Arial" w:eastAsia="Arial" w:hAnsi="Arial"/>
          <w:sz w:val="17"/>
          <w:szCs w:val="17"/>
          <w:u w:val="single" w:color="auto"/>
          <w:color w:val="auto"/>
        </w:rPr>
        <w:t>Severability</w:t>
      </w:r>
      <w:r>
        <w:rPr>
          <w:rFonts w:ascii="Arial" w:cs="Arial" w:eastAsia="Arial" w:hAnsi="Arial"/>
          <w:sz w:val="17"/>
          <w:szCs w:val="17"/>
          <w:color w:val="auto"/>
        </w:rPr>
        <w:t>. If any word, clause or provision of this Article V or any award made hereunder shall for any reason be</w:t>
      </w:r>
    </w:p>
    <w:p>
      <w:pPr>
        <w:ind w:right="100"/>
        <w:spacing w:after="0" w:line="235" w:lineRule="auto"/>
        <w:rPr>
          <w:sz w:val="20"/>
          <w:szCs w:val="20"/>
          <w:color w:val="auto"/>
        </w:rPr>
      </w:pPr>
      <w:r>
        <w:rPr>
          <w:rFonts w:ascii="Arial" w:cs="Arial" w:eastAsia="Arial" w:hAnsi="Arial"/>
          <w:sz w:val="17"/>
          <w:szCs w:val="17"/>
          <w:color w:val="auto"/>
        </w:rPr>
        <w:t>determined to be invalid, the provisions hereof shall not otherwise be affected thereby but shall remain in full force and effect, and the affected word, clause or provision shall be given the fullest possible enforcement in the circumstances, it being the intention of the corporation to afford</w:t>
      </w:r>
    </w:p>
    <w:p>
      <w:pPr>
        <w:spacing w:after="0" w:line="1" w:lineRule="exact"/>
        <w:rPr>
          <w:sz w:val="20"/>
          <w:szCs w:val="20"/>
          <w:color w:val="auto"/>
        </w:rPr>
      </w:pPr>
    </w:p>
    <w:p>
      <w:pPr>
        <w:ind w:right="40"/>
        <w:spacing w:after="0" w:line="236" w:lineRule="auto"/>
        <w:rPr>
          <w:sz w:val="20"/>
          <w:szCs w:val="20"/>
          <w:color w:val="auto"/>
        </w:rPr>
      </w:pPr>
      <w:r>
        <w:rPr>
          <w:rFonts w:ascii="Arial" w:cs="Arial" w:eastAsia="Arial" w:hAnsi="Arial"/>
          <w:sz w:val="19"/>
          <w:szCs w:val="19"/>
          <w:color w:val="auto"/>
        </w:rPr>
        <w:t>indemnification and advancement of expenses to its directors, officers, employees and agents, acting in such capacities or in the other capacities mentioned herein, to the fullest extent permitted by law.</w:t>
      </w:r>
    </w:p>
    <w:p>
      <w:pPr>
        <w:spacing w:after="0" w:line="151" w:lineRule="exact"/>
        <w:rPr>
          <w:sz w:val="20"/>
          <w:szCs w:val="20"/>
          <w:color w:val="auto"/>
        </w:rPr>
      </w:pPr>
    </w:p>
    <w:p>
      <w:pPr>
        <w:ind w:right="360" w:firstLine="636"/>
        <w:spacing w:after="0" w:line="253"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Intent of Article</w:t>
      </w:r>
      <w:r>
        <w:rPr>
          <w:rFonts w:ascii="Arial" w:cs="Arial" w:eastAsia="Arial" w:hAnsi="Arial"/>
          <w:sz w:val="17"/>
          <w:szCs w:val="17"/>
          <w:color w:val="auto"/>
        </w:rPr>
        <w:t>. The intent of this Article V is to provide for indemnification to the fullest extent not prohibited by Section 145 of the DGCL. To the extent that such section or any successor section may be amended or supplemented from time to time, this</w:t>
      </w:r>
    </w:p>
    <w:p>
      <w:pPr>
        <w:spacing w:after="0" w:line="1" w:lineRule="exact"/>
        <w:rPr>
          <w:sz w:val="20"/>
          <w:szCs w:val="20"/>
          <w:color w:val="auto"/>
        </w:rPr>
      </w:pPr>
    </w:p>
    <w:p>
      <w:pPr>
        <w:ind w:right="80"/>
        <w:spacing w:after="0" w:line="228" w:lineRule="auto"/>
        <w:rPr>
          <w:sz w:val="20"/>
          <w:szCs w:val="20"/>
          <w:color w:val="auto"/>
        </w:rPr>
      </w:pPr>
      <w:r>
        <w:rPr>
          <w:rFonts w:ascii="Arial" w:cs="Arial" w:eastAsia="Arial" w:hAnsi="Arial"/>
          <w:sz w:val="19"/>
          <w:szCs w:val="19"/>
          <w:color w:val="auto"/>
        </w:rPr>
        <w:t>Article V shall be amended automatically and construed so as to permit indemnification to the fullest extent from time to time not prohibited by law.</w:t>
      </w:r>
    </w:p>
    <w:p>
      <w:pPr>
        <w:spacing w:after="0" w:line="159" w:lineRule="exact"/>
        <w:rPr>
          <w:sz w:val="20"/>
          <w:szCs w:val="20"/>
          <w:color w:val="auto"/>
        </w:rPr>
      </w:pPr>
    </w:p>
    <w:p>
      <w:pPr>
        <w:ind w:left="4980"/>
        <w:spacing w:after="0"/>
        <w:rPr>
          <w:sz w:val="20"/>
          <w:szCs w:val="20"/>
          <w:color w:val="auto"/>
        </w:rPr>
      </w:pPr>
      <w:r>
        <w:rPr>
          <w:rFonts w:ascii="Arial" w:cs="Arial" w:eastAsia="Arial" w:hAnsi="Arial"/>
          <w:sz w:val="19"/>
          <w:szCs w:val="19"/>
          <w:b w:val="1"/>
          <w:bCs w:val="1"/>
          <w:color w:val="auto"/>
        </w:rPr>
        <w:t>Article VI</w:t>
      </w:r>
    </w:p>
    <w:p>
      <w:pPr>
        <w:spacing w:after="0" w:line="166" w:lineRule="exact"/>
        <w:rPr>
          <w:sz w:val="20"/>
          <w:szCs w:val="20"/>
          <w:color w:val="auto"/>
        </w:rPr>
      </w:pPr>
    </w:p>
    <w:p>
      <w:pPr>
        <w:ind w:left="4840"/>
        <w:spacing w:after="0"/>
        <w:rPr>
          <w:sz w:val="20"/>
          <w:szCs w:val="20"/>
          <w:color w:val="auto"/>
        </w:rPr>
      </w:pPr>
      <w:r>
        <w:rPr>
          <w:rFonts w:ascii="Arial" w:cs="Arial" w:eastAsia="Arial" w:hAnsi="Arial"/>
          <w:sz w:val="19"/>
          <w:szCs w:val="19"/>
          <w:b w:val="1"/>
          <w:bCs w:val="1"/>
          <w:color w:val="auto"/>
        </w:rPr>
        <w:t>CAPITAL STOCK</w:t>
      </w:r>
    </w:p>
    <w:p>
      <w:pPr>
        <w:spacing w:after="0" w:line="198" w:lineRule="exact"/>
        <w:rPr>
          <w:sz w:val="20"/>
          <w:szCs w:val="20"/>
          <w:color w:val="auto"/>
        </w:rPr>
      </w:pPr>
    </w:p>
    <w:p>
      <w:pPr>
        <w:ind w:right="100" w:firstLine="636"/>
        <w:spacing w:after="0" w:line="232"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Certificates of Stock</w:t>
      </w:r>
      <w:r>
        <w:rPr>
          <w:rFonts w:ascii="Arial" w:cs="Arial" w:eastAsia="Arial" w:hAnsi="Arial"/>
          <w:sz w:val="18"/>
          <w:szCs w:val="18"/>
          <w:color w:val="auto"/>
        </w:rPr>
        <w:t>. Every holder of stock in the corporation shall be entitled to have a certificate, signed by, or in the name of the corporation by, any two authorized officers of the corporation, certifying the number of shares owned by such holder in the</w:t>
      </w:r>
    </w:p>
    <w:p>
      <w:pPr>
        <w:spacing w:after="0"/>
        <w:rPr>
          <w:sz w:val="20"/>
          <w:szCs w:val="20"/>
          <w:color w:val="auto"/>
        </w:rPr>
      </w:pPr>
      <w:r>
        <w:rPr>
          <w:rFonts w:ascii="Arial" w:cs="Arial" w:eastAsia="Arial" w:hAnsi="Arial"/>
          <w:sz w:val="17"/>
          <w:szCs w:val="17"/>
          <w:color w:val="auto"/>
        </w:rPr>
        <w:t>corporation. Any or all of the signatures on the certificate may be a facsimile. In case any officer, transfer agent or registrar who has signed or</w:t>
      </w:r>
    </w:p>
    <w:p>
      <w:pPr>
        <w:spacing w:after="0" w:line="3"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w:t>
      </w:r>
    </w:p>
    <w:p>
      <w:pPr>
        <w:spacing w:after="0" w:line="1" w:lineRule="exact"/>
        <w:rPr>
          <w:sz w:val="20"/>
          <w:szCs w:val="20"/>
          <w:color w:val="auto"/>
        </w:rPr>
      </w:pPr>
    </w:p>
    <w:p>
      <w:pPr>
        <w:ind w:right="180"/>
        <w:spacing w:after="0" w:line="287" w:lineRule="auto"/>
        <w:rPr>
          <w:sz w:val="20"/>
          <w:szCs w:val="20"/>
          <w:color w:val="auto"/>
        </w:rPr>
      </w:pPr>
      <w:r>
        <w:rPr>
          <w:rFonts w:ascii="Arial" w:cs="Arial" w:eastAsia="Arial" w:hAnsi="Arial"/>
          <w:sz w:val="17"/>
          <w:szCs w:val="17"/>
          <w:color w:val="auto"/>
        </w:rPr>
        <w:t>date of issue. Certificates may be issued for partly paid shares and in such case upon the face or back of the certificates issued to represent any such partly paid shares, the total amount of the consideration to be paid therefor, and the amount paid thereon shall be specified.</w:t>
      </w:r>
    </w:p>
    <w:p>
      <w:pPr>
        <w:spacing w:after="0" w:line="113" w:lineRule="exact"/>
        <w:rPr>
          <w:sz w:val="20"/>
          <w:szCs w:val="20"/>
          <w:color w:val="auto"/>
        </w:rPr>
      </w:pPr>
    </w:p>
    <w:p>
      <w:pPr>
        <w:ind w:right="60" w:firstLine="636"/>
        <w:spacing w:after="0" w:line="253"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Lost Certificates</w:t>
      </w:r>
      <w:r>
        <w:rPr>
          <w:rFonts w:ascii="Arial" w:cs="Arial" w:eastAsia="Arial" w:hAnsi="Arial"/>
          <w:sz w:val="17"/>
          <w:szCs w:val="17"/>
          <w:color w:val="auto"/>
        </w:rPr>
        <w:t>. The corporation may direct a new certificate or certificates to be issued in place of any certificate or certificates theretofore issued by the corporation alleged to have been lost, stolen or destroyed. When authorizing such issue of a new certificate</w:t>
      </w:r>
    </w:p>
    <w:p>
      <w:pPr>
        <w:spacing w:after="0" w:line="1" w:lineRule="exact"/>
        <w:rPr>
          <w:sz w:val="20"/>
          <w:szCs w:val="20"/>
          <w:color w:val="auto"/>
        </w:rPr>
      </w:pPr>
    </w:p>
    <w:p>
      <w:pPr>
        <w:ind w:right="200"/>
        <w:spacing w:after="0" w:line="235" w:lineRule="auto"/>
        <w:rPr>
          <w:sz w:val="20"/>
          <w:szCs w:val="20"/>
          <w:color w:val="auto"/>
        </w:rPr>
      </w:pPr>
      <w:r>
        <w:rPr>
          <w:rFonts w:ascii="Arial" w:cs="Arial" w:eastAsia="Arial" w:hAnsi="Arial"/>
          <w:sz w:val="17"/>
          <w:szCs w:val="17"/>
          <w:color w:val="auto"/>
        </w:rPr>
        <w:t>or certificates, the corporation may, in its discretion and as a condition precedent to the issuance thereof, require the owner of such lost, stolen or destroyed certificate or certificates, or such owner’s legal representative, to give reasonable evidence of such loss, theft or destruction, to</w:t>
      </w:r>
    </w:p>
    <w:p>
      <w:pPr>
        <w:spacing w:after="0" w:line="232" w:lineRule="auto"/>
        <w:rPr>
          <w:sz w:val="20"/>
          <w:szCs w:val="20"/>
          <w:color w:val="auto"/>
        </w:rPr>
      </w:pPr>
      <w:r>
        <w:rPr>
          <w:rFonts w:ascii="Arial" w:cs="Arial" w:eastAsia="Arial" w:hAnsi="Arial"/>
          <w:sz w:val="18"/>
          <w:szCs w:val="18"/>
          <w:color w:val="auto"/>
        </w:rPr>
        <w:t>advertise the same in such manner as it shall require, to indemnify the corporation in such manner as it may require, and/or to give the</w:t>
      </w:r>
    </w:p>
    <w:p>
      <w:pPr>
        <w:ind w:right="720"/>
        <w:spacing w:after="0" w:line="271" w:lineRule="auto"/>
        <w:rPr>
          <w:sz w:val="20"/>
          <w:szCs w:val="20"/>
          <w:color w:val="auto"/>
        </w:rPr>
      </w:pPr>
      <w:r>
        <w:rPr>
          <w:rFonts w:ascii="Arial" w:cs="Arial" w:eastAsia="Arial" w:hAnsi="Arial"/>
          <w:sz w:val="17"/>
          <w:szCs w:val="17"/>
          <w:color w:val="auto"/>
        </w:rPr>
        <w:t>corporation a bond or other adequate security in such sum as it may direct as indemnity against any claim that may be made against the corporation with respect to the certificate alleged to have been lost, stolen or destroyed or the issuance of such new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19"/>
        <w:spacing w:after="0"/>
        <w:rPr>
          <w:sz w:val="20"/>
          <w:szCs w:val="20"/>
          <w:color w:val="auto"/>
        </w:rPr>
      </w:pPr>
      <w:r>
        <w:rPr>
          <w:rFonts w:ascii="Arial" w:cs="Arial" w:eastAsia="Arial" w:hAnsi="Arial"/>
          <w:sz w:val="21"/>
          <w:szCs w:val="21"/>
          <w:color w:val="auto"/>
        </w:rPr>
        <w:t>-25-</w:t>
      </w:r>
    </w:p>
    <w:p>
      <w:pPr>
        <w:jc w:val="right"/>
        <w:spacing w:after="0"/>
        <w:rPr>
          <w:sz w:val="20"/>
          <w:szCs w:val="20"/>
          <w:color w:val="auto"/>
        </w:rPr>
      </w:pPr>
      <w:r>
        <w:rPr>
          <w:rFonts w:ascii="Arial" w:cs="Arial" w:eastAsia="Arial" w:hAnsi="Arial"/>
          <w:sz w:val="14"/>
          <w:szCs w:val="14"/>
          <w:color w:val="auto"/>
        </w:rPr>
        <w:t>4878-8402-9764.v3</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200" w:lineRule="exact"/>
        <w:rPr>
          <w:sz w:val="20"/>
          <w:szCs w:val="20"/>
          <w:color w:val="auto"/>
        </w:rPr>
      </w:pPr>
    </w:p>
    <w:p>
      <w:pPr>
        <w:spacing w:after="0" w:line="374"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9"/>
          <w:szCs w:val="19"/>
          <w:color w:val="auto"/>
        </w:rPr>
        <w:t>Section 3.</w:t>
      </w:r>
      <w:r>
        <w:rPr>
          <w:sz w:val="20"/>
          <w:szCs w:val="20"/>
          <w:color w:val="auto"/>
        </w:rPr>
        <w:tab/>
      </w:r>
      <w:r>
        <w:rPr>
          <w:rFonts w:ascii="Arial" w:cs="Arial" w:eastAsia="Arial" w:hAnsi="Arial"/>
          <w:sz w:val="17"/>
          <w:szCs w:val="17"/>
          <w:u w:val="single" w:color="auto"/>
          <w:color w:val="auto"/>
        </w:rPr>
        <w:t>Transfer of Stock</w:t>
      </w:r>
      <w:r>
        <w:rPr>
          <w:rFonts w:ascii="Arial" w:cs="Arial" w:eastAsia="Arial" w:hAnsi="Arial"/>
          <w:sz w:val="17"/>
          <w:szCs w:val="17"/>
          <w:color w:val="auto"/>
        </w:rPr>
        <w:t>. Upon surrender to the corporation or the transfer agent of the corporation of a certificate for shares,</w:t>
      </w:r>
    </w:p>
    <w:p>
      <w:pPr>
        <w:ind w:right="120"/>
        <w:spacing w:after="0" w:line="235" w:lineRule="auto"/>
        <w:rPr>
          <w:sz w:val="20"/>
          <w:szCs w:val="20"/>
          <w:color w:val="auto"/>
        </w:rPr>
      </w:pPr>
      <w:r>
        <w:rPr>
          <w:rFonts w:ascii="Arial" w:cs="Arial" w:eastAsia="Arial" w:hAnsi="Arial"/>
          <w:sz w:val="17"/>
          <w:szCs w:val="17"/>
          <w:color w:val="auto"/>
        </w:rPr>
        <w:t>duly endorsed or accompanied by proper evidence of succession, assignment or authority to transfer, and proper evidence of compliance with other conditions to rightful transfer, it shall be the duty of the corporation to issue a new certificate to the person entitled thereto, cancel the old</w:t>
      </w:r>
    </w:p>
    <w:p>
      <w:pPr>
        <w:spacing w:after="0" w:line="232" w:lineRule="auto"/>
        <w:rPr>
          <w:sz w:val="20"/>
          <w:szCs w:val="20"/>
          <w:color w:val="auto"/>
        </w:rPr>
      </w:pPr>
      <w:r>
        <w:rPr>
          <w:rFonts w:ascii="Arial" w:cs="Arial" w:eastAsia="Arial" w:hAnsi="Arial"/>
          <w:sz w:val="18"/>
          <w:szCs w:val="18"/>
          <w:color w:val="auto"/>
        </w:rPr>
        <w:t>certificate and record the transaction upon its books. Upon receipt of proper transfer instructions and proper evidence of compliance of other</w:t>
      </w:r>
    </w:p>
    <w:p>
      <w:pPr>
        <w:ind w:right="20"/>
        <w:spacing w:after="0" w:line="235" w:lineRule="auto"/>
        <w:rPr>
          <w:sz w:val="20"/>
          <w:szCs w:val="20"/>
          <w:color w:val="auto"/>
        </w:rPr>
      </w:pPr>
      <w:r>
        <w:rPr>
          <w:rFonts w:ascii="Arial" w:cs="Arial" w:eastAsia="Arial" w:hAnsi="Arial"/>
          <w:sz w:val="17"/>
          <w:szCs w:val="17"/>
          <w:color w:val="auto"/>
        </w:rPr>
        <w:t>conditions to rightful transfer from the registered owner of uncertificated shares, such uncertificated shares shall be canceled and issuance of new equivalent uncertificated shares or certificated shares shall be made to the person entitled thereto and the transaction shall be recorded upon</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the books of the corporation.</w:t>
      </w:r>
    </w:p>
    <w:p>
      <w:pPr>
        <w:spacing w:after="0" w:line="176"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9"/>
          <w:szCs w:val="19"/>
          <w:color w:val="auto"/>
        </w:rPr>
        <w:t>Section 4.</w:t>
      </w:r>
      <w:r>
        <w:rPr>
          <w:sz w:val="20"/>
          <w:szCs w:val="20"/>
          <w:color w:val="auto"/>
        </w:rPr>
        <w:tab/>
      </w:r>
      <w:r>
        <w:rPr>
          <w:rFonts w:ascii="Arial" w:cs="Arial" w:eastAsia="Arial" w:hAnsi="Arial"/>
          <w:sz w:val="17"/>
          <w:szCs w:val="17"/>
          <w:u w:val="single" w:color="auto"/>
          <w:color w:val="auto"/>
        </w:rPr>
        <w:t>Record Date; Ministerial Review of Consents</w:t>
      </w:r>
      <w:r>
        <w:rPr>
          <w:rFonts w:ascii="Arial" w:cs="Arial" w:eastAsia="Arial" w:hAnsi="Arial"/>
          <w:sz w:val="17"/>
          <w:szCs w:val="17"/>
          <w:color w:val="auto"/>
        </w:rPr>
        <w:t>.</w:t>
      </w:r>
    </w:p>
    <w:p>
      <w:pPr>
        <w:spacing w:after="0" w:line="179" w:lineRule="exact"/>
        <w:rPr>
          <w:sz w:val="20"/>
          <w:szCs w:val="20"/>
          <w:color w:val="auto"/>
        </w:rPr>
      </w:pPr>
    </w:p>
    <w:p>
      <w:pPr>
        <w:ind w:firstLine="642"/>
        <w:spacing w:after="0" w:line="243" w:lineRule="auto"/>
        <w:tabs>
          <w:tab w:leader="none" w:pos="1046" w:val="left"/>
        </w:tabs>
        <w:numPr>
          <w:ilvl w:val="0"/>
          <w:numId w:val="68"/>
        </w:numPr>
        <w:rPr>
          <w:rFonts w:ascii="Arial" w:cs="Arial" w:eastAsia="Arial" w:hAnsi="Arial"/>
          <w:sz w:val="17"/>
          <w:szCs w:val="17"/>
          <w:color w:val="auto"/>
        </w:rPr>
      </w:pPr>
      <w:r>
        <w:rPr>
          <w:rFonts w:ascii="Arial" w:cs="Arial" w:eastAsia="Arial" w:hAnsi="Arial"/>
          <w:sz w:val="17"/>
          <w:szCs w:val="17"/>
          <w:color w:val="auto"/>
        </w:rPr>
        <w:t>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days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and to vote at a meeting of stockholders shall be at the close of business on the day immediately before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determination of stockholders entitled to vote at the adjourned meeting, and in such case shall also fix the record date for stockholders entitled to notice of such adjourned meeting, which record date may be the same or an earlier date as that fixed for determination of stockholders entitled to vote at the adjourned meeting.</w:t>
      </w:r>
    </w:p>
    <w:p>
      <w:pPr>
        <w:spacing w:after="0" w:line="168" w:lineRule="exact"/>
        <w:rPr>
          <w:rFonts w:ascii="Arial" w:cs="Arial" w:eastAsia="Arial" w:hAnsi="Arial"/>
          <w:sz w:val="17"/>
          <w:szCs w:val="17"/>
          <w:color w:val="auto"/>
        </w:rPr>
      </w:pPr>
    </w:p>
    <w:p>
      <w:pPr>
        <w:ind w:right="20" w:firstLine="642"/>
        <w:spacing w:after="0" w:line="243" w:lineRule="auto"/>
        <w:tabs>
          <w:tab w:leader="none" w:pos="1057" w:val="left"/>
        </w:tabs>
        <w:numPr>
          <w:ilvl w:val="0"/>
          <w:numId w:val="68"/>
        </w:numPr>
        <w:rPr>
          <w:rFonts w:ascii="Arial" w:cs="Arial" w:eastAsia="Arial" w:hAnsi="Arial"/>
          <w:sz w:val="17"/>
          <w:szCs w:val="17"/>
          <w:color w:val="auto"/>
        </w:rPr>
      </w:pPr>
      <w:r>
        <w:rPr>
          <w:rFonts w:ascii="Arial" w:cs="Arial" w:eastAsia="Arial" w:hAnsi="Arial"/>
          <w:sz w:val="17"/>
          <w:szCs w:val="17"/>
          <w:color w:val="auto"/>
        </w:rPr>
        <w:t>For purposes of determining the stockholders entitled to express consent to corporate action in writing without a meeting, the board of directors may fix a record date, which record date shall not precede the date upon which the resolution fixing the record date is adopted by the board of directors and which date shall not be more than 10 days after the date upon which the resolution fixing the record date is adopted by the board of directors. Any stockholder of record seeking to have the stockholders authorize or take corporate action by written consent shall, by written notice to the attention of the secretary of the corporation, request the board of directors to fix a record date. The board of directors shall promptly, but in all events within 10 days after the date on which such a request is received, adopt a resolution fixing the record date. The record date for determining stockholders entitled to express consent to corporate action in writing without a meeting, when no prior action by the board of directors is necessary and no record date has been fixed by the board of directors, shall be the first date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proceedings of meetings of stockholders are recorded. The record date for determining stockholders entitled to express consent to corporate action in writing without a meeting, when prior action by the board of directors is necessary and no record date has been fixed by the board of directors, shall be at the close of business on the day on which the board of directors adopts the resolution taking such prior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19"/>
        <w:spacing w:after="0"/>
        <w:rPr>
          <w:sz w:val="20"/>
          <w:szCs w:val="20"/>
          <w:color w:val="auto"/>
        </w:rPr>
      </w:pPr>
      <w:r>
        <w:rPr>
          <w:rFonts w:ascii="Arial" w:cs="Arial" w:eastAsia="Arial" w:hAnsi="Arial"/>
          <w:sz w:val="21"/>
          <w:szCs w:val="21"/>
          <w:color w:val="auto"/>
        </w:rPr>
        <w:t>-26-</w:t>
      </w:r>
    </w:p>
    <w:p>
      <w:pPr>
        <w:jc w:val="right"/>
        <w:spacing w:after="0"/>
        <w:rPr>
          <w:sz w:val="20"/>
          <w:szCs w:val="20"/>
          <w:color w:val="auto"/>
        </w:rPr>
      </w:pPr>
      <w:r>
        <w:rPr>
          <w:rFonts w:ascii="Arial" w:cs="Arial" w:eastAsia="Arial" w:hAnsi="Arial"/>
          <w:sz w:val="14"/>
          <w:szCs w:val="14"/>
          <w:color w:val="auto"/>
        </w:rPr>
        <w:t>4878-8402-9764.v3</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200" w:lineRule="exact"/>
        <w:rPr>
          <w:sz w:val="20"/>
          <w:szCs w:val="20"/>
          <w:color w:val="auto"/>
        </w:rPr>
      </w:pPr>
    </w:p>
    <w:p>
      <w:pPr>
        <w:spacing w:after="0" w:line="378" w:lineRule="exact"/>
        <w:rPr>
          <w:sz w:val="20"/>
          <w:szCs w:val="20"/>
          <w:color w:val="auto"/>
        </w:rPr>
      </w:pPr>
    </w:p>
    <w:p>
      <w:pPr>
        <w:ind w:left="840"/>
        <w:spacing w:after="0"/>
        <w:rPr>
          <w:sz w:val="20"/>
          <w:szCs w:val="20"/>
          <w:color w:val="auto"/>
        </w:rPr>
      </w:pPr>
      <w:r>
        <w:rPr>
          <w:rFonts w:ascii="Arial" w:cs="Arial" w:eastAsia="Arial" w:hAnsi="Arial"/>
          <w:sz w:val="17"/>
          <w:szCs w:val="17"/>
          <w:color w:val="auto"/>
        </w:rPr>
        <w:t>In the event of the delivery, in the manner provided by the preceding paragraph, to the corporation of the requisite written consent or</w:t>
      </w:r>
    </w:p>
    <w:p>
      <w:pPr>
        <w:spacing w:after="0" w:line="19" w:lineRule="exact"/>
        <w:rPr>
          <w:sz w:val="20"/>
          <w:szCs w:val="20"/>
          <w:color w:val="auto"/>
        </w:rPr>
      </w:pPr>
    </w:p>
    <w:p>
      <w:pPr>
        <w:ind w:right="800"/>
        <w:spacing w:after="0" w:line="235" w:lineRule="auto"/>
        <w:rPr>
          <w:sz w:val="20"/>
          <w:szCs w:val="20"/>
          <w:color w:val="auto"/>
        </w:rPr>
      </w:pPr>
      <w:r>
        <w:rPr>
          <w:rFonts w:ascii="Arial" w:cs="Arial" w:eastAsia="Arial" w:hAnsi="Arial"/>
          <w:sz w:val="17"/>
          <w:szCs w:val="17"/>
          <w:color w:val="auto"/>
        </w:rPr>
        <w:t>consents to take corporate action and/or any related revocation or revocations, unless the board of directors otherwise determines, the corporation promptly shall engage nationally recognized independent inspectors of elections for the purpose of promptly performing a</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ministerial review of the validity of the consents and revocations. For the purpose of permitting the inspectors to perform such review, no action</w:t>
      </w:r>
    </w:p>
    <w:p>
      <w:pPr>
        <w:spacing w:after="0" w:line="3"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by written consent without a meeting shall be effective until such date as the independent inspectors certify to the corporation that the consents delivered to the corporation in accordance with the preceding paragraph represent at least the minimum number of votes that would be</w:t>
      </w:r>
    </w:p>
    <w:p>
      <w:pPr>
        <w:spacing w:after="0" w:line="219" w:lineRule="auto"/>
        <w:rPr>
          <w:sz w:val="20"/>
          <w:szCs w:val="20"/>
          <w:color w:val="auto"/>
        </w:rPr>
      </w:pPr>
      <w:r>
        <w:rPr>
          <w:rFonts w:ascii="Arial" w:cs="Arial" w:eastAsia="Arial" w:hAnsi="Arial"/>
          <w:sz w:val="19"/>
          <w:szCs w:val="19"/>
          <w:color w:val="auto"/>
        </w:rPr>
        <w:t>necessary to take the corporate action. Nothing contained in this paragraph shall in any way be construed to suggest or imply that the</w:t>
      </w:r>
    </w:p>
    <w:p>
      <w:pPr>
        <w:spacing w:after="0" w:line="1" w:lineRule="exact"/>
        <w:rPr>
          <w:sz w:val="20"/>
          <w:szCs w:val="20"/>
          <w:color w:val="auto"/>
        </w:rPr>
      </w:pPr>
    </w:p>
    <w:p>
      <w:pPr>
        <w:ind w:right="300"/>
        <w:spacing w:after="0" w:line="235" w:lineRule="auto"/>
        <w:rPr>
          <w:sz w:val="20"/>
          <w:szCs w:val="20"/>
          <w:color w:val="auto"/>
        </w:rPr>
      </w:pPr>
      <w:r>
        <w:rPr>
          <w:rFonts w:ascii="Arial" w:cs="Arial" w:eastAsia="Arial" w:hAnsi="Arial"/>
          <w:sz w:val="17"/>
          <w:szCs w:val="17"/>
          <w:color w:val="auto"/>
        </w:rPr>
        <w:t>corporation, any stockholder or director, or any officer whose title or office is contested, shall not be entitled to contest the validity of any consent or revocation thereof, whether before or after such certification by the independent inspectors, or to take any other action (including,</w:t>
      </w:r>
    </w:p>
    <w:p>
      <w:pPr>
        <w:spacing w:after="0" w:line="1" w:lineRule="exact"/>
        <w:rPr>
          <w:sz w:val="20"/>
          <w:szCs w:val="20"/>
          <w:color w:val="auto"/>
        </w:rPr>
      </w:pPr>
    </w:p>
    <w:p>
      <w:pPr>
        <w:ind w:right="100"/>
        <w:spacing w:after="0" w:line="236" w:lineRule="auto"/>
        <w:rPr>
          <w:sz w:val="20"/>
          <w:szCs w:val="20"/>
          <w:color w:val="auto"/>
        </w:rPr>
      </w:pPr>
      <w:r>
        <w:rPr>
          <w:rFonts w:ascii="Arial" w:cs="Arial" w:eastAsia="Arial" w:hAnsi="Arial"/>
          <w:sz w:val="19"/>
          <w:szCs w:val="19"/>
          <w:color w:val="auto"/>
        </w:rPr>
        <w:t>without limitation, the commencement, prosecution or defense of any litigation with respect thereto, and the seeking of injunctive relief in such litigation). The cost of retaining inspectors of elections shall be borne by the corporation.</w:t>
      </w:r>
    </w:p>
    <w:p>
      <w:pPr>
        <w:spacing w:after="0" w:line="151" w:lineRule="exact"/>
        <w:rPr>
          <w:sz w:val="20"/>
          <w:szCs w:val="20"/>
          <w:color w:val="auto"/>
        </w:rPr>
      </w:pPr>
    </w:p>
    <w:p>
      <w:pPr>
        <w:ind w:right="40" w:firstLine="642"/>
        <w:spacing w:after="0" w:line="224" w:lineRule="auto"/>
        <w:tabs>
          <w:tab w:leader="none" w:pos="1046" w:val="left"/>
        </w:tabs>
        <w:numPr>
          <w:ilvl w:val="0"/>
          <w:numId w:val="69"/>
        </w:numPr>
        <w:rPr>
          <w:rFonts w:ascii="Arial" w:cs="Arial" w:eastAsia="Arial" w:hAnsi="Arial"/>
          <w:sz w:val="19"/>
          <w:szCs w:val="19"/>
          <w:color w:val="auto"/>
        </w:rPr>
      </w:pPr>
      <w:r>
        <w:rPr>
          <w:rFonts w:ascii="Arial" w:cs="Arial" w:eastAsia="Arial" w:hAnsi="Arial"/>
          <w:sz w:val="19"/>
          <w:szCs w:val="19"/>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51"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9"/>
          <w:szCs w:val="19"/>
          <w:color w:val="auto"/>
        </w:rPr>
        <w:t>Section 5.</w:t>
      </w:r>
      <w:r>
        <w:rPr>
          <w:sz w:val="20"/>
          <w:szCs w:val="20"/>
          <w:color w:val="auto"/>
        </w:rPr>
        <w:tab/>
      </w:r>
      <w:r>
        <w:rPr>
          <w:rFonts w:ascii="Arial" w:cs="Arial" w:eastAsia="Arial" w:hAnsi="Arial"/>
          <w:sz w:val="17"/>
          <w:szCs w:val="17"/>
          <w:u w:val="single" w:color="auto"/>
          <w:color w:val="auto"/>
        </w:rPr>
        <w:t>Registered Stockholders</w:t>
      </w:r>
      <w:r>
        <w:rPr>
          <w:rFonts w:ascii="Arial" w:cs="Arial" w:eastAsia="Arial" w:hAnsi="Arial"/>
          <w:sz w:val="17"/>
          <w:szCs w:val="17"/>
          <w:color w:val="auto"/>
        </w:rPr>
        <w:t>. The corporation shall be entitled to recognize the exclusive right of a person registered on its</w:t>
      </w:r>
    </w:p>
    <w:p>
      <w:pPr>
        <w:ind w:right="80"/>
        <w:spacing w:after="0" w:line="235" w:lineRule="auto"/>
        <w:rPr>
          <w:sz w:val="20"/>
          <w:szCs w:val="20"/>
          <w:color w:val="auto"/>
        </w:rPr>
      </w:pPr>
      <w:r>
        <w:rPr>
          <w:rFonts w:ascii="Arial" w:cs="Arial" w:eastAsia="Arial" w:hAnsi="Arial"/>
          <w:sz w:val="17"/>
          <w:szCs w:val="17"/>
          <w:color w:val="auto"/>
        </w:rPr>
        <w:t>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part of any other person, whether or not it shall have express or other notice thereof, except as otherwise provided by the laws of Delaware.</w:t>
      </w:r>
    </w:p>
    <w:p>
      <w:pPr>
        <w:spacing w:after="0" w:line="182" w:lineRule="exact"/>
        <w:rPr>
          <w:sz w:val="20"/>
          <w:szCs w:val="20"/>
          <w:color w:val="auto"/>
        </w:rPr>
      </w:pPr>
    </w:p>
    <w:p>
      <w:pPr>
        <w:ind w:left="4980"/>
        <w:spacing w:after="0"/>
        <w:rPr>
          <w:sz w:val="20"/>
          <w:szCs w:val="20"/>
          <w:color w:val="auto"/>
        </w:rPr>
      </w:pPr>
      <w:r>
        <w:rPr>
          <w:rFonts w:ascii="Arial" w:cs="Arial" w:eastAsia="Arial" w:hAnsi="Arial"/>
          <w:sz w:val="19"/>
          <w:szCs w:val="19"/>
          <w:b w:val="1"/>
          <w:bCs w:val="1"/>
          <w:color w:val="auto"/>
        </w:rPr>
        <w:t>Article VII</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CERTAIN TRANSACTIONS</w:t>
      </w:r>
    </w:p>
    <w:p>
      <w:pPr>
        <w:spacing w:after="0" w:line="198" w:lineRule="exact"/>
        <w:rPr>
          <w:sz w:val="20"/>
          <w:szCs w:val="20"/>
          <w:color w:val="auto"/>
        </w:rPr>
      </w:pPr>
    </w:p>
    <w:p>
      <w:pPr>
        <w:ind w:right="20" w:firstLine="636"/>
        <w:spacing w:after="0" w:line="232"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Transactions with Interested Parties</w:t>
      </w:r>
      <w:r>
        <w:rPr>
          <w:rFonts w:ascii="Arial" w:cs="Arial" w:eastAsia="Arial" w:hAnsi="Arial"/>
          <w:sz w:val="18"/>
          <w:szCs w:val="18"/>
          <w:color w:val="auto"/>
        </w:rPr>
        <w:t>. No contract or transaction between the corporation and one or more of its directors or officers, or between the corporation and any other corporation, partnership, association or other organization in which one or more of its</w:t>
      </w:r>
    </w:p>
    <w:p>
      <w:pPr>
        <w:spacing w:after="0" w:line="230" w:lineRule="auto"/>
        <w:rPr>
          <w:sz w:val="20"/>
          <w:szCs w:val="20"/>
          <w:color w:val="auto"/>
        </w:rPr>
      </w:pPr>
      <w:r>
        <w:rPr>
          <w:rFonts w:ascii="Arial" w:cs="Arial" w:eastAsia="Arial" w:hAnsi="Arial"/>
          <w:sz w:val="18"/>
          <w:szCs w:val="18"/>
          <w:color w:val="auto"/>
        </w:rPr>
        <w:t>directors or officers are directors or have a financial interest, shall be void or voidable solely for this reason, or solely because the director or</w:t>
      </w:r>
    </w:p>
    <w:p>
      <w:pPr>
        <w:ind w:right="180"/>
        <w:spacing w:after="0" w:line="228" w:lineRule="auto"/>
        <w:rPr>
          <w:sz w:val="20"/>
          <w:szCs w:val="20"/>
          <w:color w:val="auto"/>
        </w:rPr>
      </w:pPr>
      <w:r>
        <w:rPr>
          <w:rFonts w:ascii="Arial" w:cs="Arial" w:eastAsia="Arial" w:hAnsi="Arial"/>
          <w:sz w:val="19"/>
          <w:szCs w:val="19"/>
          <w:color w:val="auto"/>
        </w:rPr>
        <w:t>officer is present at or participates in the meeting of the board of directors or committee thereof which authorizes the contract or transaction or solely because any such director’s or officer’s votes are counted for such purpose, if:</w:t>
      </w:r>
    </w:p>
    <w:p>
      <w:pPr>
        <w:spacing w:after="0" w:line="165" w:lineRule="exact"/>
        <w:rPr>
          <w:sz w:val="20"/>
          <w:szCs w:val="20"/>
          <w:color w:val="auto"/>
        </w:rPr>
      </w:pPr>
    </w:p>
    <w:p>
      <w:pPr>
        <w:jc w:val="both"/>
        <w:ind w:right="60" w:firstLine="642"/>
        <w:spacing w:after="0" w:line="267" w:lineRule="auto"/>
        <w:tabs>
          <w:tab w:leader="none" w:pos="1272"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material facts as to the director’s or officer’s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or</w:t>
      </w:r>
    </w:p>
    <w:p>
      <w:pPr>
        <w:spacing w:after="0" w:line="142" w:lineRule="exact"/>
        <w:rPr>
          <w:rFonts w:ascii="Arial" w:cs="Arial" w:eastAsia="Arial" w:hAnsi="Arial"/>
          <w:sz w:val="17"/>
          <w:szCs w:val="17"/>
          <w:color w:val="auto"/>
        </w:rPr>
      </w:pPr>
    </w:p>
    <w:p>
      <w:pPr>
        <w:ind w:right="80" w:firstLine="642"/>
        <w:spacing w:after="0" w:line="249" w:lineRule="auto"/>
        <w:tabs>
          <w:tab w:leader="none" w:pos="1272"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material facts as to the director’s or officer’s relationship or interest and as to the contract or transaction are disclosed or are known to the stockholders entitled to vote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21"/>
          <w:szCs w:val="21"/>
          <w:color w:val="auto"/>
        </w:rPr>
        <w:t>-27-</w:t>
      </w:r>
    </w:p>
    <w:p>
      <w:pPr>
        <w:jc w:val="right"/>
        <w:spacing w:after="0"/>
        <w:rPr>
          <w:sz w:val="20"/>
          <w:szCs w:val="20"/>
          <w:color w:val="auto"/>
        </w:rPr>
      </w:pPr>
      <w:r>
        <w:rPr>
          <w:rFonts w:ascii="Arial" w:cs="Arial" w:eastAsia="Arial" w:hAnsi="Arial"/>
          <w:sz w:val="14"/>
          <w:szCs w:val="14"/>
          <w:color w:val="auto"/>
        </w:rPr>
        <w:t>4878-8402-9764.v3</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9"/>
          <w:szCs w:val="19"/>
          <w:color w:val="auto"/>
        </w:rPr>
        <w:t>and the contract or transaction is specifically approved in good faith by vote of the stockholders; or</w:t>
      </w:r>
    </w:p>
    <w:p>
      <w:pPr>
        <w:spacing w:after="0" w:line="192" w:lineRule="exact"/>
        <w:rPr>
          <w:sz w:val="20"/>
          <w:szCs w:val="20"/>
          <w:color w:val="auto"/>
        </w:rPr>
      </w:pPr>
    </w:p>
    <w:p>
      <w:pPr>
        <w:ind w:right="580" w:firstLine="642"/>
        <w:spacing w:after="0" w:line="237" w:lineRule="auto"/>
        <w:tabs>
          <w:tab w:leader="none" w:pos="1272"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contract or transaction is fair as to the corporation as of the time it is authorized, approved or ratified, by the board of directors, a committee thereof, or the stockholders.</w:t>
      </w:r>
    </w:p>
    <w:p>
      <w:pPr>
        <w:spacing w:after="0" w:line="165" w:lineRule="exact"/>
        <w:rPr>
          <w:sz w:val="20"/>
          <w:szCs w:val="20"/>
          <w:color w:val="auto"/>
        </w:rPr>
      </w:pPr>
    </w:p>
    <w:p>
      <w:pPr>
        <w:ind w:right="140" w:firstLine="636"/>
        <w:spacing w:after="0" w:line="249"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Quorum</w:t>
      </w:r>
      <w:r>
        <w:rPr>
          <w:rFonts w:ascii="Arial" w:cs="Arial" w:eastAsia="Arial" w:hAnsi="Arial"/>
          <w:sz w:val="19"/>
          <w:szCs w:val="19"/>
          <w:color w:val="auto"/>
        </w:rPr>
        <w:t>. Common or interested directors may be counted in determining the presence of a quorum at a meeting of the board of directors or of a committee which authorizes the contract or transaction.</w:t>
      </w:r>
    </w:p>
    <w:p>
      <w:pPr>
        <w:spacing w:after="0" w:line="137" w:lineRule="exact"/>
        <w:rPr>
          <w:sz w:val="20"/>
          <w:szCs w:val="20"/>
          <w:color w:val="auto"/>
        </w:rPr>
      </w:pPr>
    </w:p>
    <w:p>
      <w:pPr>
        <w:ind w:left="4980"/>
        <w:spacing w:after="0"/>
        <w:rPr>
          <w:sz w:val="20"/>
          <w:szCs w:val="20"/>
          <w:color w:val="auto"/>
        </w:rPr>
      </w:pPr>
      <w:r>
        <w:rPr>
          <w:rFonts w:ascii="Arial" w:cs="Arial" w:eastAsia="Arial" w:hAnsi="Arial"/>
          <w:sz w:val="19"/>
          <w:szCs w:val="19"/>
          <w:b w:val="1"/>
          <w:bCs w:val="1"/>
          <w:color w:val="auto"/>
        </w:rPr>
        <w:t>Article VIII</w:t>
      </w:r>
    </w:p>
    <w:p>
      <w:pPr>
        <w:spacing w:after="0" w:line="179" w:lineRule="exact"/>
        <w:rPr>
          <w:sz w:val="20"/>
          <w:szCs w:val="20"/>
          <w:color w:val="auto"/>
        </w:rPr>
      </w:pPr>
    </w:p>
    <w:p>
      <w:pPr>
        <w:ind w:left="4520"/>
        <w:spacing w:after="0"/>
        <w:rPr>
          <w:sz w:val="20"/>
          <w:szCs w:val="20"/>
          <w:color w:val="auto"/>
        </w:rPr>
      </w:pPr>
      <w:r>
        <w:rPr>
          <w:rFonts w:ascii="Arial" w:cs="Arial" w:eastAsia="Arial" w:hAnsi="Arial"/>
          <w:sz w:val="19"/>
          <w:szCs w:val="19"/>
          <w:b w:val="1"/>
          <w:bCs w:val="1"/>
          <w:color w:val="auto"/>
        </w:rPr>
        <w:t>GENERAL PROVISIONS</w:t>
      </w:r>
    </w:p>
    <w:p>
      <w:pPr>
        <w:spacing w:after="0" w:line="185" w:lineRule="exact"/>
        <w:rPr>
          <w:sz w:val="20"/>
          <w:szCs w:val="20"/>
          <w:color w:val="auto"/>
        </w:rPr>
      </w:pPr>
    </w:p>
    <w:p>
      <w:pPr>
        <w:ind w:right="60" w:firstLine="636"/>
        <w:spacing w:after="0" w:line="236"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Dividends</w:t>
      </w:r>
      <w:r>
        <w:rPr>
          <w:rFonts w:ascii="Arial" w:cs="Arial" w:eastAsia="Arial" w:hAnsi="Arial"/>
          <w:sz w:val="19"/>
          <w:szCs w:val="19"/>
          <w:color w:val="auto"/>
        </w:rPr>
        <w:t>. Dividends upon the capital stock of the corporation, if any, may be declared by the board of directors at any regular or special meeting or by written consent, pursuant to law. Dividends may be paid in cash, in property, or in shares of the capital stock, subject to the provisions of the certificate of incorporation.</w:t>
      </w:r>
    </w:p>
    <w:p>
      <w:pPr>
        <w:spacing w:after="0" w:line="150" w:lineRule="exact"/>
        <w:rPr>
          <w:sz w:val="20"/>
          <w:szCs w:val="20"/>
          <w:color w:val="auto"/>
        </w:rPr>
      </w:pPr>
    </w:p>
    <w:p>
      <w:pPr>
        <w:ind w:right="200" w:firstLine="636"/>
        <w:spacing w:after="0" w:line="249"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Reserves</w:t>
      </w:r>
      <w:r>
        <w:rPr>
          <w:rFonts w:ascii="Arial" w:cs="Arial" w:eastAsia="Arial" w:hAnsi="Arial"/>
          <w:sz w:val="19"/>
          <w:szCs w:val="19"/>
          <w:color w:val="auto"/>
        </w:rPr>
        <w:t>. The directors may set apart out of any funds of the corporation available for dividends a reserve or reserves for any proper purpose and may abolish any such reserve.</w:t>
      </w:r>
    </w:p>
    <w:p>
      <w:pPr>
        <w:spacing w:after="0" w:line="156" w:lineRule="exact"/>
        <w:rPr>
          <w:sz w:val="20"/>
          <w:szCs w:val="20"/>
          <w:color w:val="auto"/>
        </w:rPr>
      </w:pPr>
    </w:p>
    <w:p>
      <w:pPr>
        <w:ind w:right="20" w:firstLine="636"/>
        <w:spacing w:after="0" w:line="232"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Checks</w:t>
      </w:r>
      <w:r>
        <w:rPr>
          <w:rFonts w:ascii="Arial" w:cs="Arial" w:eastAsia="Arial" w:hAnsi="Arial"/>
          <w:sz w:val="18"/>
          <w:szCs w:val="18"/>
          <w:color w:val="auto"/>
        </w:rPr>
        <w:t xml:space="preserve"> . All checks or demands for money and notes of the corporation shall be signed by such officer or officers or such other person or persons as the board of directors, or such officers of the corporation as may be designated by the board of directors to make</w:t>
      </w:r>
    </w:p>
    <w:p>
      <w:pPr>
        <w:spacing w:after="0"/>
        <w:rPr>
          <w:sz w:val="20"/>
          <w:szCs w:val="20"/>
          <w:color w:val="auto"/>
        </w:rPr>
      </w:pPr>
      <w:r>
        <w:rPr>
          <w:rFonts w:ascii="Arial" w:cs="Arial" w:eastAsia="Arial" w:hAnsi="Arial"/>
          <w:sz w:val="19"/>
          <w:szCs w:val="19"/>
          <w:color w:val="auto"/>
        </w:rPr>
        <w:t>such designation, may from time to time designate.</w:t>
      </w:r>
    </w:p>
    <w:p>
      <w:pPr>
        <w:spacing w:after="0" w:line="176"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9"/>
          <w:szCs w:val="19"/>
          <w:color w:val="auto"/>
        </w:rPr>
        <w:t>Section 4.</w:t>
      </w:r>
      <w:r>
        <w:rPr>
          <w:sz w:val="20"/>
          <w:szCs w:val="20"/>
          <w:color w:val="auto"/>
        </w:rPr>
        <w:tab/>
      </w:r>
      <w:r>
        <w:rPr>
          <w:rFonts w:ascii="Arial" w:cs="Arial" w:eastAsia="Arial" w:hAnsi="Arial"/>
          <w:sz w:val="17"/>
          <w:szCs w:val="17"/>
          <w:u w:val="single" w:color="auto"/>
          <w:color w:val="auto"/>
        </w:rPr>
        <w:t>Fiscal Year</w:t>
      </w:r>
      <w:r>
        <w:rPr>
          <w:rFonts w:ascii="Arial" w:cs="Arial" w:eastAsia="Arial" w:hAnsi="Arial"/>
          <w:sz w:val="17"/>
          <w:szCs w:val="17"/>
          <w:color w:val="auto"/>
        </w:rPr>
        <w:t>. The fiscal year of the corporation shall be fixed by resolution of the board of directors.</w:t>
      </w:r>
    </w:p>
    <w:p>
      <w:pPr>
        <w:spacing w:after="0" w:line="175"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9"/>
          <w:szCs w:val="19"/>
          <w:color w:val="auto"/>
        </w:rPr>
        <w:t>Section 5.</w:t>
      </w:r>
      <w:r>
        <w:rPr>
          <w:sz w:val="20"/>
          <w:szCs w:val="20"/>
          <w:color w:val="auto"/>
        </w:rPr>
        <w:tab/>
      </w:r>
      <w:r>
        <w:rPr>
          <w:rFonts w:ascii="Arial" w:cs="Arial" w:eastAsia="Arial" w:hAnsi="Arial"/>
          <w:sz w:val="17"/>
          <w:szCs w:val="17"/>
          <w:u w:val="single" w:color="auto"/>
          <w:color w:val="auto"/>
        </w:rPr>
        <w:t>Seal</w:t>
      </w:r>
      <w:r>
        <w:rPr>
          <w:rFonts w:ascii="Arial" w:cs="Arial" w:eastAsia="Arial" w:hAnsi="Arial"/>
          <w:sz w:val="17"/>
          <w:szCs w:val="17"/>
          <w:color w:val="auto"/>
        </w:rPr>
        <w:t>. The board of directors may, by resolution, adopt a corporate seal. The corporate seal shall have inscribed thereon</w:t>
      </w:r>
    </w:p>
    <w:p>
      <w:pPr>
        <w:ind w:right="180"/>
        <w:spacing w:after="0" w:line="228" w:lineRule="auto"/>
        <w:rPr>
          <w:sz w:val="20"/>
          <w:szCs w:val="20"/>
          <w:color w:val="auto"/>
        </w:rPr>
      </w:pPr>
      <w:r>
        <w:rPr>
          <w:rFonts w:ascii="Arial" w:cs="Arial" w:eastAsia="Arial" w:hAnsi="Arial"/>
          <w:sz w:val="19"/>
          <w:szCs w:val="19"/>
          <w:color w:val="auto"/>
        </w:rPr>
        <w:t>the name of the corporation, the year of its organization and the word “Delaware”. The seal may be used by causing it or a facsimile thereof to be impressed or affixed or otherwise reproduced. The seal may be altered from time to time by the board of directors.</w:t>
      </w:r>
    </w:p>
    <w:p>
      <w:pPr>
        <w:spacing w:after="0" w:line="165" w:lineRule="exact"/>
        <w:rPr>
          <w:sz w:val="20"/>
          <w:szCs w:val="20"/>
          <w:color w:val="auto"/>
        </w:rPr>
      </w:pPr>
    </w:p>
    <w:p>
      <w:pPr>
        <w:ind w:firstLine="636"/>
        <w:spacing w:after="0" w:line="249"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u w:val="single" w:color="auto"/>
          <w:color w:val="auto"/>
        </w:rPr>
        <w:t>Facsimile and Electronic Signatures</w:t>
      </w:r>
      <w:r>
        <w:rPr>
          <w:rFonts w:ascii="Arial" w:cs="Arial" w:eastAsia="Arial" w:hAnsi="Arial"/>
          <w:sz w:val="19"/>
          <w:szCs w:val="19"/>
          <w:color w:val="auto"/>
        </w:rPr>
        <w:t>. In addition to the provisions for use of facsimile signatures elsewhere specifically authorized in these bylaws, facsimile and electronic signatures of any officer or officers of the corporation may be used.</w:t>
      </w:r>
    </w:p>
    <w:p>
      <w:pPr>
        <w:spacing w:after="0" w:line="143"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9"/>
          <w:szCs w:val="19"/>
          <w:color w:val="auto"/>
        </w:rPr>
        <w:t>Section 7.</w:t>
      </w:r>
      <w:r>
        <w:rPr>
          <w:sz w:val="20"/>
          <w:szCs w:val="20"/>
          <w:color w:val="auto"/>
        </w:rPr>
        <w:tab/>
      </w:r>
      <w:r>
        <w:rPr>
          <w:rFonts w:ascii="Arial" w:cs="Arial" w:eastAsia="Arial" w:hAnsi="Arial"/>
          <w:sz w:val="17"/>
          <w:szCs w:val="17"/>
          <w:u w:val="single" w:color="auto"/>
          <w:color w:val="auto"/>
        </w:rPr>
        <w:t>Exclusive Forum</w:t>
      </w:r>
      <w:r>
        <w:rPr>
          <w:rFonts w:ascii="Arial" w:cs="Arial" w:eastAsia="Arial" w:hAnsi="Arial"/>
          <w:sz w:val="17"/>
          <w:szCs w:val="17"/>
          <w:color w:val="auto"/>
        </w:rPr>
        <w:t>.</w:t>
      </w:r>
    </w:p>
    <w:p>
      <w:pPr>
        <w:spacing w:after="0" w:line="192" w:lineRule="exact"/>
        <w:rPr>
          <w:sz w:val="20"/>
          <w:szCs w:val="20"/>
          <w:color w:val="auto"/>
        </w:rPr>
      </w:pPr>
    </w:p>
    <w:p>
      <w:pPr>
        <w:ind w:firstLine="642"/>
        <w:spacing w:after="0" w:line="221" w:lineRule="auto"/>
        <w:tabs>
          <w:tab w:leader="none" w:pos="1272" w:val="left"/>
        </w:tabs>
        <w:numPr>
          <w:ilvl w:val="0"/>
          <w:numId w:val="72"/>
        </w:numPr>
        <w:rPr>
          <w:rFonts w:ascii="Arial" w:cs="Arial" w:eastAsia="Arial" w:hAnsi="Arial"/>
          <w:sz w:val="19"/>
          <w:szCs w:val="19"/>
          <w:color w:val="auto"/>
        </w:rPr>
      </w:pPr>
      <w:r>
        <w:rPr>
          <w:rFonts w:ascii="Arial" w:cs="Arial" w:eastAsia="Arial" w:hAnsi="Arial"/>
          <w:sz w:val="19"/>
          <w:szCs w:val="19"/>
          <w:color w:val="auto"/>
        </w:rPr>
        <w:t>Unless the corporation consents in writing to the selection of an alternative forum, the sole and exclusive forum for (i) any derivative action or proceeding brought on behalf of the corporation, (ii) any action asserting a claim of breach of fiduciary duty owed by any director or officer or other employee of the corporation to the corporation or the corporation’s stockholders, (iii) any action asserting a claim against the corporation or any director or officer or other employee of the corporation arising pursuant to any provision of the DGCL or the certificate of incorporation or these bylaws (in each case, as they may be amended from time to time), or (iv) any action asserting a claim against the corporation or any director or officer or other employee of the corporation governed by the internal affairs doctrine shall be the Court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19"/>
        <w:spacing w:after="0"/>
        <w:rPr>
          <w:sz w:val="20"/>
          <w:szCs w:val="20"/>
          <w:color w:val="auto"/>
        </w:rPr>
      </w:pPr>
      <w:r>
        <w:rPr>
          <w:rFonts w:ascii="Arial" w:cs="Arial" w:eastAsia="Arial" w:hAnsi="Arial"/>
          <w:sz w:val="21"/>
          <w:szCs w:val="21"/>
          <w:color w:val="auto"/>
        </w:rPr>
        <w:t>-28-</w:t>
      </w:r>
    </w:p>
    <w:p>
      <w:pPr>
        <w:jc w:val="right"/>
        <w:spacing w:after="0"/>
        <w:rPr>
          <w:sz w:val="20"/>
          <w:szCs w:val="20"/>
          <w:color w:val="auto"/>
        </w:rPr>
      </w:pPr>
      <w:r>
        <w:rPr>
          <w:rFonts w:ascii="Arial" w:cs="Arial" w:eastAsia="Arial" w:hAnsi="Arial"/>
          <w:sz w:val="14"/>
          <w:szCs w:val="14"/>
          <w:color w:val="auto"/>
        </w:rPr>
        <w:t>4878-8402-9764.v3</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200" w:lineRule="exact"/>
        <w:rPr>
          <w:sz w:val="20"/>
          <w:szCs w:val="20"/>
          <w:color w:val="auto"/>
        </w:rPr>
      </w:pPr>
    </w:p>
    <w:p>
      <w:pPr>
        <w:spacing w:after="0" w:line="378" w:lineRule="exact"/>
        <w:rPr>
          <w:sz w:val="20"/>
          <w:szCs w:val="20"/>
          <w:color w:val="auto"/>
        </w:rPr>
      </w:pPr>
    </w:p>
    <w:p>
      <w:pPr>
        <w:ind w:right="300"/>
        <w:spacing w:after="0" w:line="249" w:lineRule="auto"/>
        <w:rPr>
          <w:sz w:val="20"/>
          <w:szCs w:val="20"/>
          <w:color w:val="auto"/>
        </w:rPr>
      </w:pPr>
      <w:r>
        <w:rPr>
          <w:rFonts w:ascii="Arial" w:cs="Arial" w:eastAsia="Arial" w:hAnsi="Arial"/>
          <w:sz w:val="19"/>
          <w:szCs w:val="19"/>
          <w:color w:val="auto"/>
        </w:rPr>
        <w:t>Chancery of the State of Delaware (or, if the Court of Chancery does not have jurisdiction, the United States District Court for the District of Delaware).</w:t>
      </w:r>
    </w:p>
    <w:p>
      <w:pPr>
        <w:spacing w:after="0" w:line="143" w:lineRule="exact"/>
        <w:rPr>
          <w:sz w:val="20"/>
          <w:szCs w:val="20"/>
          <w:color w:val="auto"/>
        </w:rPr>
      </w:pPr>
    </w:p>
    <w:p>
      <w:pPr>
        <w:ind w:right="80" w:firstLine="642"/>
        <w:spacing w:after="0" w:line="237" w:lineRule="auto"/>
        <w:tabs>
          <w:tab w:leader="none" w:pos="1272" w:val="left"/>
        </w:tabs>
        <w:numPr>
          <w:ilvl w:val="0"/>
          <w:numId w:val="73"/>
        </w:numPr>
        <w:rPr>
          <w:rFonts w:ascii="Arial" w:cs="Arial" w:eastAsia="Arial" w:hAnsi="Arial"/>
          <w:sz w:val="18"/>
          <w:szCs w:val="18"/>
          <w:color w:val="auto"/>
        </w:rPr>
      </w:pPr>
      <w:r>
        <w:rPr>
          <w:rFonts w:ascii="Arial" w:cs="Arial" w:eastAsia="Arial" w:hAnsi="Arial"/>
          <w:sz w:val="18"/>
          <w:szCs w:val="18"/>
          <w:color w:val="auto"/>
        </w:rPr>
        <w:t>Unless the corporation consents in writing to the selection of an alternative forum, to the fullest extent permitted by law, the sole and exclusive forum for any claim arising under the Securities Act or any rule or regulation promulgated thereunder (in each case, as amended from time to time) shall be the federal district courts of the United States; provided, however, that if the foregoing provisions of this Section 7(b) are, or the application of such provisions to any person or entity or any circumstance is, illegal, invalid or unenforceable, the sole and exclusive state court forum for any claim arising under the Securities Act or any rule or regulation promulgated thereunder (in each case, as amended from time to time) shall be the Court of Chancery of the State of Delaware.</w:t>
      </w:r>
    </w:p>
    <w:p>
      <w:pPr>
        <w:spacing w:after="0" w:line="151" w:lineRule="exact"/>
        <w:rPr>
          <w:rFonts w:ascii="Arial" w:cs="Arial" w:eastAsia="Arial" w:hAnsi="Arial"/>
          <w:sz w:val="18"/>
          <w:szCs w:val="18"/>
          <w:color w:val="auto"/>
        </w:rPr>
      </w:pPr>
    </w:p>
    <w:p>
      <w:pPr>
        <w:ind w:firstLine="642"/>
        <w:spacing w:after="0" w:line="236" w:lineRule="auto"/>
        <w:tabs>
          <w:tab w:leader="none" w:pos="1272" w:val="left"/>
        </w:tabs>
        <w:numPr>
          <w:ilvl w:val="0"/>
          <w:numId w:val="73"/>
        </w:numPr>
        <w:rPr>
          <w:rFonts w:ascii="Arial" w:cs="Arial" w:eastAsia="Arial" w:hAnsi="Arial"/>
          <w:sz w:val="19"/>
          <w:szCs w:val="19"/>
          <w:color w:val="auto"/>
        </w:rPr>
      </w:pPr>
      <w:r>
        <w:rPr>
          <w:rFonts w:ascii="Arial" w:cs="Arial" w:eastAsia="Arial" w:hAnsi="Arial"/>
          <w:sz w:val="19"/>
          <w:szCs w:val="19"/>
          <w:color w:val="auto"/>
        </w:rPr>
        <w:t>Notwithstanding anything to the contrary in these bylaws, the foregoing provisions of this Section 7 shall not apply to any claim seeking to enforce any liability, obligation or duty created by the Exchange Act or any rule or regulation promulgated thereunder (in each case, as amended from time to time) to the extent such application would be contrary to law.</w:t>
      </w:r>
    </w:p>
    <w:p>
      <w:pPr>
        <w:spacing w:after="0" w:line="150" w:lineRule="exact"/>
        <w:rPr>
          <w:rFonts w:ascii="Arial" w:cs="Arial" w:eastAsia="Arial" w:hAnsi="Arial"/>
          <w:sz w:val="19"/>
          <w:szCs w:val="19"/>
          <w:color w:val="auto"/>
        </w:rPr>
      </w:pPr>
    </w:p>
    <w:p>
      <w:pPr>
        <w:ind w:right="180" w:firstLine="642"/>
        <w:spacing w:after="0" w:line="249" w:lineRule="auto"/>
        <w:tabs>
          <w:tab w:leader="none" w:pos="1272" w:val="left"/>
        </w:tabs>
        <w:numPr>
          <w:ilvl w:val="0"/>
          <w:numId w:val="73"/>
        </w:numPr>
        <w:rPr>
          <w:rFonts w:ascii="Arial" w:cs="Arial" w:eastAsia="Arial" w:hAnsi="Arial"/>
          <w:sz w:val="19"/>
          <w:szCs w:val="19"/>
          <w:color w:val="auto"/>
        </w:rPr>
      </w:pPr>
      <w:r>
        <w:rPr>
          <w:rFonts w:ascii="Arial" w:cs="Arial" w:eastAsia="Arial" w:hAnsi="Arial"/>
          <w:sz w:val="19"/>
          <w:szCs w:val="19"/>
          <w:color w:val="auto"/>
        </w:rPr>
        <w:t>To the fullest extent permitted by law, any person or entity purchasing or otherwise acquiring or holding any interest in shares of capital stock of the corporation shall be deemed to have notice of and consented to the provisions of this Section 7.</w:t>
      </w:r>
    </w:p>
    <w:p>
      <w:pPr>
        <w:spacing w:after="0" w:line="150" w:lineRule="exact"/>
        <w:rPr>
          <w:sz w:val="20"/>
          <w:szCs w:val="20"/>
          <w:color w:val="auto"/>
        </w:rPr>
      </w:pPr>
    </w:p>
    <w:p>
      <w:pPr>
        <w:ind w:left="4980"/>
        <w:spacing w:after="0"/>
        <w:rPr>
          <w:sz w:val="20"/>
          <w:szCs w:val="20"/>
          <w:color w:val="auto"/>
        </w:rPr>
      </w:pPr>
      <w:r>
        <w:rPr>
          <w:rFonts w:ascii="Arial" w:cs="Arial" w:eastAsia="Arial" w:hAnsi="Arial"/>
          <w:sz w:val="19"/>
          <w:szCs w:val="19"/>
          <w:b w:val="1"/>
          <w:bCs w:val="1"/>
          <w:color w:val="auto"/>
        </w:rPr>
        <w:t>Article IX</w:t>
      </w:r>
    </w:p>
    <w:p>
      <w:pPr>
        <w:spacing w:after="0" w:line="166" w:lineRule="exact"/>
        <w:rPr>
          <w:sz w:val="20"/>
          <w:szCs w:val="20"/>
          <w:color w:val="auto"/>
        </w:rPr>
      </w:pPr>
    </w:p>
    <w:p>
      <w:pPr>
        <w:ind w:left="4920"/>
        <w:spacing w:after="0"/>
        <w:rPr>
          <w:sz w:val="20"/>
          <w:szCs w:val="20"/>
          <w:color w:val="auto"/>
        </w:rPr>
      </w:pPr>
      <w:r>
        <w:rPr>
          <w:rFonts w:ascii="Arial" w:cs="Arial" w:eastAsia="Arial" w:hAnsi="Arial"/>
          <w:sz w:val="19"/>
          <w:szCs w:val="19"/>
          <w:b w:val="1"/>
          <w:bCs w:val="1"/>
          <w:color w:val="auto"/>
        </w:rPr>
        <w:t>AMENDMENTS</w:t>
      </w:r>
    </w:p>
    <w:p>
      <w:pPr>
        <w:spacing w:after="0" w:line="198" w:lineRule="exact"/>
        <w:rPr>
          <w:sz w:val="20"/>
          <w:szCs w:val="20"/>
          <w:color w:val="auto"/>
        </w:rPr>
      </w:pPr>
    </w:p>
    <w:p>
      <w:pPr>
        <w:ind w:right="140" w:firstLine="636"/>
        <w:spacing w:after="0" w:line="245" w:lineRule="auto"/>
        <w:rPr>
          <w:sz w:val="20"/>
          <w:szCs w:val="20"/>
          <w:color w:val="auto"/>
        </w:rPr>
      </w:pPr>
      <w:r>
        <w:rPr>
          <w:rFonts w:ascii="Arial" w:cs="Arial" w:eastAsia="Arial" w:hAnsi="Arial"/>
          <w:sz w:val="17"/>
          <w:szCs w:val="17"/>
          <w:color w:val="auto"/>
        </w:rPr>
        <w:t>These bylaws may be altered, amended or repealed or new bylaws may be adopted by the stockholders or by the board of directors, when such power is conferred upon the board of directors by the certificate of incorporation, at any meeting of the stockholders or of the board</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21"/>
          <w:szCs w:val="21"/>
          <w:color w:val="auto"/>
        </w:rPr>
        <w:t>-29-</w:t>
      </w:r>
    </w:p>
    <w:p>
      <w:pPr>
        <w:jc w:val="right"/>
        <w:spacing w:after="0"/>
        <w:rPr>
          <w:sz w:val="20"/>
          <w:szCs w:val="20"/>
          <w:color w:val="auto"/>
        </w:rPr>
      </w:pPr>
      <w:r>
        <w:rPr>
          <w:rFonts w:ascii="Arial" w:cs="Arial" w:eastAsia="Arial" w:hAnsi="Arial"/>
          <w:sz w:val="14"/>
          <w:szCs w:val="14"/>
          <w:color w:val="auto"/>
        </w:rPr>
        <w:t>4878-8402-9764.v3</w:t>
      </w:r>
    </w:p>
    <w:p>
      <w:pPr>
        <w:sectPr>
          <w:pgSz w:w="11900" w:h="16838" w:orient="portrait"/>
          <w:cols w:equalWidth="0" w:num="1">
            <w:col w:w="11240"/>
          </w:cols>
          <w:pgMar w:left="320" w:top="1440"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9"/>
          <w:szCs w:val="19"/>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693420</wp:posOffset>
            </wp:positionV>
            <wp:extent cx="1362710" cy="9594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62710" cy="959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9"/>
          <w:szCs w:val="19"/>
          <w:color w:val="auto"/>
        </w:rPr>
        <w:t>Revised</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April 21, 2023</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Pablo Cagnoni, MD</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9"/>
          <w:szCs w:val="19"/>
          <w:color w:val="auto"/>
        </w:rPr>
        <w:t>Dear Pablo,</w:t>
      </w:r>
    </w:p>
    <w:p>
      <w:pPr>
        <w:spacing w:after="0" w:line="25" w:lineRule="exact"/>
        <w:rPr>
          <w:sz w:val="20"/>
          <w:szCs w:val="20"/>
          <w:color w:val="auto"/>
        </w:rPr>
      </w:pPr>
    </w:p>
    <w:p>
      <w:pPr>
        <w:ind w:right="760"/>
        <w:spacing w:after="0" w:line="298" w:lineRule="auto"/>
        <w:rPr>
          <w:sz w:val="20"/>
          <w:szCs w:val="20"/>
          <w:color w:val="auto"/>
        </w:rPr>
      </w:pPr>
      <w:r>
        <w:rPr>
          <w:rFonts w:ascii="Arial" w:cs="Arial" w:eastAsia="Arial" w:hAnsi="Arial"/>
          <w:sz w:val="19"/>
          <w:szCs w:val="19"/>
          <w:color w:val="auto"/>
        </w:rPr>
        <w:t>It is with great pleasure that we ofer you the positon of President, Research and Development at Incyte Corporaton (“Incyte” or the “Company”) reportng to me. The terms of this ofer are set forth in this leter.</w:t>
      </w:r>
    </w:p>
    <w:p>
      <w:pPr>
        <w:spacing w:after="0" w:line="181" w:lineRule="exact"/>
        <w:rPr>
          <w:sz w:val="20"/>
          <w:szCs w:val="20"/>
          <w:color w:val="auto"/>
        </w:rPr>
      </w:pPr>
    </w:p>
    <w:p>
      <w:pPr>
        <w:ind w:left="640" w:right="20" w:hanging="316"/>
        <w:spacing w:after="0" w:line="287" w:lineRule="auto"/>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Annual Salary and Bonus.</w:t>
      </w:r>
      <w:r>
        <w:rPr>
          <w:rFonts w:ascii="Arial" w:cs="Arial" w:eastAsia="Arial" w:hAnsi="Arial"/>
          <w:sz w:val="18"/>
          <w:szCs w:val="18"/>
          <w:color w:val="auto"/>
        </w:rPr>
        <w:t xml:space="preserve"> Should you accept our ofer, your salary will be $900,000 per year, payable on a bi-weekly basis at the rate of $34,615.38 per pay period. This is a salaried, exempt positon, as your salary covers compensaton for all hours worked. In additon, beginning in 2024, you will be eligible to partcipate in the Company’s annual Incentve Compensaton Plan (“ICP”). Employees are assigned a “Funding Target”, based on their job category, as a percent of base pay. As President, Research and Development, your funding target for 2024 will be 75%. Your individual award will be based on Company Performance vs. Company Goals, and your Individual Performance vs. your Individual Goals. Actual awards are variable and could be more or less than your individual funding target. For 2023, you will receive an award under the ICP based on 100% level of achievement under the ICP plan and your funding target of 75%. This award will not be prorated. This cash incentve plan is subject to ongoing approval by the Company’s Board of Directors, and may be modifed or terminated by the Board of Directors at any tme at their sole discreton.</w:t>
      </w:r>
    </w:p>
    <w:p>
      <w:pPr>
        <w:spacing w:after="0" w:line="117" w:lineRule="exact"/>
        <w:rPr>
          <w:rFonts w:ascii="Arial" w:cs="Arial" w:eastAsia="Arial" w:hAnsi="Arial"/>
          <w:sz w:val="18"/>
          <w:szCs w:val="18"/>
          <w:color w:val="auto"/>
        </w:rPr>
      </w:pPr>
    </w:p>
    <w:p>
      <w:pPr>
        <w:ind w:left="640" w:right="80" w:hanging="316"/>
        <w:spacing w:after="0" w:line="289" w:lineRule="auto"/>
        <w:tabs>
          <w:tab w:leader="none" w:pos="640"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Signing Relocaton Bonus.</w:t>
      </w:r>
      <w:r>
        <w:rPr>
          <w:rFonts w:ascii="Arial" w:cs="Arial" w:eastAsia="Arial" w:hAnsi="Arial"/>
          <w:sz w:val="19"/>
          <w:szCs w:val="19"/>
          <w:color w:val="auto"/>
        </w:rPr>
        <w:t xml:space="preserve"> Upon the commencement of your employment with Incyte, you be enttled to receive a lump sum payment of $500,000 grossed up for taxes. This will be paid within 30 days of your start date.</w:t>
      </w:r>
    </w:p>
    <w:p>
      <w:pPr>
        <w:spacing w:after="0" w:line="200" w:lineRule="exact"/>
        <w:rPr>
          <w:rFonts w:ascii="Arial" w:cs="Arial" w:eastAsia="Arial" w:hAnsi="Arial"/>
          <w:sz w:val="19"/>
          <w:szCs w:val="19"/>
          <w:color w:val="auto"/>
        </w:rPr>
      </w:pPr>
    </w:p>
    <w:p>
      <w:pPr>
        <w:spacing w:after="0" w:line="320" w:lineRule="exact"/>
        <w:rPr>
          <w:rFonts w:ascii="Arial" w:cs="Arial" w:eastAsia="Arial" w:hAnsi="Arial"/>
          <w:sz w:val="19"/>
          <w:szCs w:val="19"/>
          <w:color w:val="auto"/>
        </w:rPr>
      </w:pPr>
    </w:p>
    <w:p>
      <w:pPr>
        <w:ind w:left="640" w:right="60" w:hanging="316"/>
        <w:spacing w:after="0" w:line="288" w:lineRule="auto"/>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Annual Equity Awards.</w:t>
      </w:r>
      <w:r>
        <w:rPr>
          <w:rFonts w:ascii="Arial" w:cs="Arial" w:eastAsia="Arial" w:hAnsi="Arial"/>
          <w:sz w:val="18"/>
          <w:szCs w:val="18"/>
          <w:color w:val="auto"/>
        </w:rPr>
        <w:t xml:space="preserve"> Each fscal year beginning with the fscal year 2024, subject to the approval of the Compensaton Commitee of the Board of Directors, Incyte will grant you awards under its 2010 Stock Incentve Plan (or a successor plan or related agreement), consistng of Stock Optons, Restricted Stock Units (RSUs), and Performance Shares. The award granted each year shall have an aggregate fair value as of the date of grant equal to $6,000,000, determined in accordance with the company’s current executve equity award practces. The Compensaton Commitee has determined that for 2023 our executves will receive 1/3 of their aggregate grant value in the form of stock optons, 1/3 in the form of RSUs, and 1/3 in the form of Performance</w:t>
      </w:r>
    </w:p>
    <w:p>
      <w:pPr>
        <w:sectPr>
          <w:pgSz w:w="11900" w:h="16838" w:orient="portrait"/>
          <w:cols w:equalWidth="0" w:num="1">
            <w:col w:w="11240"/>
          </w:cols>
          <w:pgMar w:left="320" w:top="101"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320" w:right="20"/>
        <w:spacing w:after="0" w:line="283" w:lineRule="auto"/>
        <w:rPr>
          <w:sz w:val="20"/>
          <w:szCs w:val="20"/>
          <w:color w:val="auto"/>
        </w:rPr>
      </w:pPr>
      <w:r>
        <w:rPr>
          <w:rFonts w:ascii="Arial" w:cs="Arial" w:eastAsia="Arial" w:hAnsi="Arial"/>
          <w:sz w:val="19"/>
          <w:szCs w:val="19"/>
          <w:color w:val="auto"/>
        </w:rPr>
        <w:t>Shares. The specifc terms and conditons of the awards, including the exercise price of stock optons and vestng conditons, will be set forth in equity grant agreements to be entered into between you and the Company. For the annual July 2023 grant, we will award you one-half (1/2) of your award in the amount of $3,000,000</w:t>
      </w:r>
    </w:p>
    <w:p>
      <w:pPr>
        <w:spacing w:after="0" w:line="194" w:lineRule="exact"/>
        <w:rPr>
          <w:sz w:val="20"/>
          <w:szCs w:val="20"/>
          <w:color w:val="auto"/>
        </w:rPr>
      </w:pPr>
    </w:p>
    <w:p>
      <w:pPr>
        <w:ind w:left="320" w:right="20" w:hanging="316"/>
        <w:spacing w:after="0" w:line="277" w:lineRule="auto"/>
        <w:tabs>
          <w:tab w:leader="none" w:pos="32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One-tme Grant of Restricted Stock Units.</w:t>
      </w:r>
      <w:r>
        <w:rPr>
          <w:rFonts w:ascii="Arial" w:cs="Arial" w:eastAsia="Arial" w:hAnsi="Arial"/>
          <w:sz w:val="18"/>
          <w:szCs w:val="18"/>
          <w:color w:val="auto"/>
        </w:rPr>
        <w:t xml:space="preserve"> Upon commencement of your employment with Incyte, subject to the approval of the Compensaton Commitee of the Board of Directors, you will receive RSUs with an aggregate grant date value of $12,000,000. Each RSU will enable you to receive one share of Incyte common stock. The RSUs will vest one-fourth (1/4) on June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of each of the following years of 2026, 2027, 2028, and 2029, or on such earlier date(s) as may be provided in Addendum A to this ofer leter or your Employment Agreement in the form provided together with this ofer leter. The Employment Agreement will be signed as of the date of your commencement of Employment and, as noted under “Severance” below, will cover certain situatons in which your employment may be terminated in connecton with a change in control. Except as provided in Addendum A to this ofer leter or in your Employment Agreement, upon your terminaton of employment, unvested RSUs will be forfeited. The RSUs will be setled in shares of Incyte common stock as soon as practcal, but no later than the earlier of 90 days afer the date of vestng or March 15 of the calendar year following the year in which such RSUs vest.</w:t>
      </w:r>
    </w:p>
    <w:p>
      <w:pPr>
        <w:spacing w:after="0" w:line="207" w:lineRule="exact"/>
        <w:rPr>
          <w:rFonts w:ascii="Arial" w:cs="Arial" w:eastAsia="Arial" w:hAnsi="Arial"/>
          <w:sz w:val="18"/>
          <w:szCs w:val="18"/>
          <w:color w:val="auto"/>
        </w:rPr>
      </w:pPr>
    </w:p>
    <w:p>
      <w:pPr>
        <w:ind w:left="320" w:hanging="316"/>
        <w:spacing w:after="0"/>
        <w:tabs>
          <w:tab w:leader="none" w:pos="320"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Place of Performance.</w:t>
      </w:r>
      <w:r>
        <w:rPr>
          <w:rFonts w:ascii="Arial" w:cs="Arial" w:eastAsia="Arial" w:hAnsi="Arial"/>
          <w:sz w:val="19"/>
          <w:szCs w:val="19"/>
          <w:color w:val="auto"/>
        </w:rPr>
        <w:t xml:space="preserve"> Your primary ofce will be at the Company’s headquarters, in Wilmington, Delaware.</w:t>
      </w:r>
    </w:p>
    <w:p>
      <w:pPr>
        <w:spacing w:after="0" w:line="271" w:lineRule="exact"/>
        <w:rPr>
          <w:rFonts w:ascii="Arial" w:cs="Arial" w:eastAsia="Arial" w:hAnsi="Arial"/>
          <w:sz w:val="19"/>
          <w:szCs w:val="19"/>
          <w:color w:val="auto"/>
        </w:rPr>
      </w:pPr>
    </w:p>
    <w:p>
      <w:pPr>
        <w:jc w:val="both"/>
        <w:ind w:left="320" w:right="80" w:hanging="316"/>
        <w:spacing w:after="0" w:line="281" w:lineRule="auto"/>
        <w:tabs>
          <w:tab w:leader="none" w:pos="32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Benefts.</w:t>
      </w:r>
      <w:r>
        <w:rPr>
          <w:rFonts w:ascii="Arial" w:cs="Arial" w:eastAsia="Arial" w:hAnsi="Arial"/>
          <w:sz w:val="18"/>
          <w:szCs w:val="18"/>
          <w:color w:val="auto"/>
        </w:rPr>
        <w:t xml:space="preserve"> Incyte ofers employees and their eligible dependents a variety of group health insurance benefts. Efectve on your frst day of employment, you will be eligible for these benefts which currently include medical, dental, vision, disability, and life insurance. An outline of our benefts package is enclosed. The premium cost of these benefts for employees are currently being paid by Incyte.</w:t>
      </w:r>
    </w:p>
    <w:p>
      <w:pPr>
        <w:spacing w:after="0" w:line="1" w:lineRule="exact"/>
        <w:rPr>
          <w:rFonts w:ascii="Arial" w:cs="Arial" w:eastAsia="Arial" w:hAnsi="Arial"/>
          <w:sz w:val="18"/>
          <w:szCs w:val="18"/>
          <w:color w:val="auto"/>
        </w:rPr>
      </w:pPr>
    </w:p>
    <w:p>
      <w:pPr>
        <w:ind w:left="320" w:right="140"/>
        <w:spacing w:after="0" w:line="288" w:lineRule="auto"/>
        <w:rPr>
          <w:rFonts w:ascii="Arial" w:cs="Arial" w:eastAsia="Arial" w:hAnsi="Arial"/>
          <w:sz w:val="18"/>
          <w:szCs w:val="18"/>
          <w:color w:val="auto"/>
        </w:rPr>
      </w:pPr>
      <w:r>
        <w:rPr>
          <w:rFonts w:ascii="Arial" w:cs="Arial" w:eastAsia="Arial" w:hAnsi="Arial"/>
          <w:sz w:val="18"/>
          <w:szCs w:val="18"/>
          <w:color w:val="auto"/>
        </w:rPr>
        <w:t>Incyte also ofers a 401(k) Plan in which you can enroll any tme afer you commence your employment. Informaton about these programs and other company benefts along with guidelines concerning employment are contained in Incyte’s Employee Handbook (the “Handbook”), a link which is given to you at the tme your employment commences. Notwithstanding anything set forth in the Handbook, or any summary plan descriptons, plan documents or other materials describing such benefts. Paid Time Of (PTO) accrues quarterly to a maximum of 20 days (160 hours) per 12-month period with 4 years of service or less, to a maximum of 25 days (200 hours) for years 5 through 9, and a maximum of 30 days (240 hours) for year 10 and beyond.</w:t>
      </w:r>
    </w:p>
    <w:p>
      <w:pPr>
        <w:spacing w:after="0" w:line="99" w:lineRule="exact"/>
        <w:rPr>
          <w:rFonts w:ascii="Arial" w:cs="Arial" w:eastAsia="Arial" w:hAnsi="Arial"/>
          <w:sz w:val="18"/>
          <w:szCs w:val="18"/>
          <w:color w:val="auto"/>
        </w:rPr>
      </w:pPr>
    </w:p>
    <w:p>
      <w:pPr>
        <w:ind w:left="320" w:right="80" w:hanging="316"/>
        <w:spacing w:after="0" w:line="276" w:lineRule="auto"/>
        <w:tabs>
          <w:tab w:leader="none" w:pos="320"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Corporate Policy.</w:t>
      </w:r>
      <w:r>
        <w:rPr>
          <w:rFonts w:ascii="Arial" w:cs="Arial" w:eastAsia="Arial" w:hAnsi="Arial"/>
          <w:sz w:val="19"/>
          <w:szCs w:val="19"/>
          <w:color w:val="auto"/>
        </w:rPr>
        <w:t xml:space="preserve"> You will receive a Confdental Informaton and Inventon Assignment Agreement (“Confdentality Agreement”) as in the form atached as Appendix A in your onboarding packet which will be sent to you electronically prior to your start date. As a conditon of your employment with Incyte, you are required to electronically sign the Confdentality Agreement protectng Incyte's proprietary and compettve informaton prior to your start date. This ofer of employment is subject to your acceptance of the terms of the Confdentality Agreement. Please note that your employment with Incyte, if accepted,</w:t>
      </w:r>
    </w:p>
    <w:p>
      <w:pPr>
        <w:sectPr>
          <w:pgSz w:w="11900" w:h="16838" w:orient="portrait"/>
          <w:cols w:equalWidth="0" w:num="1">
            <w:col w:w="10920"/>
          </w:cols>
          <w:pgMar w:left="640" w:top="101" w:right="339" w:bottom="1440" w:gutter="0" w:footer="0" w:header="0"/>
        </w:sectPr>
      </w:pPr>
    </w:p>
    <w:bookmarkStart w:id="116" w:name="page117"/>
    <w:bookmarkEnd w:id="116"/>
    <w:p>
      <w:pPr>
        <w:ind w:left="10300"/>
        <w:spacing w:after="0"/>
        <w:rPr>
          <w:sz w:val="20"/>
          <w:szCs w:val="20"/>
          <w:color w:val="auto"/>
        </w:rPr>
      </w:pPr>
      <w:r>
        <w:rPr>
          <w:rFonts w:ascii="Arial" w:cs="Arial" w:eastAsia="Arial" w:hAnsi="Arial"/>
          <w:sz w:val="16"/>
          <w:szCs w:val="16"/>
          <w:b w:val="1"/>
          <w:bCs w:val="1"/>
          <w:color w:val="auto"/>
        </w:rPr>
        <w:t>Exhibit 10.1</w:t>
      </w:r>
    </w:p>
    <w:p>
      <w:pPr>
        <w:sectPr>
          <w:pgSz w:w="11900" w:h="16838" w:orient="portrait"/>
          <w:cols w:equalWidth="0" w:num="1">
            <w:col w:w="11240"/>
          </w:cols>
          <w:pgMar w:left="320" w:top="1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40"/>
        <w:spacing w:after="0" w:line="289" w:lineRule="auto"/>
        <w:rPr>
          <w:sz w:val="20"/>
          <w:szCs w:val="20"/>
          <w:color w:val="auto"/>
        </w:rPr>
      </w:pPr>
      <w:r>
        <w:rPr>
          <w:rFonts w:ascii="Arial" w:cs="Arial" w:eastAsia="Arial" w:hAnsi="Arial"/>
          <w:sz w:val="19"/>
          <w:szCs w:val="19"/>
          <w:color w:val="auto"/>
        </w:rPr>
        <w:t>will be on an “at will” basis, meaning that either you or the Company can terminate the at any tme.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employment relatonship for any reason</w:t>
      </w:r>
    </w:p>
    <w:p>
      <w:pPr>
        <w:spacing w:after="0" w:line="495" w:lineRule="exact"/>
        <w:rPr>
          <w:sz w:val="20"/>
          <w:szCs w:val="20"/>
          <w:color w:val="auto"/>
        </w:rPr>
      </w:pPr>
    </w:p>
    <w:p>
      <w:pPr>
        <w:sectPr>
          <w:pgSz w:w="11900" w:h="16838" w:orient="portrait"/>
          <w:cols w:equalWidth="0" w:num="2">
            <w:col w:w="7500" w:space="400"/>
            <w:col w:w="3340"/>
          </w:cols>
          <w:pgMar w:left="320" w:top="101" w:right="339" w:bottom="1440" w:gutter="0" w:footer="0" w:header="0"/>
          <w:type w:val="continuous"/>
        </w:sectPr>
      </w:pPr>
    </w:p>
    <w:p>
      <w:pPr>
        <w:ind w:left="640" w:right="20" w:hanging="316"/>
        <w:spacing w:after="0" w:line="276" w:lineRule="auto"/>
        <w:tabs>
          <w:tab w:leader="none" w:pos="640"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Severance.</w:t>
      </w:r>
      <w:r>
        <w:rPr>
          <w:rFonts w:ascii="Arial" w:cs="Arial" w:eastAsia="Arial" w:hAnsi="Arial"/>
          <w:sz w:val="19"/>
          <w:szCs w:val="19"/>
          <w:color w:val="auto"/>
        </w:rPr>
        <w:t xml:space="preserve"> If your employment with the Company is terminated due to an Involuntary Terminaton (as defned in the Employment Agreement) during the 24-month period following a Change in Control (as defned in the Employment Agreement), you will be enttled to receive the severance benefts described in your Employment Agreement. Severance outside of the Employment Agreement is covered under Addendum A.</w:t>
      </w:r>
    </w:p>
    <w:p>
      <w:pPr>
        <w:spacing w:after="0" w:line="107" w:lineRule="exact"/>
        <w:rPr>
          <w:rFonts w:ascii="Arial" w:cs="Arial" w:eastAsia="Arial" w:hAnsi="Arial"/>
          <w:sz w:val="19"/>
          <w:szCs w:val="19"/>
          <w:color w:val="auto"/>
        </w:rPr>
      </w:pPr>
    </w:p>
    <w:p>
      <w:pPr>
        <w:ind w:left="640" w:right="80" w:hanging="316"/>
        <w:spacing w:after="0" w:line="275" w:lineRule="auto"/>
        <w:tabs>
          <w:tab w:leader="none" w:pos="640"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Employment Documentaton.</w:t>
      </w:r>
      <w:r>
        <w:rPr>
          <w:rFonts w:ascii="Arial" w:cs="Arial" w:eastAsia="Arial" w:hAnsi="Arial"/>
          <w:sz w:val="19"/>
          <w:szCs w:val="19"/>
          <w:color w:val="auto"/>
        </w:rPr>
        <w:t xml:space="preserve"> This ofer of employment is contngent upon your being able to provide Incyte with documentaton that verifes your identty and employment eligibility on the date that you report to work. This ofer of employment is also contngent on the Company receiving satsfactory background checks.</w:t>
      </w:r>
    </w:p>
    <w:p>
      <w:pPr>
        <w:spacing w:after="0" w:line="200" w:lineRule="exact"/>
        <w:rPr>
          <w:sz w:val="20"/>
          <w:szCs w:val="20"/>
          <w:color w:val="auto"/>
        </w:rPr>
      </w:pPr>
    </w:p>
    <w:p>
      <w:pPr>
        <w:spacing w:after="0" w:line="228" w:lineRule="exact"/>
        <w:rPr>
          <w:sz w:val="20"/>
          <w:szCs w:val="20"/>
          <w:color w:val="auto"/>
        </w:rPr>
      </w:pPr>
    </w:p>
    <w:p>
      <w:pPr>
        <w:ind w:left="320" w:right="420"/>
        <w:spacing w:after="0" w:line="289" w:lineRule="auto"/>
        <w:rPr>
          <w:sz w:val="20"/>
          <w:szCs w:val="20"/>
          <w:color w:val="auto"/>
        </w:rPr>
      </w:pPr>
      <w:r>
        <w:rPr>
          <w:rFonts w:ascii="Arial" w:cs="Arial" w:eastAsia="Arial" w:hAnsi="Arial"/>
          <w:sz w:val="19"/>
          <w:szCs w:val="19"/>
          <w:color w:val="auto"/>
        </w:rPr>
        <w:t>Pablo, we would be delighted by your decision to join Incyte and we look forward to your acceptance of this ofer of employment. We believe Incyte ofers an excitng and challenging opportunity.</w:t>
      </w:r>
    </w:p>
    <w:p>
      <w:pPr>
        <w:spacing w:after="0" w:line="189" w:lineRule="exact"/>
        <w:rPr>
          <w:sz w:val="20"/>
          <w:szCs w:val="20"/>
          <w:color w:val="auto"/>
        </w:rPr>
      </w:pPr>
    </w:p>
    <w:p>
      <w:pPr>
        <w:ind w:left="320" w:right="240"/>
        <w:spacing w:after="0" w:line="304" w:lineRule="auto"/>
        <w:rPr>
          <w:sz w:val="20"/>
          <w:szCs w:val="20"/>
          <w:color w:val="auto"/>
        </w:rPr>
      </w:pPr>
      <w:r>
        <w:rPr>
          <w:rFonts w:ascii="Arial" w:cs="Arial" w:eastAsia="Arial" w:hAnsi="Arial"/>
          <w:sz w:val="19"/>
          <w:szCs w:val="19"/>
          <w:color w:val="auto"/>
        </w:rPr>
        <w:t>Please consider our ofer and advise me of your decision by April 20, 2023. The Company does not intend to hold the ofer open beyond this date.</w:t>
      </w:r>
    </w:p>
    <w:p>
      <w:pPr>
        <w:spacing w:after="0" w:line="175" w:lineRule="exact"/>
        <w:rPr>
          <w:sz w:val="20"/>
          <w:szCs w:val="20"/>
          <w:color w:val="auto"/>
        </w:rPr>
      </w:pPr>
    </w:p>
    <w:p>
      <w:pPr>
        <w:ind w:left="320" w:right="120"/>
        <w:spacing w:after="0" w:line="283" w:lineRule="auto"/>
        <w:rPr>
          <w:sz w:val="20"/>
          <w:szCs w:val="20"/>
          <w:color w:val="auto"/>
        </w:rPr>
      </w:pPr>
      <w:r>
        <w:rPr>
          <w:rFonts w:ascii="Arial" w:cs="Arial" w:eastAsia="Arial" w:hAnsi="Arial"/>
          <w:sz w:val="19"/>
          <w:szCs w:val="19"/>
          <w:color w:val="auto"/>
        </w:rPr>
        <w:t>In order to confrm your agreement with and acceptance of these terms, please sign one copy of this leter and return it to me. The other copy of this ofer leter is for your records. In the meantme, should you have any questons about our ofer or about the Company more generally, please contact me.</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19"/>
          <w:szCs w:val="19"/>
          <w:color w:val="auto"/>
        </w:rPr>
        <w:t>Sincerely,</w:t>
      </w:r>
    </w:p>
    <w:p>
      <w:pPr>
        <w:spacing w:after="0" w:line="259" w:lineRule="exact"/>
        <w:rPr>
          <w:sz w:val="20"/>
          <w:szCs w:val="20"/>
          <w:color w:val="auto"/>
        </w:rPr>
      </w:pPr>
    </w:p>
    <w:p>
      <w:pPr>
        <w:ind w:left="320"/>
        <w:spacing w:after="0"/>
        <w:rPr>
          <w:sz w:val="20"/>
          <w:szCs w:val="20"/>
          <w:color w:val="auto"/>
        </w:rPr>
      </w:pPr>
      <w:r>
        <w:rPr>
          <w:rFonts w:ascii="Arial" w:cs="Arial" w:eastAsia="Arial" w:hAnsi="Arial"/>
          <w:sz w:val="19"/>
          <w:szCs w:val="19"/>
          <w:color w:val="auto"/>
        </w:rPr>
        <w:t>/s/ Hervé Hoppenot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-5715</wp:posOffset>
            </wp:positionV>
            <wp:extent cx="111061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110615" cy="8255"/>
                    </a:xfrm>
                    <a:prstGeom prst="rect">
                      <a:avLst/>
                    </a:prstGeom>
                    <a:noFill/>
                  </pic:spPr>
                </pic:pic>
              </a:graphicData>
            </a:graphic>
          </wp:anchor>
        </w:drawing>
      </w:r>
    </w:p>
    <w:p>
      <w:pPr>
        <w:spacing w:after="0" w:line="13" w:lineRule="exact"/>
        <w:rPr>
          <w:sz w:val="20"/>
          <w:szCs w:val="20"/>
          <w:color w:val="auto"/>
        </w:rPr>
      </w:pPr>
    </w:p>
    <w:p>
      <w:pPr>
        <w:ind w:left="320"/>
        <w:spacing w:after="0"/>
        <w:rPr>
          <w:sz w:val="20"/>
          <w:szCs w:val="20"/>
          <w:color w:val="auto"/>
        </w:rPr>
      </w:pPr>
      <w:r>
        <w:rPr>
          <w:rFonts w:ascii="Arial" w:cs="Arial" w:eastAsia="Arial" w:hAnsi="Arial"/>
          <w:sz w:val="19"/>
          <w:szCs w:val="19"/>
          <w:color w:val="auto"/>
        </w:rPr>
        <w:t>Hervé Hoppenot</w:t>
      </w:r>
    </w:p>
    <w:p>
      <w:pPr>
        <w:spacing w:after="0" w:line="25" w:lineRule="exact"/>
        <w:rPr>
          <w:sz w:val="20"/>
          <w:szCs w:val="20"/>
          <w:color w:val="auto"/>
        </w:rPr>
      </w:pPr>
    </w:p>
    <w:p>
      <w:pPr>
        <w:ind w:left="320"/>
        <w:spacing w:after="0"/>
        <w:rPr>
          <w:sz w:val="20"/>
          <w:szCs w:val="20"/>
          <w:color w:val="auto"/>
        </w:rPr>
      </w:pPr>
      <w:r>
        <w:rPr>
          <w:rFonts w:ascii="Arial" w:cs="Arial" w:eastAsia="Arial" w:hAnsi="Arial"/>
          <w:sz w:val="19"/>
          <w:szCs w:val="19"/>
          <w:color w:val="auto"/>
        </w:rPr>
        <w:t>Chairman, President, and Chief Executve Ofcer</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_____________________________________________________________________</w:t>
      </w:r>
    </w:p>
    <w:p>
      <w:pPr>
        <w:spacing w:after="0" w:line="166" w:lineRule="exact"/>
        <w:rPr>
          <w:sz w:val="20"/>
          <w:szCs w:val="20"/>
          <w:color w:val="auto"/>
        </w:rPr>
      </w:pPr>
    </w:p>
    <w:p>
      <w:pPr>
        <w:spacing w:after="0" w:line="289" w:lineRule="auto"/>
        <w:rPr>
          <w:sz w:val="20"/>
          <w:szCs w:val="20"/>
          <w:color w:val="auto"/>
        </w:rPr>
      </w:pPr>
      <w:r>
        <w:rPr>
          <w:rFonts w:ascii="Arial" w:cs="Arial" w:eastAsia="Arial" w:hAnsi="Arial"/>
          <w:sz w:val="19"/>
          <w:szCs w:val="19"/>
          <w:color w:val="auto"/>
        </w:rPr>
        <w:t>I have read and understand the terms of this ofer and agree to the terms of employment. I will be available to report to work on Monday, June 5, 2023.</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 Pablo Cagnoni</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Pablo Cagnoni, MD</w:t>
      </w:r>
    </w:p>
    <w:p>
      <w:pPr>
        <w:sectPr>
          <w:pgSz w:w="11900" w:h="16838" w:orient="portrait"/>
          <w:cols w:equalWidth="0" w:num="1">
            <w:col w:w="11240"/>
          </w:cols>
          <w:pgMar w:left="320" w:top="101" w:right="339" w:bottom="1440" w:gutter="0" w:footer="0" w:header="0"/>
          <w:type w:val="continuous"/>
        </w:sectPr>
      </w:pPr>
    </w:p>
    <w:bookmarkStart w:id="117" w:name="page118"/>
    <w:bookmarkEnd w:id="117"/>
    <w:p>
      <w:pPr>
        <w:jc w:val="right"/>
        <w:spacing w:after="0"/>
        <w:rPr>
          <w:sz w:val="20"/>
          <w:szCs w:val="20"/>
          <w:color w:val="auto"/>
        </w:rPr>
      </w:pPr>
      <w:r>
        <w:rPr>
          <w:rFonts w:ascii="Arial" w:cs="Arial" w:eastAsia="Arial" w:hAnsi="Arial"/>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420"/>
        <w:spacing w:after="0"/>
        <w:rPr>
          <w:sz w:val="20"/>
          <w:szCs w:val="20"/>
          <w:color w:val="auto"/>
        </w:rPr>
      </w:pPr>
      <w:r>
        <w:rPr>
          <w:rFonts w:ascii="Arial" w:cs="Arial" w:eastAsia="Arial" w:hAnsi="Arial"/>
          <w:sz w:val="19"/>
          <w:szCs w:val="19"/>
          <w:b w:val="1"/>
          <w:bCs w:val="1"/>
          <w:u w:val="single" w:color="auto"/>
          <w:color w:val="auto"/>
        </w:rPr>
        <w:t>Pablo Cagnoni</w:t>
      </w:r>
    </w:p>
    <w:p>
      <w:pPr>
        <w:spacing w:after="0" w:line="192" w:lineRule="exact"/>
        <w:rPr>
          <w:sz w:val="20"/>
          <w:szCs w:val="20"/>
          <w:color w:val="auto"/>
        </w:rPr>
      </w:pPr>
    </w:p>
    <w:p>
      <w:pPr>
        <w:jc w:val="center"/>
        <w:ind w:right="640"/>
        <w:spacing w:after="0"/>
        <w:rPr>
          <w:sz w:val="20"/>
          <w:szCs w:val="20"/>
          <w:color w:val="auto"/>
        </w:rPr>
      </w:pPr>
      <w:r>
        <w:rPr>
          <w:rFonts w:ascii="Arial" w:cs="Arial" w:eastAsia="Arial" w:hAnsi="Arial"/>
          <w:sz w:val="19"/>
          <w:szCs w:val="19"/>
          <w:b w:val="1"/>
          <w:bCs w:val="1"/>
          <w:u w:val="single" w:color="auto"/>
          <w:color w:val="auto"/>
        </w:rPr>
        <w:t>Addendum A</w:t>
      </w:r>
    </w:p>
    <w:p>
      <w:pPr>
        <w:jc w:val="center"/>
        <w:ind w:right="640"/>
        <w:spacing w:after="0" w:line="238" w:lineRule="auto"/>
        <w:rPr>
          <w:sz w:val="20"/>
          <w:szCs w:val="20"/>
          <w:color w:val="auto"/>
        </w:rPr>
      </w:pPr>
      <w:r>
        <w:rPr>
          <w:rFonts w:ascii="Arial" w:cs="Arial" w:eastAsia="Arial" w:hAnsi="Arial"/>
          <w:sz w:val="19"/>
          <w:szCs w:val="19"/>
          <w:b w:val="1"/>
          <w:bCs w:val="1"/>
          <w:u w:val="single" w:color="auto"/>
          <w:color w:val="auto"/>
        </w:rPr>
        <w:t>4/14/23</w:t>
      </w:r>
    </w:p>
    <w:p>
      <w:pPr>
        <w:spacing w:after="0" w:line="335" w:lineRule="exact"/>
        <w:rPr>
          <w:sz w:val="20"/>
          <w:szCs w:val="20"/>
          <w:color w:val="auto"/>
        </w:rPr>
      </w:pPr>
    </w:p>
    <w:p>
      <w:pPr>
        <w:ind w:left="320" w:right="220" w:hanging="318"/>
        <w:spacing w:after="0" w:line="218" w:lineRule="auto"/>
        <w:tabs>
          <w:tab w:leader="none" w:pos="320" w:val="left"/>
        </w:tabs>
        <w:numPr>
          <w:ilvl w:val="0"/>
          <w:numId w:val="77"/>
        </w:numPr>
        <w:rPr>
          <w:rFonts w:ascii="Arial" w:cs="Arial" w:eastAsia="Arial" w:hAnsi="Arial"/>
          <w:sz w:val="19"/>
          <w:szCs w:val="19"/>
          <w:color w:val="auto"/>
        </w:rPr>
      </w:pPr>
      <w:r>
        <w:rPr>
          <w:rFonts w:ascii="Arial" w:cs="Arial" w:eastAsia="Arial" w:hAnsi="Arial"/>
          <w:sz w:val="19"/>
          <w:szCs w:val="19"/>
          <w:color w:val="auto"/>
        </w:rPr>
        <w:t>In the event that Incyte terminates your employment prior to a Change in Control (as defned in the Employment Agreement) without “cause” or you resign for “good reason” as each term is defned below you will be paid the amount of two (2) year of base pay plus target bonus as severance; provided, however, if you terminate your employment for good reason based on a reducton in base salary, then the base salary to be used in calculatng the severance payment shall be the base salary in efect immediately prior to such reducton in base salary. If COBRA is elected by you, Incyte shall pay the cost of insurance contnuaton premiums on your behalf (whether or not covered by COBRA) to contnue standard medical, dental and life insurance coverage for you (or the cash equivalent of same in the event you are ineligible for contnued coverage), on a monthly basis, untl the earlier of: (A) the date 24 months afer the date your employment is terminated; or (B) your COBRA health contnuaton period.</w:t>
      </w:r>
    </w:p>
    <w:p>
      <w:pPr>
        <w:spacing w:after="0" w:line="214" w:lineRule="exact"/>
        <w:rPr>
          <w:rFonts w:ascii="Arial" w:cs="Arial" w:eastAsia="Arial" w:hAnsi="Arial"/>
          <w:sz w:val="19"/>
          <w:szCs w:val="19"/>
          <w:color w:val="auto"/>
        </w:rPr>
      </w:pPr>
    </w:p>
    <w:p>
      <w:pPr>
        <w:ind w:left="320" w:hanging="318"/>
        <w:spacing w:after="0"/>
        <w:tabs>
          <w:tab w:leader="none" w:pos="320"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The following are the defnitons of “cause”:</w:t>
      </w:r>
    </w:p>
    <w:p>
      <w:pPr>
        <w:spacing w:after="0" w:line="219" w:lineRule="exact"/>
        <w:rPr>
          <w:sz w:val="20"/>
          <w:szCs w:val="20"/>
          <w:color w:val="auto"/>
        </w:rPr>
      </w:pPr>
    </w:p>
    <w:p>
      <w:pPr>
        <w:ind w:left="640" w:right="220" w:hanging="638"/>
        <w:spacing w:after="0" w:line="239" w:lineRule="auto"/>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contnued failure to perform your dutes with the Company, other than any such failure resultng from incapacity due to Disability (as defned in the Employment Agreement), which incapacity has been recognized as such by the Company’s Board or our CEO, afer a writen demand for substantal performance has been delivered to you by the Board or our CEO that specifcally identfes the manner in which the Board or CEO believes you have not substantally performed your dutes;</w:t>
      </w:r>
    </w:p>
    <w:p>
      <w:pPr>
        <w:spacing w:after="0" w:line="2" w:lineRule="exact"/>
        <w:rPr>
          <w:rFonts w:ascii="Arial" w:cs="Arial" w:eastAsia="Arial" w:hAnsi="Arial"/>
          <w:sz w:val="18"/>
          <w:szCs w:val="18"/>
          <w:color w:val="auto"/>
        </w:rPr>
      </w:pPr>
    </w:p>
    <w:p>
      <w:pPr>
        <w:ind w:left="640" w:hanging="638"/>
        <w:spacing w:after="0" w:line="209" w:lineRule="auto"/>
        <w:tabs>
          <w:tab w:leader="none" w:pos="640"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The engaging by you in illegal conduct, gross misconduct or dishonesty that is injurious to the Company; or</w:t>
      </w:r>
    </w:p>
    <w:p>
      <w:pPr>
        <w:ind w:left="640" w:right="600" w:hanging="638"/>
        <w:spacing w:after="0" w:line="215" w:lineRule="auto"/>
        <w:tabs>
          <w:tab w:leader="none" w:pos="640" w:val="left"/>
        </w:tabs>
        <w:numPr>
          <w:ilvl w:val="0"/>
          <w:numId w:val="78"/>
        </w:numPr>
        <w:rPr>
          <w:rFonts w:ascii="Arial" w:cs="Arial" w:eastAsia="Arial" w:hAnsi="Arial"/>
          <w:sz w:val="19"/>
          <w:szCs w:val="19"/>
          <w:color w:val="auto"/>
        </w:rPr>
      </w:pPr>
      <w:r>
        <w:rPr>
          <w:rFonts w:ascii="Arial" w:cs="Arial" w:eastAsia="Arial" w:hAnsi="Arial"/>
          <w:sz w:val="19"/>
          <w:szCs w:val="19"/>
          <w:color w:val="auto"/>
        </w:rPr>
        <w:t>Unauthorized disclosure or misuse of the Company’s secret, confdental or proprietary informaton, knowledge or data relatng to the Company or its afliates.</w:t>
      </w:r>
    </w:p>
    <w:p>
      <w:pPr>
        <w:spacing w:after="0" w:line="221" w:lineRule="exact"/>
        <w:rPr>
          <w:sz w:val="20"/>
          <w:szCs w:val="20"/>
          <w:color w:val="auto"/>
        </w:rPr>
      </w:pPr>
    </w:p>
    <w:p>
      <w:pPr>
        <w:ind w:left="320" w:hanging="318"/>
        <w:spacing w:after="0"/>
        <w:tabs>
          <w:tab w:leader="none" w:pos="320" w:val="left"/>
        </w:tabs>
        <w:numPr>
          <w:ilvl w:val="0"/>
          <w:numId w:val="79"/>
        </w:numPr>
        <w:rPr>
          <w:rFonts w:ascii="Arial" w:cs="Arial" w:eastAsia="Arial" w:hAnsi="Arial"/>
          <w:sz w:val="19"/>
          <w:szCs w:val="19"/>
          <w:color w:val="auto"/>
        </w:rPr>
      </w:pPr>
      <w:r>
        <w:rPr>
          <w:rFonts w:ascii="Arial" w:cs="Arial" w:eastAsia="Arial" w:hAnsi="Arial"/>
          <w:sz w:val="19"/>
          <w:szCs w:val="19"/>
          <w:color w:val="auto"/>
        </w:rPr>
        <w:t>The following are the defnitons of terminaton for “good reason”:</w:t>
      </w:r>
    </w:p>
    <w:p>
      <w:pPr>
        <w:spacing w:after="0" w:line="312" w:lineRule="exact"/>
        <w:rPr>
          <w:sz w:val="20"/>
          <w:szCs w:val="20"/>
          <w:color w:val="auto"/>
        </w:rPr>
      </w:pPr>
    </w:p>
    <w:p>
      <w:pPr>
        <w:ind w:left="640" w:right="620" w:hanging="638"/>
        <w:spacing w:after="0" w:line="242" w:lineRule="auto"/>
        <w:tabs>
          <w:tab w:leader="none" w:pos="640" w:val="left"/>
        </w:tabs>
        <w:numPr>
          <w:ilvl w:val="0"/>
          <w:numId w:val="80"/>
        </w:numPr>
        <w:rPr>
          <w:rFonts w:ascii="Arial" w:cs="Arial" w:eastAsia="Arial" w:hAnsi="Arial"/>
          <w:sz w:val="19"/>
          <w:szCs w:val="19"/>
          <w:color w:val="auto"/>
        </w:rPr>
      </w:pPr>
      <w:r>
        <w:rPr>
          <w:rFonts w:ascii="Arial" w:cs="Arial" w:eastAsia="Arial" w:hAnsi="Arial"/>
          <w:sz w:val="19"/>
          <w:szCs w:val="19"/>
          <w:color w:val="auto"/>
        </w:rPr>
        <w:t>A material diminuton, without consent, in your responsibilites, authority, or dutes, including a material change in reportng relatonship;</w:t>
      </w:r>
    </w:p>
    <w:p>
      <w:pPr>
        <w:spacing w:after="0" w:line="1" w:lineRule="exact"/>
        <w:rPr>
          <w:rFonts w:ascii="Arial" w:cs="Arial" w:eastAsia="Arial" w:hAnsi="Arial"/>
          <w:sz w:val="19"/>
          <w:szCs w:val="19"/>
          <w:color w:val="auto"/>
        </w:rPr>
      </w:pPr>
    </w:p>
    <w:p>
      <w:pPr>
        <w:jc w:val="both"/>
        <w:ind w:left="640" w:right="480" w:hanging="638"/>
        <w:spacing w:after="0" w:line="213" w:lineRule="auto"/>
        <w:tabs>
          <w:tab w:leader="none" w:pos="640" w:val="left"/>
        </w:tabs>
        <w:numPr>
          <w:ilvl w:val="0"/>
          <w:numId w:val="80"/>
        </w:numPr>
        <w:rPr>
          <w:rFonts w:ascii="Arial" w:cs="Arial" w:eastAsia="Arial" w:hAnsi="Arial"/>
          <w:sz w:val="19"/>
          <w:szCs w:val="19"/>
          <w:color w:val="auto"/>
        </w:rPr>
      </w:pPr>
      <w:r>
        <w:rPr>
          <w:rFonts w:ascii="Arial" w:cs="Arial" w:eastAsia="Arial" w:hAnsi="Arial"/>
          <w:sz w:val="19"/>
          <w:szCs w:val="19"/>
          <w:color w:val="auto"/>
        </w:rPr>
        <w:t>A material diminuton of more than 10% in your base pay except for across-the-board salary reductons based on the Company’s fnancial performance similarly afectng all or substantally all senior management employees of the Company; or</w:t>
      </w:r>
    </w:p>
    <w:p>
      <w:pPr>
        <w:spacing w:after="0" w:line="1" w:lineRule="exact"/>
        <w:rPr>
          <w:rFonts w:ascii="Arial" w:cs="Arial" w:eastAsia="Arial" w:hAnsi="Arial"/>
          <w:sz w:val="19"/>
          <w:szCs w:val="19"/>
          <w:color w:val="auto"/>
        </w:rPr>
      </w:pPr>
    </w:p>
    <w:p>
      <w:pPr>
        <w:ind w:left="640" w:right="500" w:hanging="638"/>
        <w:spacing w:after="0" w:line="211" w:lineRule="auto"/>
        <w:tabs>
          <w:tab w:leader="none" w:pos="640" w:val="left"/>
        </w:tabs>
        <w:numPr>
          <w:ilvl w:val="0"/>
          <w:numId w:val="80"/>
        </w:numPr>
        <w:rPr>
          <w:rFonts w:ascii="Arial" w:cs="Arial" w:eastAsia="Arial" w:hAnsi="Arial"/>
          <w:sz w:val="19"/>
          <w:szCs w:val="19"/>
          <w:color w:val="auto"/>
        </w:rPr>
      </w:pPr>
      <w:r>
        <w:rPr>
          <w:rFonts w:ascii="Arial" w:cs="Arial" w:eastAsia="Arial" w:hAnsi="Arial"/>
          <w:sz w:val="19"/>
          <w:szCs w:val="19"/>
          <w:color w:val="auto"/>
        </w:rPr>
        <w:t>A change, without your consent in the geographic locaton at which you provide services to the Company of more than 50 miles away from our current locaton.</w:t>
      </w:r>
    </w:p>
    <w:p>
      <w:pPr>
        <w:spacing w:after="0" w:line="247" w:lineRule="exact"/>
        <w:rPr>
          <w:sz w:val="20"/>
          <w:szCs w:val="20"/>
          <w:color w:val="auto"/>
        </w:rPr>
      </w:pPr>
    </w:p>
    <w:p>
      <w:pPr>
        <w:ind w:left="320" w:right="20" w:hanging="318"/>
        <w:spacing w:after="0" w:line="283" w:lineRule="auto"/>
        <w:tabs>
          <w:tab w:leader="none" w:pos="320" w:val="left"/>
        </w:tabs>
        <w:numPr>
          <w:ilvl w:val="0"/>
          <w:numId w:val="81"/>
        </w:numPr>
        <w:rPr>
          <w:rFonts w:ascii="Arial" w:cs="Arial" w:eastAsia="Arial" w:hAnsi="Arial"/>
          <w:sz w:val="19"/>
          <w:szCs w:val="19"/>
          <w:color w:val="auto"/>
        </w:rPr>
      </w:pPr>
      <w:r>
        <w:rPr>
          <w:rFonts w:ascii="Arial" w:cs="Arial" w:eastAsia="Arial" w:hAnsi="Arial"/>
          <w:sz w:val="19"/>
          <w:szCs w:val="19"/>
          <w:color w:val="auto"/>
        </w:rPr>
        <w:t>In regard to your new hire RSU grant, if your employment is terminated without cause or for good reason, the next tranche of your RSUS scheduled to vest (which in this case has a grant date value of $3M) shall vest efectve upon such terminaton, with any remaining unvested RSUs to be forfeited</w:t>
      </w:r>
    </w:p>
    <w:p>
      <w:pPr>
        <w:sectPr>
          <w:pgSz w:w="11900" w:h="16838" w:orient="portrait"/>
          <w:cols w:equalWidth="0" w:num="1">
            <w:col w:w="10600"/>
          </w:cols>
          <w:pgMar w:left="960" w:top="101"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21"/>
          <w:szCs w:val="21"/>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EXECUTION COPY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AMENDMENT NO. 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Dated as of May 10, 2023</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to</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REVOLVING CREDIT AND GUARANTY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Dated as of August 18, 2021</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9"/>
          <w:szCs w:val="19"/>
          <w:color w:val="auto"/>
        </w:rPr>
        <w:t>THIS AMENDMENT NO. 1 (this “</w:t>
      </w:r>
      <w:r>
        <w:rPr>
          <w:rFonts w:ascii="Arial" w:cs="Arial" w:eastAsia="Arial" w:hAnsi="Arial"/>
          <w:sz w:val="19"/>
          <w:szCs w:val="19"/>
          <w:u w:val="single" w:color="auto"/>
          <w:color w:val="auto"/>
        </w:rPr>
        <w:t>Amendment</w:t>
      </w:r>
      <w:r>
        <w:rPr>
          <w:rFonts w:ascii="Arial" w:cs="Arial" w:eastAsia="Arial" w:hAnsi="Arial"/>
          <w:sz w:val="19"/>
          <w:szCs w:val="19"/>
          <w:color w:val="auto"/>
        </w:rPr>
        <w:t>”) is made as of May 10, 2023 by and among Incyte Corporation, a Delaware</w:t>
      </w:r>
    </w:p>
    <w:p>
      <w:pPr>
        <w:jc w:val="both"/>
        <w:spacing w:after="0" w:line="222" w:lineRule="auto"/>
        <w:rPr>
          <w:sz w:val="20"/>
          <w:szCs w:val="20"/>
          <w:color w:val="auto"/>
        </w:rPr>
      </w:pPr>
      <w:r>
        <w:rPr>
          <w:rFonts w:ascii="Arial" w:cs="Arial" w:eastAsia="Arial" w:hAnsi="Arial"/>
          <w:sz w:val="18"/>
          <w:szCs w:val="18"/>
          <w:color w:val="auto"/>
        </w:rPr>
        <w:t>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other Loan Parties party hereto, the Lenders party hereto and JPMorgan Chase Bank, N.A., in its capacity as administrative agent for the Lenders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under that certain Revolving Credit and Guaranty Agreement dated as of</w:t>
      </w:r>
    </w:p>
    <w:p>
      <w:pPr>
        <w:spacing w:after="0" w:line="231" w:lineRule="auto"/>
        <w:rPr>
          <w:sz w:val="20"/>
          <w:szCs w:val="20"/>
          <w:color w:val="auto"/>
        </w:rPr>
      </w:pPr>
      <w:r>
        <w:rPr>
          <w:rFonts w:ascii="Arial" w:cs="Arial" w:eastAsia="Arial" w:hAnsi="Arial"/>
          <w:sz w:val="18"/>
          <w:szCs w:val="18"/>
          <w:color w:val="auto"/>
        </w:rPr>
        <w:t>August 18, 2021, by and among the Borrower, the Guarantors from time to time party thereto, the Lenders from time to time party thereto and</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the Administrative Agent (as amended, restated, supplemented or otherwise modified from time to time prior to the date hereof, the “</w:t>
      </w:r>
      <w:r>
        <w:rPr>
          <w:rFonts w:ascii="Arial" w:cs="Arial" w:eastAsia="Arial" w:hAnsi="Arial"/>
          <w:sz w:val="18"/>
          <w:szCs w:val="18"/>
          <w:u w:val="single" w:color="auto"/>
          <w:color w:val="auto"/>
        </w:rPr>
        <w:t>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Capitalized terms used herein and not otherwise defined herein shall have the respective meanings given to them in the Credit</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Agreement.</w:t>
      </w:r>
    </w:p>
    <w:p>
      <w:pPr>
        <w:spacing w:after="0" w:line="17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WHEREAS, the Borrower requested that the requisite Lenders agree to make certain amendments to the Credit Agreement;</w:t>
      </w:r>
    </w:p>
    <w:p>
      <w:pPr>
        <w:spacing w:after="0" w:line="191" w:lineRule="exact"/>
        <w:rPr>
          <w:sz w:val="20"/>
          <w:szCs w:val="20"/>
          <w:color w:val="auto"/>
        </w:rPr>
      </w:pPr>
    </w:p>
    <w:p>
      <w:pPr>
        <w:jc w:val="both"/>
        <w:ind w:firstLine="1272"/>
        <w:spacing w:after="0" w:line="249" w:lineRule="auto"/>
        <w:rPr>
          <w:sz w:val="20"/>
          <w:szCs w:val="20"/>
          <w:color w:val="auto"/>
        </w:rPr>
      </w:pPr>
      <w:r>
        <w:rPr>
          <w:rFonts w:ascii="Arial" w:cs="Arial" w:eastAsia="Arial" w:hAnsi="Arial"/>
          <w:sz w:val="19"/>
          <w:szCs w:val="19"/>
          <w:color w:val="auto"/>
        </w:rPr>
        <w:t>WHEREAS, the Borrower, the Lenders party hereto and the Administrative Agent have agreed to amend the Credit Agreement on the terms and conditions set forth herein;</w:t>
      </w:r>
    </w:p>
    <w:p>
      <w:pPr>
        <w:spacing w:after="0" w:line="156" w:lineRule="exact"/>
        <w:rPr>
          <w:sz w:val="20"/>
          <w:szCs w:val="20"/>
          <w:color w:val="auto"/>
        </w:rPr>
      </w:pPr>
    </w:p>
    <w:p>
      <w:pPr>
        <w:jc w:val="both"/>
        <w:ind w:firstLine="1272"/>
        <w:spacing w:after="0" w:line="245" w:lineRule="auto"/>
        <w:rPr>
          <w:sz w:val="20"/>
          <w:szCs w:val="20"/>
          <w:color w:val="auto"/>
        </w:rPr>
      </w:pPr>
      <w:r>
        <w:rPr>
          <w:rFonts w:ascii="Arial" w:cs="Arial" w:eastAsia="Arial" w:hAnsi="Arial"/>
          <w:sz w:val="17"/>
          <w:szCs w:val="17"/>
          <w:color w:val="auto"/>
        </w:rPr>
        <w:t>NOW, THEREFORE, in consideration of the premises set forth above, the terms and conditions contained herein, and other good and valuable consideration, the receipt and sufficiency of which are hereby acknowledged, the Borrower, the Lenders party hereto and the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Administrative Agent hereby agree to enter into this Amendment.</w:t>
      </w:r>
    </w:p>
    <w:p>
      <w:pPr>
        <w:spacing w:after="0" w:line="163" w:lineRule="exact"/>
        <w:rPr>
          <w:sz w:val="20"/>
          <w:szCs w:val="20"/>
          <w:color w:val="auto"/>
        </w:rPr>
      </w:pPr>
    </w:p>
    <w:p>
      <w:pPr>
        <w:jc w:val="both"/>
        <w:ind w:firstLine="1278"/>
        <w:spacing w:after="0" w:line="224" w:lineRule="auto"/>
        <w:tabs>
          <w:tab w:leader="none" w:pos="1908"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Amendments to the Credit Agreement</w:t>
      </w:r>
      <w:r>
        <w:rPr>
          <w:rFonts w:ascii="Arial" w:cs="Arial" w:eastAsia="Arial" w:hAnsi="Arial"/>
          <w:sz w:val="19"/>
          <w:szCs w:val="19"/>
          <w:color w:val="auto"/>
        </w:rPr>
        <w:t xml:space="preserve">. Effective as of the date of satisfaction of the conditions precedent set forth in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below (such date, the “</w:t>
      </w:r>
      <w:r>
        <w:rPr>
          <w:rFonts w:ascii="Arial" w:cs="Arial" w:eastAsia="Arial" w:hAnsi="Arial"/>
          <w:sz w:val="19"/>
          <w:szCs w:val="19"/>
          <w:u w:val="single" w:color="auto"/>
          <w:color w:val="auto"/>
        </w:rPr>
        <w:t>Amendment Effective Date</w:t>
      </w:r>
      <w:r>
        <w:rPr>
          <w:rFonts w:ascii="Arial" w:cs="Arial" w:eastAsia="Arial" w:hAnsi="Arial"/>
          <w:sz w:val="19"/>
          <w:szCs w:val="19"/>
          <w:color w:val="auto"/>
        </w:rPr>
        <w:t xml:space="preserve">”) the parties hereto agree that the Credit Agreement (including the Exhibits thereto) shall be amended to delete the stricken text (indicated textually in the same manner as the following example: </w:t>
      </w:r>
      <w:r>
        <w:rPr>
          <w:rFonts w:ascii="Arial" w:cs="Arial" w:eastAsia="Arial" w:hAnsi="Arial"/>
          <w:sz w:val="19"/>
          <w:szCs w:val="19"/>
          <w:color w:val="FF0000"/>
          <w:strike w:val="1"/>
        </w:rPr>
        <w:t>stricken text</w:t>
      </w:r>
      <w:r>
        <w:rPr>
          <w:rFonts w:ascii="Arial" w:cs="Arial" w:eastAsia="Arial" w:hAnsi="Arial"/>
          <w:sz w:val="19"/>
          <w:szCs w:val="19"/>
          <w:color w:val="auto"/>
        </w:rPr>
        <w:t xml:space="preserve">) and to add the double-underlined text (indicated textually in the same manner as the following example: </w:t>
      </w:r>
      <w:r>
        <w:rPr>
          <w:rFonts w:ascii="Arial" w:cs="Arial" w:eastAsia="Arial" w:hAnsi="Arial"/>
          <w:sz w:val="19"/>
          <w:szCs w:val="19"/>
          <w:u w:val="single" w:color="auto"/>
          <w:color w:val="0000FF"/>
        </w:rPr>
        <w:t>double-underlined text</w:t>
      </w:r>
      <w:r>
        <w:rPr>
          <w:rFonts w:ascii="Arial" w:cs="Arial" w:eastAsia="Arial" w:hAnsi="Arial"/>
          <w:sz w:val="19"/>
          <w:szCs w:val="19"/>
          <w:color w:val="auto"/>
        </w:rPr>
        <w:t xml:space="preserve">) as set forth in the pages of the Credit Agreement (including the Exhibits thereto) attached as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hereto (the Credit Agreement as so amended, the “</w:t>
      </w:r>
      <w:r>
        <w:rPr>
          <w:rFonts w:ascii="Arial" w:cs="Arial" w:eastAsia="Arial" w:hAnsi="Arial"/>
          <w:sz w:val="19"/>
          <w:szCs w:val="19"/>
          <w:u w:val="single" w:color="auto"/>
          <w:color w:val="auto"/>
        </w:rPr>
        <w:t>Amended Credit</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w:t>
      </w:r>
    </w:p>
    <w:p>
      <w:pPr>
        <w:spacing w:after="0" w:line="154" w:lineRule="exact"/>
        <w:rPr>
          <w:rFonts w:ascii="Arial" w:cs="Arial" w:eastAsia="Arial" w:hAnsi="Arial"/>
          <w:sz w:val="19"/>
          <w:szCs w:val="19"/>
          <w:color w:val="auto"/>
        </w:rPr>
      </w:pPr>
    </w:p>
    <w:p>
      <w:pPr>
        <w:ind w:firstLine="1278"/>
        <w:spacing w:after="0" w:line="249" w:lineRule="auto"/>
        <w:tabs>
          <w:tab w:leader="none" w:pos="1908"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Conditions of Effectiveness</w:t>
      </w:r>
      <w:r>
        <w:rPr>
          <w:rFonts w:ascii="Arial" w:cs="Arial" w:eastAsia="Arial" w:hAnsi="Arial"/>
          <w:sz w:val="19"/>
          <w:szCs w:val="19"/>
          <w:color w:val="auto"/>
        </w:rPr>
        <w:t>. This Amendment shall become effective as of the first date on which each of the following conditions shall have been satisfied:</w:t>
      </w:r>
    </w:p>
    <w:p>
      <w:pPr>
        <w:spacing w:after="0" w:line="156" w:lineRule="exact"/>
        <w:rPr>
          <w:sz w:val="20"/>
          <w:szCs w:val="20"/>
          <w:color w:val="auto"/>
        </w:rPr>
      </w:pPr>
    </w:p>
    <w:p>
      <w:pPr>
        <w:ind w:firstLine="1278"/>
        <w:spacing w:after="0" w:line="237" w:lineRule="auto"/>
        <w:tabs>
          <w:tab w:leader="none" w:pos="1908"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The Administrative Agent (or its counsel) shall have received counterparts of this Amendment duly executed by the Borrower, each of the other Loan Parties, each of the Lenders, the L/C Issuer and the Administrative Agent.</w:t>
      </w:r>
    </w:p>
    <w:p>
      <w:pPr>
        <w:spacing w:after="0" w:line="164" w:lineRule="exact"/>
        <w:rPr>
          <w:rFonts w:ascii="Arial" w:cs="Arial" w:eastAsia="Arial" w:hAnsi="Arial"/>
          <w:sz w:val="19"/>
          <w:szCs w:val="19"/>
          <w:color w:val="auto"/>
        </w:rPr>
      </w:pPr>
    </w:p>
    <w:p>
      <w:pPr>
        <w:jc w:val="both"/>
        <w:ind w:firstLine="1278"/>
        <w:spacing w:after="0" w:line="246" w:lineRule="auto"/>
        <w:tabs>
          <w:tab w:leader="none" w:pos="1908"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Administrative Agent shall have received, or, substantially concurrently herewith shall receive, all fees and other amounts due and payable on or prior to the Amendment Effective Date, including, to the extent invoiced, reimbursement or payment of all out-of-pocket expenses required to be reimbursed or paid by the Borrower pursuant to the terms of the Amended Credit Agreement.</w:t>
      </w:r>
    </w:p>
    <w:p>
      <w:pPr>
        <w:spacing w:after="0" w:line="159" w:lineRule="exact"/>
        <w:rPr>
          <w:sz w:val="20"/>
          <w:szCs w:val="20"/>
          <w:color w:val="auto"/>
        </w:rPr>
      </w:pPr>
    </w:p>
    <w:p>
      <w:pPr>
        <w:ind w:firstLine="636"/>
        <w:spacing w:after="0" w:line="249" w:lineRule="auto"/>
        <w:rPr>
          <w:sz w:val="20"/>
          <w:szCs w:val="20"/>
          <w:color w:val="auto"/>
        </w:rPr>
      </w:pPr>
      <w:r>
        <w:rPr>
          <w:rFonts w:ascii="Arial" w:cs="Arial" w:eastAsia="Arial" w:hAnsi="Arial"/>
          <w:sz w:val="19"/>
          <w:szCs w:val="19"/>
          <w:color w:val="auto"/>
        </w:rPr>
        <w:t>The Administrative Agent shall notify the Borrower and the Lenders of the Amendment Effective Date, and such notice shall be conclusive and binding.</w:t>
      </w:r>
    </w:p>
    <w:p>
      <w:pPr>
        <w:sectPr>
          <w:pgSz w:w="11900" w:h="16838" w:orient="portrait"/>
          <w:cols w:equalWidth="0" w:num="1">
            <w:col w:w="11240"/>
          </w:cols>
          <w:pgMar w:left="320" w:top="100" w:right="339" w:bottom="1440" w:gutter="0" w:footer="0" w:header="0"/>
        </w:sectPr>
      </w:pPr>
    </w:p>
    <w:bookmarkStart w:id="119" w:name="page120"/>
    <w:bookmarkEnd w:id="119"/>
    <w:p>
      <w:pPr>
        <w:spacing w:after="0" w:line="180" w:lineRule="exact"/>
        <w:rPr>
          <w:sz w:val="20"/>
          <w:szCs w:val="20"/>
          <w:color w:val="auto"/>
        </w:rPr>
      </w:pPr>
    </w:p>
    <w:p>
      <w:pPr>
        <w:ind w:firstLine="1278"/>
        <w:spacing w:after="0" w:line="249" w:lineRule="auto"/>
        <w:tabs>
          <w:tab w:leader="none" w:pos="1908"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 of the Borrower</w:t>
      </w:r>
      <w:r>
        <w:rPr>
          <w:rFonts w:ascii="Arial" w:cs="Arial" w:eastAsia="Arial" w:hAnsi="Arial"/>
          <w:sz w:val="19"/>
          <w:szCs w:val="19"/>
          <w:color w:val="auto"/>
        </w:rPr>
        <w:t>. The Borrower hereby represents and warrants to the Lenders on the Amendment Effective Date as follows:</w:t>
      </w:r>
    </w:p>
    <w:p>
      <w:pPr>
        <w:spacing w:after="0" w:line="143" w:lineRule="exact"/>
        <w:rPr>
          <w:sz w:val="20"/>
          <w:szCs w:val="20"/>
          <w:color w:val="auto"/>
        </w:rPr>
      </w:pPr>
    </w:p>
    <w:p>
      <w:pPr>
        <w:jc w:val="both"/>
        <w:ind w:firstLine="1278"/>
        <w:spacing w:after="0" w:line="236" w:lineRule="auto"/>
        <w:tabs>
          <w:tab w:leader="none" w:pos="1908" w:val="left"/>
        </w:tabs>
        <w:numPr>
          <w:ilvl w:val="1"/>
          <w:numId w:val="85"/>
        </w:numPr>
        <w:rPr>
          <w:rFonts w:ascii="Arial" w:cs="Arial" w:eastAsia="Arial" w:hAnsi="Arial"/>
          <w:sz w:val="19"/>
          <w:szCs w:val="19"/>
          <w:color w:val="auto"/>
        </w:rPr>
      </w:pPr>
      <w:r>
        <w:rPr>
          <w:rFonts w:ascii="Arial" w:cs="Arial" w:eastAsia="Arial" w:hAnsi="Arial"/>
          <w:sz w:val="19"/>
          <w:szCs w:val="19"/>
          <w:color w:val="auto"/>
        </w:rPr>
        <w:t>Each of this Amendment and the Amended Credit Agreement constitutes a legal, valid and binding obligation of the Borrower, enforceable in accordance with its terms, subject to applicable Debtor Relief Laws and the effect of general principles of equity, whether applied by a court of law or equity.</w:t>
      </w:r>
    </w:p>
    <w:p>
      <w:pPr>
        <w:spacing w:after="0" w:line="150" w:lineRule="exact"/>
        <w:rPr>
          <w:rFonts w:ascii="Arial" w:cs="Arial" w:eastAsia="Arial" w:hAnsi="Arial"/>
          <w:sz w:val="19"/>
          <w:szCs w:val="19"/>
          <w:color w:val="auto"/>
        </w:rPr>
      </w:pPr>
    </w:p>
    <w:p>
      <w:pPr>
        <w:jc w:val="both"/>
        <w:ind w:firstLine="1278"/>
        <w:spacing w:after="0" w:line="239" w:lineRule="auto"/>
        <w:tabs>
          <w:tab w:leader="none" w:pos="1908" w:val="left"/>
        </w:tabs>
        <w:numPr>
          <w:ilvl w:val="1"/>
          <w:numId w:val="85"/>
        </w:numPr>
        <w:rPr>
          <w:rFonts w:ascii="Arial" w:cs="Arial" w:eastAsia="Arial" w:hAnsi="Arial"/>
          <w:sz w:val="18"/>
          <w:szCs w:val="18"/>
          <w:color w:val="auto"/>
        </w:rPr>
      </w:pPr>
      <w:r>
        <w:rPr>
          <w:rFonts w:ascii="Arial" w:cs="Arial" w:eastAsia="Arial" w:hAnsi="Arial"/>
          <w:sz w:val="18"/>
          <w:szCs w:val="18"/>
          <w:color w:val="auto"/>
        </w:rPr>
        <w:t>As of the date hereof and immediately after giving effect to the terms of this Amendment, (i) no Default has occurred and is continuing and (ii) the representations and warranties of the Borrowers set forth in the Amended Credit Agreement are true and correct</w:t>
      </w:r>
    </w:p>
    <w:p>
      <w:pPr>
        <w:spacing w:after="0" w:line="1" w:lineRule="exact"/>
        <w:rPr>
          <w:rFonts w:ascii="Arial" w:cs="Arial" w:eastAsia="Arial" w:hAnsi="Arial"/>
          <w:sz w:val="18"/>
          <w:szCs w:val="18"/>
          <w:color w:val="auto"/>
        </w:rPr>
      </w:pPr>
    </w:p>
    <w:p>
      <w:pPr>
        <w:jc w:val="both"/>
        <w:ind w:firstLine="6"/>
        <w:spacing w:after="0" w:line="225" w:lineRule="auto"/>
        <w:tabs>
          <w:tab w:leader="none" w:pos="283" w:val="left"/>
        </w:tabs>
        <w:numPr>
          <w:ilvl w:val="0"/>
          <w:numId w:val="86"/>
        </w:numPr>
        <w:rPr>
          <w:rFonts w:ascii="Arial" w:cs="Arial" w:eastAsia="Arial" w:hAnsi="Arial"/>
          <w:sz w:val="19"/>
          <w:szCs w:val="19"/>
          <w:color w:val="auto"/>
        </w:rPr>
      </w:pPr>
      <w:r>
        <w:rPr>
          <w:rFonts w:ascii="Arial" w:cs="Arial" w:eastAsia="Arial" w:hAnsi="Arial"/>
          <w:sz w:val="19"/>
          <w:szCs w:val="19"/>
          <w:color w:val="auto"/>
        </w:rPr>
        <w:t>in the case of the representations and warranties qualified as to materiality, in all respects and (y) otherwise, in all material respects, except to the extent that such representations and warranties specifically refer to an earlier date, in which case they were so true and correct as of such earlier date.</w:t>
      </w:r>
    </w:p>
    <w:p>
      <w:pPr>
        <w:spacing w:after="0" w:line="165" w:lineRule="exact"/>
        <w:rPr>
          <w:sz w:val="20"/>
          <w:szCs w:val="20"/>
          <w:color w:val="auto"/>
        </w:rPr>
      </w:pPr>
    </w:p>
    <w:p>
      <w:pPr>
        <w:ind w:left="1920" w:hanging="642"/>
        <w:spacing w:after="0"/>
        <w:tabs>
          <w:tab w:leader="none" w:pos="1920"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Reference to and Effect on the Credit Agreement</w:t>
      </w:r>
      <w:r>
        <w:rPr>
          <w:rFonts w:ascii="Arial" w:cs="Arial" w:eastAsia="Arial" w:hAnsi="Arial"/>
          <w:sz w:val="19"/>
          <w:szCs w:val="19"/>
          <w:color w:val="auto"/>
        </w:rPr>
        <w:t>.</w:t>
      </w:r>
    </w:p>
    <w:p>
      <w:pPr>
        <w:spacing w:after="0" w:line="179" w:lineRule="exact"/>
        <w:rPr>
          <w:sz w:val="20"/>
          <w:szCs w:val="20"/>
          <w:color w:val="auto"/>
        </w:rPr>
      </w:pPr>
    </w:p>
    <w:p>
      <w:pPr>
        <w:jc w:val="both"/>
        <w:ind w:firstLine="1278"/>
        <w:spacing w:after="0" w:line="227" w:lineRule="auto"/>
        <w:tabs>
          <w:tab w:leader="none" w:pos="1908" w:val="left"/>
        </w:tabs>
        <w:numPr>
          <w:ilvl w:val="0"/>
          <w:numId w:val="88"/>
        </w:numPr>
        <w:rPr>
          <w:rFonts w:ascii="Arial" w:cs="Arial" w:eastAsia="Arial" w:hAnsi="Arial"/>
          <w:sz w:val="19"/>
          <w:szCs w:val="19"/>
          <w:color w:val="auto"/>
        </w:rPr>
      </w:pPr>
      <w:r>
        <w:rPr>
          <w:rFonts w:ascii="Arial" w:cs="Arial" w:eastAsia="Arial" w:hAnsi="Arial"/>
          <w:sz w:val="19"/>
          <w:szCs w:val="19"/>
          <w:color w:val="auto"/>
        </w:rPr>
        <w:t>From and after the effectiveness of the amendment to the Credit Agreement evidenced hereby, the terms “Agreement”, “this Agreement”, “herein”, “hereinafter”, “hereto”, “hereof” and words of similar import, as used in the Amended Credit Agreement, shall, unless the context otherwise requires, refer to the Amended Credit Agreement, and the term “Credit Agreement”, as used in the other Loan Documents, shall mean the Amended Credit Agreement.</w:t>
      </w:r>
    </w:p>
    <w:p>
      <w:pPr>
        <w:spacing w:after="0" w:line="167" w:lineRule="exact"/>
        <w:rPr>
          <w:rFonts w:ascii="Arial" w:cs="Arial" w:eastAsia="Arial" w:hAnsi="Arial"/>
          <w:sz w:val="19"/>
          <w:szCs w:val="19"/>
          <w:color w:val="auto"/>
        </w:rPr>
      </w:pPr>
    </w:p>
    <w:p>
      <w:pPr>
        <w:ind w:firstLine="1278"/>
        <w:spacing w:after="0" w:line="249" w:lineRule="auto"/>
        <w:tabs>
          <w:tab w:leader="none" w:pos="1908" w:val="left"/>
        </w:tabs>
        <w:numPr>
          <w:ilvl w:val="0"/>
          <w:numId w:val="88"/>
        </w:numPr>
        <w:rPr>
          <w:rFonts w:ascii="Arial" w:cs="Arial" w:eastAsia="Arial" w:hAnsi="Arial"/>
          <w:sz w:val="19"/>
          <w:szCs w:val="19"/>
          <w:color w:val="auto"/>
        </w:rPr>
      </w:pPr>
      <w:r>
        <w:rPr>
          <w:rFonts w:ascii="Arial" w:cs="Arial" w:eastAsia="Arial" w:hAnsi="Arial"/>
          <w:sz w:val="19"/>
          <w:szCs w:val="19"/>
          <w:color w:val="auto"/>
        </w:rPr>
        <w:t>Each Loan Document and all other documents, instruments and agreements executed and/or delivered in connection therewith shall remain in full force and effect and are hereby ratified and confirmed.</w:t>
      </w:r>
    </w:p>
    <w:p>
      <w:pPr>
        <w:spacing w:after="0" w:line="142" w:lineRule="exact"/>
        <w:rPr>
          <w:rFonts w:ascii="Arial" w:cs="Arial" w:eastAsia="Arial" w:hAnsi="Arial"/>
          <w:sz w:val="19"/>
          <w:szCs w:val="19"/>
          <w:color w:val="auto"/>
        </w:rPr>
      </w:pPr>
    </w:p>
    <w:p>
      <w:pPr>
        <w:jc w:val="both"/>
        <w:ind w:firstLine="1278"/>
        <w:spacing w:after="0" w:line="231" w:lineRule="auto"/>
        <w:tabs>
          <w:tab w:leader="none" w:pos="1908" w:val="left"/>
        </w:tabs>
        <w:numPr>
          <w:ilvl w:val="0"/>
          <w:numId w:val="88"/>
        </w:numPr>
        <w:rPr>
          <w:rFonts w:ascii="Arial" w:cs="Arial" w:eastAsia="Arial" w:hAnsi="Arial"/>
          <w:sz w:val="19"/>
          <w:szCs w:val="19"/>
          <w:color w:val="auto"/>
        </w:rPr>
      </w:pPr>
      <w:r>
        <w:rPr>
          <w:rFonts w:ascii="Arial" w:cs="Arial" w:eastAsia="Arial" w:hAnsi="Arial"/>
          <w:sz w:val="19"/>
          <w:szCs w:val="19"/>
          <w:color w:val="auto"/>
        </w:rPr>
        <w:t>The execution, delivery and effectiveness of this Amendment shall not operate as a waiver of any right, power or remedy of the Administrative Agent or the Lenders, nor constitute a waiver of any provision of the Credit Agreement, the Loan Documents or any other documents, instruments and agreements executed and/or delivered in connection therewith.</w:t>
      </w:r>
    </w:p>
    <w:p>
      <w:pPr>
        <w:spacing w:after="0" w:line="164" w:lineRule="exact"/>
        <w:rPr>
          <w:rFonts w:ascii="Arial" w:cs="Arial" w:eastAsia="Arial" w:hAnsi="Arial"/>
          <w:sz w:val="19"/>
          <w:szCs w:val="19"/>
          <w:color w:val="auto"/>
        </w:rPr>
      </w:pPr>
    </w:p>
    <w:p>
      <w:pPr>
        <w:ind w:left="1920" w:hanging="642"/>
        <w:spacing w:after="0"/>
        <w:tabs>
          <w:tab w:leader="none" w:pos="1920" w:val="left"/>
        </w:tabs>
        <w:numPr>
          <w:ilvl w:val="0"/>
          <w:numId w:val="88"/>
        </w:numPr>
        <w:rPr>
          <w:rFonts w:ascii="Arial" w:cs="Arial" w:eastAsia="Arial" w:hAnsi="Arial"/>
          <w:sz w:val="19"/>
          <w:szCs w:val="19"/>
          <w:color w:val="auto"/>
        </w:rPr>
      </w:pPr>
      <w:r>
        <w:rPr>
          <w:rFonts w:ascii="Arial" w:cs="Arial" w:eastAsia="Arial" w:hAnsi="Arial"/>
          <w:sz w:val="19"/>
          <w:szCs w:val="19"/>
          <w:color w:val="auto"/>
        </w:rPr>
        <w:t>This Amendment shall be a Loan Document.</w:t>
      </w:r>
    </w:p>
    <w:p>
      <w:pPr>
        <w:spacing w:after="0" w:line="192" w:lineRule="exact"/>
        <w:rPr>
          <w:rFonts w:ascii="Arial" w:cs="Arial" w:eastAsia="Arial" w:hAnsi="Arial"/>
          <w:sz w:val="19"/>
          <w:szCs w:val="19"/>
          <w:color w:val="auto"/>
        </w:rPr>
      </w:pPr>
    </w:p>
    <w:p>
      <w:pPr>
        <w:jc w:val="both"/>
        <w:ind w:firstLine="1278"/>
        <w:spacing w:after="0" w:line="227" w:lineRule="auto"/>
        <w:tabs>
          <w:tab w:leader="none" w:pos="1908" w:val="left"/>
        </w:tabs>
        <w:numPr>
          <w:ilvl w:val="0"/>
          <w:numId w:val="88"/>
        </w:numPr>
        <w:rPr>
          <w:rFonts w:ascii="Arial" w:cs="Arial" w:eastAsia="Arial" w:hAnsi="Arial"/>
          <w:sz w:val="19"/>
          <w:szCs w:val="19"/>
          <w:color w:val="auto"/>
        </w:rPr>
      </w:pPr>
      <w:r>
        <w:rPr>
          <w:rFonts w:ascii="Arial" w:cs="Arial" w:eastAsia="Arial" w:hAnsi="Arial"/>
          <w:sz w:val="19"/>
          <w:szCs w:val="19"/>
          <w:color w:val="auto"/>
        </w:rPr>
        <w:t>Without in any way establishing a course of dealing by the Administrative Agent, any Lender or any L/C Issuer, each of the undersigned Loan Parties consents to this Amendment and reaffirms the terms and conditions of each Loan Document executed by it and acknowledges and agrees that each and every Loan Document executed by the undersigned Loan Parties in connection with the Credit Agreement remains in full force and effect and is hereby reaffirmed, ratified and confirmed.</w:t>
      </w:r>
    </w:p>
    <w:p>
      <w:pPr>
        <w:spacing w:after="0" w:line="154" w:lineRule="exact"/>
        <w:rPr>
          <w:sz w:val="20"/>
          <w:szCs w:val="20"/>
          <w:color w:val="auto"/>
        </w:rPr>
      </w:pPr>
    </w:p>
    <w:p>
      <w:pPr>
        <w:ind w:left="1920" w:hanging="642"/>
        <w:spacing w:after="0"/>
        <w:tabs>
          <w:tab w:leader="none" w:pos="192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Governing Law; Jurisdiction</w:t>
      </w:r>
      <w:r>
        <w:rPr>
          <w:rFonts w:ascii="Arial" w:cs="Arial" w:eastAsia="Arial" w:hAnsi="Arial"/>
          <w:sz w:val="18"/>
          <w:szCs w:val="18"/>
          <w:color w:val="auto"/>
        </w:rPr>
        <w:t>. This Amendment shall be construed in accordance with and governed by the law of the</w:t>
      </w:r>
    </w:p>
    <w:p>
      <w:pPr>
        <w:spacing w:after="0" w:line="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9"/>
          <w:szCs w:val="19"/>
          <w:color w:val="auto"/>
        </w:rPr>
        <w:t>State of New York.</w:t>
      </w:r>
    </w:p>
    <w:p>
      <w:pPr>
        <w:spacing w:after="0" w:line="176" w:lineRule="exact"/>
        <w:rPr>
          <w:rFonts w:ascii="Arial" w:cs="Arial" w:eastAsia="Arial" w:hAnsi="Arial"/>
          <w:sz w:val="18"/>
          <w:szCs w:val="18"/>
          <w:color w:val="auto"/>
        </w:rPr>
      </w:pPr>
    </w:p>
    <w:p>
      <w:pPr>
        <w:ind w:firstLine="1278"/>
        <w:spacing w:after="0" w:line="237" w:lineRule="auto"/>
        <w:tabs>
          <w:tab w:leader="none" w:pos="1908"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Headings</w:t>
      </w:r>
      <w:r>
        <w:rPr>
          <w:rFonts w:ascii="Arial" w:cs="Arial" w:eastAsia="Arial" w:hAnsi="Arial"/>
          <w:sz w:val="19"/>
          <w:szCs w:val="19"/>
          <w:color w:val="auto"/>
        </w:rPr>
        <w:t>. Section headings in this Amendment are included herein for convenience of reference only and shall not constitute a part of this Amendment for any other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40"/>
          </w:cols>
          <w:pgMar w:left="320" w:top="1440" w:right="339" w:bottom="1440" w:gutter="0" w:footer="0" w:header="0"/>
        </w:sectPr>
      </w:pPr>
    </w:p>
    <w:bookmarkStart w:id="120" w:name="page121"/>
    <w:bookmarkEnd w:id="120"/>
    <w:p>
      <w:pPr>
        <w:jc w:val="both"/>
        <w:ind w:firstLine="1278"/>
        <w:spacing w:after="0" w:line="233" w:lineRule="auto"/>
        <w:tabs>
          <w:tab w:leader="none" w:pos="1908"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by one or more of the parties hereto on any number of separate counterparts, and all of said counterparts taken together shall be deemed to constitute one and the same instrument. The words “execution,” “signed,” “signature,” “delivery,” and words of like import in or relating to this Amendment and/or any document to be signed in connection with this Amendment and the transactions contemplated hereby shall be deemed to include Electronic Signatures (as defined below), electronic deliveries or the keeping of records in electronic form, each of which shall be of the same legal effect, validity or enforceability as a manually executed signature, physical delivery thereof or the use of a paper-based recordkeeping system, as the case may be. As used herein, “</w:t>
      </w:r>
      <w:r>
        <w:rPr>
          <w:rFonts w:ascii="Arial" w:cs="Arial" w:eastAsia="Arial" w:hAnsi="Arial"/>
          <w:sz w:val="18"/>
          <w:szCs w:val="18"/>
          <w:u w:val="single" w:color="auto"/>
          <w:color w:val="auto"/>
        </w:rPr>
        <w:t>Electronic</w:t>
      </w:r>
      <w:r>
        <w:rPr>
          <w:rFonts w:ascii="Arial" w:cs="Arial" w:eastAsia="Arial" w:hAnsi="Arial"/>
          <w:sz w:val="18"/>
          <w:szCs w:val="18"/>
          <w:color w:val="auto"/>
        </w:rPr>
        <w:t xml:space="preserve"> </w:t>
      </w:r>
      <w:r>
        <w:rPr>
          <w:rFonts w:ascii="Arial" w:cs="Arial" w:eastAsia="Arial" w:hAnsi="Arial"/>
          <w:sz w:val="18"/>
          <w:szCs w:val="18"/>
          <w:u w:val="single" w:color="auto"/>
          <w:color w:val="auto"/>
        </w:rPr>
        <w:t>Signatures</w:t>
      </w:r>
      <w:r>
        <w:rPr>
          <w:rFonts w:ascii="Arial" w:cs="Arial" w:eastAsia="Arial" w:hAnsi="Arial"/>
          <w:sz w:val="18"/>
          <w:szCs w:val="18"/>
          <w:color w:val="auto"/>
        </w:rPr>
        <w:t>” means any electronic symbol or process attached to, or associated with, any contract or other record and adopted by a person with the intent to sign, authenticate or accept such contract or record.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40"/>
          </w:cols>
          <w:pgMar w:left="320" w:top="1381" w:right="339" w:bottom="1440" w:gutter="0" w:footer="0" w:header="0"/>
        </w:sectPr>
      </w:pPr>
    </w:p>
    <w:bookmarkStart w:id="121" w:name="page122"/>
    <w:bookmarkEnd w:id="121"/>
    <w:p>
      <w:pPr>
        <w:spacing w:after="0" w:line="180" w:lineRule="exact"/>
        <w:rPr>
          <w:sz w:val="20"/>
          <w:szCs w:val="20"/>
          <w:color w:val="auto"/>
        </w:rPr>
      </w:pPr>
    </w:p>
    <w:p>
      <w:pPr>
        <w:ind w:firstLine="1272"/>
        <w:spacing w:after="0" w:line="249" w:lineRule="auto"/>
        <w:rPr>
          <w:sz w:val="20"/>
          <w:szCs w:val="20"/>
          <w:color w:val="auto"/>
        </w:rPr>
      </w:pPr>
      <w:r>
        <w:rPr>
          <w:rFonts w:ascii="Arial" w:cs="Arial" w:eastAsia="Arial" w:hAnsi="Arial"/>
          <w:sz w:val="19"/>
          <w:szCs w:val="19"/>
          <w:color w:val="auto"/>
        </w:rPr>
        <w:t>IN WITNESS WHEREOF, the parties hereto have caused this Amendment to be duly executed and delivered by their respective authorized officers as of the day and year first above written.</w:t>
      </w:r>
    </w:p>
    <w:p>
      <w:pPr>
        <w:spacing w:after="0" w:line="139" w:lineRule="exact"/>
        <w:rPr>
          <w:sz w:val="20"/>
          <w:szCs w:val="20"/>
          <w:color w:val="auto"/>
        </w:rPr>
      </w:pPr>
    </w:p>
    <w:p>
      <w:pPr>
        <w:ind w:left="3820"/>
        <w:spacing w:after="0"/>
        <w:rPr>
          <w:sz w:val="20"/>
          <w:szCs w:val="20"/>
          <w:color w:val="auto"/>
        </w:rPr>
      </w:pPr>
      <w:r>
        <w:rPr>
          <w:rFonts w:ascii="Arial" w:cs="Arial" w:eastAsia="Arial" w:hAnsi="Arial"/>
          <w:sz w:val="19"/>
          <w:szCs w:val="19"/>
          <w:color w:val="auto"/>
        </w:rPr>
        <w:t>INCYTE CORPORATION,</w:t>
      </w:r>
    </w:p>
    <w:p>
      <w:pPr>
        <w:ind w:left="3820"/>
        <w:spacing w:after="0"/>
        <w:rPr>
          <w:sz w:val="20"/>
          <w:szCs w:val="20"/>
          <w:color w:val="auto"/>
        </w:rPr>
      </w:pPr>
      <w:r>
        <w:rPr>
          <w:rFonts w:ascii="Arial" w:cs="Arial" w:eastAsia="Arial" w:hAnsi="Arial"/>
          <w:sz w:val="19"/>
          <w:szCs w:val="19"/>
          <w:color w:val="auto"/>
        </w:rPr>
        <w:t>as the Borrower</w:t>
      </w:r>
    </w:p>
    <w:p>
      <w:pPr>
        <w:spacing w:after="0" w:line="200" w:lineRule="exact"/>
        <w:rPr>
          <w:sz w:val="20"/>
          <w:szCs w:val="20"/>
          <w:color w:val="auto"/>
        </w:rPr>
      </w:pPr>
    </w:p>
    <w:p>
      <w:pPr>
        <w:spacing w:after="0" w:line="224" w:lineRule="exact"/>
        <w:rPr>
          <w:sz w:val="20"/>
          <w:szCs w:val="20"/>
          <w:color w:val="auto"/>
        </w:rPr>
      </w:pPr>
    </w:p>
    <w:p>
      <w:pPr>
        <w:ind w:left="3820"/>
        <w:spacing w:after="0"/>
        <w:rPr>
          <w:sz w:val="20"/>
          <w:szCs w:val="20"/>
          <w:color w:val="auto"/>
        </w:rPr>
      </w:pPr>
      <w:r>
        <w:rPr>
          <w:rFonts w:ascii="Arial" w:cs="Arial" w:eastAsia="Arial" w:hAnsi="Arial"/>
          <w:sz w:val="19"/>
          <w:szCs w:val="19"/>
          <w:color w:val="auto"/>
        </w:rPr>
        <w:t>By:____/s/ Maria E. Pasquale</w:t>
      </w:r>
    </w:p>
    <w:p>
      <w:pPr>
        <w:ind w:left="3820"/>
        <w:spacing w:after="0"/>
        <w:tabs>
          <w:tab w:leader="none" w:pos="452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7"/>
          <w:szCs w:val="17"/>
          <w:color w:val="auto"/>
        </w:rPr>
        <w:t>Maria E. Pasquale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-125095</wp:posOffset>
            </wp:positionV>
            <wp:extent cx="14179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417955" cy="8255"/>
                    </a:xfrm>
                    <a:prstGeom prst="rect">
                      <a:avLst/>
                    </a:prstGeom>
                    <a:noFill/>
                  </pic:spPr>
                </pic:pic>
              </a:graphicData>
            </a:graphic>
          </wp:anchor>
        </w:drawing>
      </w:r>
    </w:p>
    <w:p>
      <w:pPr>
        <w:ind w:left="3820"/>
        <w:spacing w:after="0"/>
        <w:tabs>
          <w:tab w:leader="none" w:pos="442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Executive Vice President and General Counsel</w:t>
      </w:r>
    </w:p>
    <w:p>
      <w:pPr>
        <w:spacing w:after="0" w:line="200" w:lineRule="exact"/>
        <w:rPr>
          <w:sz w:val="20"/>
          <w:szCs w:val="20"/>
          <w:color w:val="auto"/>
        </w:rPr>
      </w:pPr>
    </w:p>
    <w:p>
      <w:pPr>
        <w:spacing w:after="0" w:line="224" w:lineRule="exact"/>
        <w:rPr>
          <w:sz w:val="20"/>
          <w:szCs w:val="20"/>
          <w:color w:val="auto"/>
        </w:rPr>
      </w:pPr>
    </w:p>
    <w:p>
      <w:pPr>
        <w:ind w:left="3820"/>
        <w:spacing w:after="0"/>
        <w:rPr>
          <w:sz w:val="20"/>
          <w:szCs w:val="20"/>
          <w:color w:val="auto"/>
        </w:rPr>
      </w:pPr>
      <w:r>
        <w:rPr>
          <w:rFonts w:ascii="Arial" w:cs="Arial" w:eastAsia="Arial" w:hAnsi="Arial"/>
          <w:sz w:val="19"/>
          <w:szCs w:val="19"/>
          <w:color w:val="auto"/>
        </w:rPr>
        <w:t>INCYTE HOLDINGS CORPORATION,</w:t>
      </w:r>
    </w:p>
    <w:p>
      <w:pPr>
        <w:ind w:left="3820"/>
        <w:spacing w:after="0"/>
        <w:rPr>
          <w:sz w:val="20"/>
          <w:szCs w:val="20"/>
          <w:color w:val="auto"/>
        </w:rPr>
      </w:pPr>
      <w:r>
        <w:rPr>
          <w:rFonts w:ascii="Arial" w:cs="Arial" w:eastAsia="Arial" w:hAnsi="Arial"/>
          <w:sz w:val="19"/>
          <w:szCs w:val="19"/>
          <w:color w:val="auto"/>
        </w:rPr>
        <w:t>as a Subsidiary Guarantor</w:t>
      </w:r>
    </w:p>
    <w:p>
      <w:pPr>
        <w:spacing w:after="0" w:line="200" w:lineRule="exact"/>
        <w:rPr>
          <w:sz w:val="20"/>
          <w:szCs w:val="20"/>
          <w:color w:val="auto"/>
        </w:rPr>
      </w:pPr>
    </w:p>
    <w:p>
      <w:pPr>
        <w:spacing w:after="0" w:line="238" w:lineRule="exact"/>
        <w:rPr>
          <w:sz w:val="20"/>
          <w:szCs w:val="20"/>
          <w:color w:val="auto"/>
        </w:rPr>
      </w:pPr>
    </w:p>
    <w:p>
      <w:pPr>
        <w:ind w:left="3820"/>
        <w:spacing w:after="0"/>
        <w:rPr>
          <w:sz w:val="20"/>
          <w:szCs w:val="20"/>
          <w:color w:val="auto"/>
        </w:rPr>
      </w:pPr>
      <w:r>
        <w:rPr>
          <w:rFonts w:ascii="Arial" w:cs="Arial" w:eastAsia="Arial" w:hAnsi="Arial"/>
          <w:sz w:val="19"/>
          <w:szCs w:val="19"/>
          <w:color w:val="auto"/>
        </w:rPr>
        <w:t>By:____/s/ Maria E. Pasquale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-6985</wp:posOffset>
            </wp:positionV>
            <wp:extent cx="14179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417955" cy="8255"/>
                    </a:xfrm>
                    <a:prstGeom prst="rect">
                      <a:avLst/>
                    </a:prstGeom>
                    <a:noFill/>
                  </pic:spPr>
                </pic:pic>
              </a:graphicData>
            </a:graphic>
          </wp:anchor>
        </w:drawing>
      </w:r>
    </w:p>
    <w:p>
      <w:pPr>
        <w:ind w:left="3820"/>
        <w:spacing w:after="0" w:line="227" w:lineRule="auto"/>
        <w:tabs>
          <w:tab w:leader="none" w:pos="452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7"/>
          <w:szCs w:val="17"/>
          <w:color w:val="auto"/>
        </w:rPr>
        <w:t>Maria E. Pasquale</w:t>
      </w:r>
    </w:p>
    <w:p>
      <w:pPr>
        <w:spacing w:after="0" w:line="1" w:lineRule="exact"/>
        <w:rPr>
          <w:sz w:val="20"/>
          <w:szCs w:val="20"/>
          <w:color w:val="auto"/>
        </w:rPr>
      </w:pPr>
    </w:p>
    <w:p>
      <w:pPr>
        <w:ind w:left="3820"/>
        <w:spacing w:after="0"/>
        <w:tabs>
          <w:tab w:leader="none" w:pos="442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Executive Vice President and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Signature Page to Amendment No. 1 to</w:t>
      </w:r>
    </w:p>
    <w:p>
      <w:pPr>
        <w:ind w:left="3100"/>
        <w:spacing w:after="0" w:line="199" w:lineRule="auto"/>
        <w:rPr>
          <w:sz w:val="20"/>
          <w:szCs w:val="20"/>
          <w:color w:val="auto"/>
        </w:rPr>
      </w:pPr>
      <w:r>
        <w:rPr>
          <w:rFonts w:ascii="Arial" w:cs="Arial" w:eastAsia="Arial" w:hAnsi="Arial"/>
          <w:sz w:val="18"/>
          <w:szCs w:val="18"/>
          <w:color w:val="auto"/>
        </w:rPr>
        <w:t>Revolving Credit and Guaranty Agreement dated as of August 18,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Incyte Corporation</w:t>
      </w:r>
    </w:p>
    <w:p>
      <w:pPr>
        <w:sectPr>
          <w:pgSz w:w="11900" w:h="16838" w:orient="portrait"/>
          <w:cols w:equalWidth="0" w:num="1">
            <w:col w:w="11240"/>
          </w:cols>
          <w:pgMar w:left="320" w:top="1440" w:right="339" w:bottom="1440" w:gutter="0" w:footer="0" w:header="0"/>
        </w:sectPr>
      </w:pPr>
    </w:p>
    <w:bookmarkStart w:id="122" w:name="page123"/>
    <w:bookmarkEnd w:id="122"/>
    <w:p>
      <w:pPr>
        <w:ind w:left="2700"/>
        <w:spacing w:after="0"/>
        <w:rPr>
          <w:sz w:val="20"/>
          <w:szCs w:val="20"/>
          <w:color w:val="auto"/>
        </w:rPr>
      </w:pPr>
      <w:r>
        <w:rPr>
          <w:rFonts w:ascii="Arial" w:cs="Arial" w:eastAsia="Arial" w:hAnsi="Arial"/>
          <w:sz w:val="19"/>
          <w:szCs w:val="19"/>
          <w:color w:val="auto"/>
        </w:rPr>
        <w:t>JPMORGAN CHASE BANK, N.A.,</w:t>
      </w:r>
    </w:p>
    <w:p>
      <w:pPr>
        <w:ind w:left="2700"/>
        <w:spacing w:after="0"/>
        <w:rPr>
          <w:sz w:val="20"/>
          <w:szCs w:val="20"/>
          <w:color w:val="auto"/>
        </w:rPr>
      </w:pPr>
      <w:r>
        <w:rPr>
          <w:rFonts w:ascii="Arial" w:cs="Arial" w:eastAsia="Arial" w:hAnsi="Arial"/>
          <w:sz w:val="17"/>
          <w:szCs w:val="17"/>
          <w:color w:val="auto"/>
        </w:rPr>
        <w:t>individually as a Lender, as the L/C Issuer and as the Administrative Agent</w:t>
      </w:r>
    </w:p>
    <w:p>
      <w:pPr>
        <w:spacing w:after="0" w:line="200" w:lineRule="exact"/>
        <w:rPr>
          <w:sz w:val="20"/>
          <w:szCs w:val="20"/>
          <w:color w:val="auto"/>
        </w:rPr>
      </w:pPr>
    </w:p>
    <w:p>
      <w:pPr>
        <w:spacing w:after="0" w:line="247"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By:____/s/ Helen D.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-6985</wp:posOffset>
            </wp:positionV>
            <wp:extent cx="128079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80795" cy="8255"/>
                    </a:xfrm>
                    <a:prstGeom prst="rect">
                      <a:avLst/>
                    </a:prstGeom>
                    <a:noFill/>
                  </pic:spPr>
                </pic:pic>
              </a:graphicData>
            </a:graphic>
          </wp:anchor>
        </w:drawing>
      </w:r>
    </w:p>
    <w:p>
      <w:pPr>
        <w:ind w:left="2700"/>
        <w:spacing w:after="0"/>
        <w:tabs>
          <w:tab w:leader="none" w:pos="340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7"/>
          <w:szCs w:val="17"/>
          <w:color w:val="auto"/>
        </w:rPr>
        <w:t>Helen D. Davis</w:t>
      </w:r>
    </w:p>
    <w:p>
      <w:pPr>
        <w:ind w:left="2700"/>
        <w:spacing w:after="0"/>
        <w:tabs>
          <w:tab w:leader="none" w:pos="330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1980" w:right="1979"/>
        <w:spacing w:after="0" w:line="219" w:lineRule="auto"/>
        <w:rPr>
          <w:sz w:val="20"/>
          <w:szCs w:val="20"/>
          <w:color w:val="auto"/>
        </w:rPr>
      </w:pPr>
      <w:r>
        <w:rPr>
          <w:rFonts w:ascii="Arial" w:cs="Arial" w:eastAsia="Arial" w:hAnsi="Arial"/>
          <w:sz w:val="18"/>
          <w:szCs w:val="18"/>
          <w:color w:val="auto"/>
        </w:rPr>
        <w:t>Signature Page to Amendment No. 1 to Revolving Credit and Guaranty Agreement dated as of August 18, 2021 Incyte Corporation</w:t>
      </w:r>
    </w:p>
    <w:p>
      <w:pPr>
        <w:sectPr>
          <w:pgSz w:w="11900" w:h="16838" w:orient="portrait"/>
          <w:cols w:equalWidth="0" w:num="1">
            <w:col w:w="9019"/>
          </w:cols>
          <w:pgMar w:left="1440" w:top="1378" w:right="1440" w:bottom="1440" w:gutter="0" w:footer="0" w:header="0"/>
        </w:sectPr>
      </w:pPr>
    </w:p>
    <w:bookmarkStart w:id="123" w:name="page124"/>
    <w:bookmarkEnd w:id="123"/>
    <w:p>
      <w:pPr>
        <w:ind w:left="2700"/>
        <w:spacing w:after="0"/>
        <w:rPr>
          <w:sz w:val="20"/>
          <w:szCs w:val="20"/>
          <w:color w:val="auto"/>
        </w:rPr>
      </w:pPr>
      <w:r>
        <w:rPr>
          <w:rFonts w:ascii="Arial" w:cs="Arial" w:eastAsia="Arial" w:hAnsi="Arial"/>
          <w:sz w:val="19"/>
          <w:szCs w:val="19"/>
          <w:color w:val="auto"/>
        </w:rPr>
        <w:t>BANK OF AMERICA, N.A.,</w:t>
      </w:r>
    </w:p>
    <w:p>
      <w:pPr>
        <w:ind w:left="2700"/>
        <w:spacing w:after="0"/>
        <w:rPr>
          <w:sz w:val="20"/>
          <w:szCs w:val="20"/>
          <w:color w:val="auto"/>
        </w:rPr>
      </w:pPr>
      <w:r>
        <w:rPr>
          <w:rFonts w:ascii="Arial" w:cs="Arial" w:eastAsia="Arial" w:hAnsi="Arial"/>
          <w:sz w:val="19"/>
          <w:szCs w:val="19"/>
          <w:color w:val="auto"/>
        </w:rPr>
        <w:t>individually as a Lender</w:t>
      </w:r>
    </w:p>
    <w:p>
      <w:pPr>
        <w:spacing w:after="0" w:line="200" w:lineRule="exact"/>
        <w:rPr>
          <w:sz w:val="20"/>
          <w:szCs w:val="20"/>
          <w:color w:val="auto"/>
        </w:rPr>
      </w:pPr>
    </w:p>
    <w:p>
      <w:pPr>
        <w:spacing w:after="0" w:line="224"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By:__ /s/ Irina Froment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2017395</wp:posOffset>
            </wp:positionH>
            <wp:positionV relativeFrom="paragraph">
              <wp:posOffset>-6985</wp:posOffset>
            </wp:positionV>
            <wp:extent cx="12293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29360" cy="8255"/>
                    </a:xfrm>
                    <a:prstGeom prst="rect">
                      <a:avLst/>
                    </a:prstGeom>
                    <a:noFill/>
                  </pic:spPr>
                </pic:pic>
              </a:graphicData>
            </a:graphic>
          </wp:anchor>
        </w:drawing>
      </w:r>
    </w:p>
    <w:p>
      <w:pPr>
        <w:ind w:left="2700"/>
        <w:spacing w:after="0"/>
        <w:tabs>
          <w:tab w:leader="none" w:pos="340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7"/>
          <w:szCs w:val="17"/>
          <w:color w:val="auto"/>
        </w:rPr>
        <w:t>Irina Froment</w:t>
      </w:r>
    </w:p>
    <w:p>
      <w:pPr>
        <w:ind w:left="2700"/>
        <w:spacing w:after="0"/>
        <w:tabs>
          <w:tab w:leader="none" w:pos="330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left="1980" w:right="1979"/>
        <w:spacing w:after="0" w:line="219" w:lineRule="auto"/>
        <w:rPr>
          <w:sz w:val="20"/>
          <w:szCs w:val="20"/>
          <w:color w:val="auto"/>
        </w:rPr>
      </w:pPr>
      <w:r>
        <w:rPr>
          <w:rFonts w:ascii="Arial" w:cs="Arial" w:eastAsia="Arial" w:hAnsi="Arial"/>
          <w:sz w:val="18"/>
          <w:szCs w:val="18"/>
          <w:color w:val="auto"/>
        </w:rPr>
        <w:t>Signature Page to Amendment No. 1 to Revolving Credit and Guaranty Agreement dated as of August 18, 2021 Incyte Corporation</w:t>
      </w:r>
    </w:p>
    <w:p>
      <w:pPr>
        <w:sectPr>
          <w:pgSz w:w="11900" w:h="16838" w:orient="portrait"/>
          <w:cols w:equalWidth="0" w:num="1">
            <w:col w:w="9019"/>
          </w:cols>
          <w:pgMar w:left="1440" w:top="1378" w:right="1440" w:bottom="1440" w:gutter="0" w:footer="0" w:header="0"/>
        </w:sectPr>
      </w:pPr>
    </w:p>
    <w:bookmarkStart w:id="124" w:name="page125"/>
    <w:bookmarkEnd w:id="124"/>
    <w:p>
      <w:pPr>
        <w:ind w:left="2700"/>
        <w:spacing w:after="0"/>
        <w:rPr>
          <w:sz w:val="20"/>
          <w:szCs w:val="20"/>
          <w:color w:val="auto"/>
        </w:rPr>
      </w:pPr>
      <w:r>
        <w:rPr>
          <w:rFonts w:ascii="Arial" w:cs="Arial" w:eastAsia="Arial" w:hAnsi="Arial"/>
          <w:sz w:val="19"/>
          <w:szCs w:val="19"/>
          <w:color w:val="auto"/>
        </w:rPr>
        <w:t>BARCLAYS BANK PLC,</w:t>
      </w:r>
    </w:p>
    <w:p>
      <w:pPr>
        <w:ind w:left="2700"/>
        <w:spacing w:after="0"/>
        <w:rPr>
          <w:sz w:val="20"/>
          <w:szCs w:val="20"/>
          <w:color w:val="auto"/>
        </w:rPr>
      </w:pPr>
      <w:r>
        <w:rPr>
          <w:rFonts w:ascii="Arial" w:cs="Arial" w:eastAsia="Arial" w:hAnsi="Arial"/>
          <w:sz w:val="19"/>
          <w:szCs w:val="19"/>
          <w:color w:val="auto"/>
        </w:rPr>
        <w:t>as a Lender</w:t>
      </w:r>
    </w:p>
    <w:p>
      <w:pPr>
        <w:spacing w:after="0" w:line="200" w:lineRule="exact"/>
        <w:rPr>
          <w:sz w:val="20"/>
          <w:szCs w:val="20"/>
          <w:color w:val="auto"/>
        </w:rPr>
      </w:pPr>
    </w:p>
    <w:p>
      <w:pPr>
        <w:spacing w:after="0" w:line="224"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By:____/s/ Warren Veech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-6985</wp:posOffset>
            </wp:positionV>
            <wp:extent cx="13589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ind w:left="2700"/>
        <w:spacing w:after="0"/>
        <w:tabs>
          <w:tab w:leader="none" w:pos="340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7"/>
          <w:szCs w:val="17"/>
          <w:color w:val="auto"/>
        </w:rPr>
        <w:t>Warren Veech III</w:t>
      </w:r>
    </w:p>
    <w:p>
      <w:pPr>
        <w:ind w:left="2700"/>
        <w:spacing w:after="0"/>
        <w:tabs>
          <w:tab w:leader="none" w:pos="330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1980" w:right="1979"/>
        <w:spacing w:after="0" w:line="219" w:lineRule="auto"/>
        <w:rPr>
          <w:sz w:val="20"/>
          <w:szCs w:val="20"/>
          <w:color w:val="auto"/>
        </w:rPr>
      </w:pPr>
      <w:r>
        <w:rPr>
          <w:rFonts w:ascii="Arial" w:cs="Arial" w:eastAsia="Arial" w:hAnsi="Arial"/>
          <w:sz w:val="18"/>
          <w:szCs w:val="18"/>
          <w:color w:val="auto"/>
        </w:rPr>
        <w:t>Signature Page to Amendment No. 1 to Revolving Credit and Guaranty Agreement dated as of August 18, 2021 Incyte Corporation</w:t>
      </w:r>
    </w:p>
    <w:p>
      <w:pPr>
        <w:sectPr>
          <w:pgSz w:w="11900" w:h="16838" w:orient="portrait"/>
          <w:cols w:equalWidth="0" w:num="1">
            <w:col w:w="9019"/>
          </w:cols>
          <w:pgMar w:left="1440" w:top="1378" w:right="1440" w:bottom="1440" w:gutter="0" w:footer="0" w:header="0"/>
        </w:sectPr>
      </w:pPr>
    </w:p>
    <w:bookmarkStart w:id="125" w:name="page126"/>
    <w:bookmarkEnd w:id="125"/>
    <w:p>
      <w:pPr>
        <w:ind w:left="2700"/>
        <w:spacing w:after="0"/>
        <w:rPr>
          <w:sz w:val="20"/>
          <w:szCs w:val="20"/>
          <w:color w:val="auto"/>
        </w:rPr>
      </w:pPr>
      <w:r>
        <w:rPr>
          <w:rFonts w:ascii="Arial" w:cs="Arial" w:eastAsia="Arial" w:hAnsi="Arial"/>
          <w:sz w:val="19"/>
          <w:szCs w:val="19"/>
          <w:color w:val="auto"/>
        </w:rPr>
        <w:t>CITIZENS BANK, N.A.,</w:t>
      </w:r>
    </w:p>
    <w:p>
      <w:pPr>
        <w:ind w:left="2700"/>
        <w:spacing w:after="0"/>
        <w:rPr>
          <w:sz w:val="20"/>
          <w:szCs w:val="20"/>
          <w:color w:val="auto"/>
        </w:rPr>
      </w:pPr>
      <w:r>
        <w:rPr>
          <w:rFonts w:ascii="Arial" w:cs="Arial" w:eastAsia="Arial" w:hAnsi="Arial"/>
          <w:sz w:val="19"/>
          <w:szCs w:val="19"/>
          <w:color w:val="auto"/>
        </w:rPr>
        <w:t>as a Lender</w:t>
      </w:r>
    </w:p>
    <w:p>
      <w:pPr>
        <w:spacing w:after="0" w:line="200" w:lineRule="exact"/>
        <w:rPr>
          <w:sz w:val="20"/>
          <w:szCs w:val="20"/>
          <w:color w:val="auto"/>
        </w:rPr>
      </w:pPr>
    </w:p>
    <w:p>
      <w:pPr>
        <w:spacing w:after="0" w:line="224"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By:____/s/ Benjamin B.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-6985</wp:posOffset>
            </wp:positionV>
            <wp:extent cx="15208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520825" cy="8255"/>
                    </a:xfrm>
                    <a:prstGeom prst="rect">
                      <a:avLst/>
                    </a:prstGeom>
                    <a:noFill/>
                  </pic:spPr>
                </pic:pic>
              </a:graphicData>
            </a:graphic>
          </wp:anchor>
        </w:drawing>
      </w:r>
    </w:p>
    <w:p>
      <w:pPr>
        <w:ind w:left="2700"/>
        <w:spacing w:after="0"/>
        <w:tabs>
          <w:tab w:leader="none" w:pos="340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7"/>
          <w:szCs w:val="17"/>
          <w:color w:val="auto"/>
        </w:rPr>
        <w:t>Benjamin B. Rogers</w:t>
      </w:r>
    </w:p>
    <w:p>
      <w:pPr>
        <w:ind w:left="2700"/>
        <w:spacing w:after="0"/>
        <w:tabs>
          <w:tab w:leader="none" w:pos="330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Senior Vice President, Relationship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1980" w:right="1979"/>
        <w:spacing w:after="0" w:line="219" w:lineRule="auto"/>
        <w:rPr>
          <w:sz w:val="20"/>
          <w:szCs w:val="20"/>
          <w:color w:val="auto"/>
        </w:rPr>
      </w:pPr>
      <w:r>
        <w:rPr>
          <w:rFonts w:ascii="Arial" w:cs="Arial" w:eastAsia="Arial" w:hAnsi="Arial"/>
          <w:sz w:val="18"/>
          <w:szCs w:val="18"/>
          <w:color w:val="auto"/>
        </w:rPr>
        <w:t>Signature Page to Amendment No. 1 to Revolving Credit and Guaranty Agreement dated as of August 18, 2021 Incyte Corporation</w:t>
      </w:r>
    </w:p>
    <w:p>
      <w:pPr>
        <w:sectPr>
          <w:pgSz w:w="11900" w:h="16838" w:orient="portrait"/>
          <w:cols w:equalWidth="0" w:num="1">
            <w:col w:w="9019"/>
          </w:cols>
          <w:pgMar w:left="1440" w:top="1378" w:right="1440" w:bottom="1440" w:gutter="0" w:footer="0" w:header="0"/>
        </w:sectPr>
      </w:pPr>
    </w:p>
    <w:bookmarkStart w:id="126" w:name="page127"/>
    <w:bookmarkEnd w:id="126"/>
    <w:p>
      <w:pPr>
        <w:ind w:left="2700"/>
        <w:spacing w:after="0"/>
        <w:rPr>
          <w:sz w:val="20"/>
          <w:szCs w:val="20"/>
          <w:color w:val="auto"/>
        </w:rPr>
      </w:pPr>
      <w:r>
        <w:rPr>
          <w:rFonts w:ascii="Arial" w:cs="Arial" w:eastAsia="Arial" w:hAnsi="Arial"/>
          <w:sz w:val="19"/>
          <w:szCs w:val="19"/>
          <w:color w:val="auto"/>
        </w:rPr>
        <w:t>GOLDMAN SACHS LENDING PARTNERS LLC,</w:t>
      </w:r>
    </w:p>
    <w:p>
      <w:pPr>
        <w:ind w:left="2700"/>
        <w:spacing w:after="0"/>
        <w:rPr>
          <w:sz w:val="20"/>
          <w:szCs w:val="20"/>
          <w:color w:val="auto"/>
        </w:rPr>
      </w:pPr>
      <w:r>
        <w:rPr>
          <w:rFonts w:ascii="Arial" w:cs="Arial" w:eastAsia="Arial" w:hAnsi="Arial"/>
          <w:sz w:val="19"/>
          <w:szCs w:val="19"/>
          <w:color w:val="auto"/>
        </w:rPr>
        <w:t>as a Lender</w:t>
      </w:r>
    </w:p>
    <w:p>
      <w:pPr>
        <w:spacing w:after="0" w:line="200" w:lineRule="exact"/>
        <w:rPr>
          <w:sz w:val="20"/>
          <w:szCs w:val="20"/>
          <w:color w:val="auto"/>
        </w:rPr>
      </w:pPr>
    </w:p>
    <w:p>
      <w:pPr>
        <w:spacing w:after="0" w:line="224"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By:____/s/ Neal Osborn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-6985</wp:posOffset>
            </wp:positionV>
            <wp:extent cx="12674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67460" cy="8255"/>
                    </a:xfrm>
                    <a:prstGeom prst="rect">
                      <a:avLst/>
                    </a:prstGeom>
                    <a:noFill/>
                  </pic:spPr>
                </pic:pic>
              </a:graphicData>
            </a:graphic>
          </wp:anchor>
        </w:drawing>
      </w:r>
    </w:p>
    <w:p>
      <w:pPr>
        <w:ind w:left="2700"/>
        <w:spacing w:after="0"/>
        <w:tabs>
          <w:tab w:leader="none" w:pos="340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7"/>
          <w:szCs w:val="17"/>
          <w:color w:val="auto"/>
        </w:rPr>
        <w:t>Neal Osborn</w:t>
      </w:r>
    </w:p>
    <w:p>
      <w:pPr>
        <w:ind w:left="2700"/>
        <w:spacing w:after="0"/>
        <w:tabs>
          <w:tab w:leader="none" w:pos="330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1980" w:right="1979"/>
        <w:spacing w:after="0" w:line="219" w:lineRule="auto"/>
        <w:rPr>
          <w:sz w:val="20"/>
          <w:szCs w:val="20"/>
          <w:color w:val="auto"/>
        </w:rPr>
      </w:pPr>
      <w:r>
        <w:rPr>
          <w:rFonts w:ascii="Arial" w:cs="Arial" w:eastAsia="Arial" w:hAnsi="Arial"/>
          <w:sz w:val="18"/>
          <w:szCs w:val="18"/>
          <w:color w:val="auto"/>
        </w:rPr>
        <w:t>Signature Page to Amendment No. 1 to Revolving Credit and Guaranty Agreement dated as of August 18, 2021 Incyte Corporation</w:t>
      </w:r>
    </w:p>
    <w:p>
      <w:pPr>
        <w:sectPr>
          <w:pgSz w:w="11900" w:h="16838" w:orient="portrait"/>
          <w:cols w:equalWidth="0" w:num="1">
            <w:col w:w="9019"/>
          </w:cols>
          <w:pgMar w:left="1440" w:top="1378" w:right="1440" w:bottom="1440" w:gutter="0" w:footer="0" w:header="0"/>
        </w:sectPr>
      </w:pPr>
    </w:p>
    <w:bookmarkStart w:id="127" w:name="page128"/>
    <w:bookmarkEnd w:id="127"/>
    <w:p>
      <w:pPr>
        <w:ind w:left="2700"/>
        <w:spacing w:after="0"/>
        <w:rPr>
          <w:sz w:val="20"/>
          <w:szCs w:val="20"/>
          <w:color w:val="auto"/>
        </w:rPr>
      </w:pPr>
      <w:r>
        <w:rPr>
          <w:rFonts w:ascii="Arial" w:cs="Arial" w:eastAsia="Arial" w:hAnsi="Arial"/>
          <w:sz w:val="19"/>
          <w:szCs w:val="19"/>
          <w:color w:val="auto"/>
        </w:rPr>
        <w:t>HSBC BANK USA, N.A.,</w:t>
      </w:r>
    </w:p>
    <w:p>
      <w:pPr>
        <w:ind w:left="2700"/>
        <w:spacing w:after="0"/>
        <w:rPr>
          <w:sz w:val="20"/>
          <w:szCs w:val="20"/>
          <w:color w:val="auto"/>
        </w:rPr>
      </w:pPr>
      <w:r>
        <w:rPr>
          <w:rFonts w:ascii="Arial" w:cs="Arial" w:eastAsia="Arial" w:hAnsi="Arial"/>
          <w:sz w:val="19"/>
          <w:szCs w:val="19"/>
          <w:color w:val="auto"/>
        </w:rPr>
        <w:t>as a Lender</w:t>
      </w:r>
    </w:p>
    <w:p>
      <w:pPr>
        <w:spacing w:after="0" w:line="200" w:lineRule="exact"/>
        <w:rPr>
          <w:sz w:val="20"/>
          <w:szCs w:val="20"/>
          <w:color w:val="auto"/>
        </w:rPr>
      </w:pPr>
    </w:p>
    <w:p>
      <w:pPr>
        <w:spacing w:after="0" w:line="224"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By:____/s/ Chris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-6985</wp:posOffset>
            </wp:positionV>
            <wp:extent cx="12331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33170" cy="8255"/>
                    </a:xfrm>
                    <a:prstGeom prst="rect">
                      <a:avLst/>
                    </a:prstGeom>
                    <a:noFill/>
                  </pic:spPr>
                </pic:pic>
              </a:graphicData>
            </a:graphic>
          </wp:anchor>
        </w:drawing>
      </w:r>
    </w:p>
    <w:p>
      <w:pPr>
        <w:ind w:left="2700"/>
        <w:spacing w:after="0"/>
        <w:tabs>
          <w:tab w:leader="none" w:pos="340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7"/>
          <w:szCs w:val="17"/>
          <w:color w:val="auto"/>
        </w:rPr>
        <w:t>Chris Burns</w:t>
      </w:r>
    </w:p>
    <w:p>
      <w:pPr>
        <w:ind w:left="2700"/>
        <w:spacing w:after="0"/>
        <w:tabs>
          <w:tab w:leader="none" w:pos="330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Director, Credit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1980" w:right="1979"/>
        <w:spacing w:after="0" w:line="219" w:lineRule="auto"/>
        <w:rPr>
          <w:sz w:val="20"/>
          <w:szCs w:val="20"/>
          <w:color w:val="auto"/>
        </w:rPr>
      </w:pPr>
      <w:r>
        <w:rPr>
          <w:rFonts w:ascii="Arial" w:cs="Arial" w:eastAsia="Arial" w:hAnsi="Arial"/>
          <w:sz w:val="18"/>
          <w:szCs w:val="18"/>
          <w:color w:val="auto"/>
        </w:rPr>
        <w:t>Signature Page to Amendment No. 1 to Revolving Credit and Guaranty Agreement dated as of August 18, 2021 Incyte Corporation</w:t>
      </w:r>
    </w:p>
    <w:p>
      <w:pPr>
        <w:sectPr>
          <w:pgSz w:w="11900" w:h="16838" w:orient="portrait"/>
          <w:cols w:equalWidth="0" w:num="1">
            <w:col w:w="9019"/>
          </w:cols>
          <w:pgMar w:left="1440" w:top="1378" w:right="1440" w:bottom="1440" w:gutter="0" w:footer="0" w:header="0"/>
        </w:sectPr>
      </w:pPr>
    </w:p>
    <w:bookmarkStart w:id="128" w:name="page129"/>
    <w:bookmarkEnd w:id="128"/>
    <w:p>
      <w:pPr>
        <w:ind w:left="2700"/>
        <w:spacing w:after="0"/>
        <w:rPr>
          <w:sz w:val="20"/>
          <w:szCs w:val="20"/>
          <w:color w:val="auto"/>
        </w:rPr>
      </w:pPr>
      <w:r>
        <w:rPr>
          <w:rFonts w:ascii="Arial" w:cs="Arial" w:eastAsia="Arial" w:hAnsi="Arial"/>
          <w:sz w:val="19"/>
          <w:szCs w:val="19"/>
          <w:color w:val="auto"/>
        </w:rPr>
        <w:t>MIZUHO BANK, LTD.,</w:t>
      </w:r>
    </w:p>
    <w:p>
      <w:pPr>
        <w:ind w:left="2700"/>
        <w:spacing w:after="0"/>
        <w:rPr>
          <w:sz w:val="20"/>
          <w:szCs w:val="20"/>
          <w:color w:val="auto"/>
        </w:rPr>
      </w:pPr>
      <w:r>
        <w:rPr>
          <w:rFonts w:ascii="Arial" w:cs="Arial" w:eastAsia="Arial" w:hAnsi="Arial"/>
          <w:sz w:val="19"/>
          <w:szCs w:val="19"/>
          <w:color w:val="auto"/>
        </w:rPr>
        <w:t>as a Lender</w:t>
      </w:r>
    </w:p>
    <w:p>
      <w:pPr>
        <w:spacing w:after="0" w:line="200" w:lineRule="exact"/>
        <w:rPr>
          <w:sz w:val="20"/>
          <w:szCs w:val="20"/>
          <w:color w:val="auto"/>
        </w:rPr>
      </w:pPr>
    </w:p>
    <w:p>
      <w:pPr>
        <w:spacing w:after="0" w:line="224"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By:____/s/ Tracy Rahm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-6985</wp:posOffset>
            </wp:positionV>
            <wp:extent cx="124714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47140" cy="8255"/>
                    </a:xfrm>
                    <a:prstGeom prst="rect">
                      <a:avLst/>
                    </a:prstGeom>
                    <a:noFill/>
                  </pic:spPr>
                </pic:pic>
              </a:graphicData>
            </a:graphic>
          </wp:anchor>
        </w:drawing>
      </w:r>
    </w:p>
    <w:p>
      <w:pPr>
        <w:ind w:left="2700"/>
        <w:spacing w:after="0"/>
        <w:tabs>
          <w:tab w:leader="none" w:pos="340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7"/>
          <w:szCs w:val="17"/>
          <w:color w:val="auto"/>
        </w:rPr>
        <w:t>Tracy Rahm</w:t>
      </w:r>
    </w:p>
    <w:p>
      <w:pPr>
        <w:ind w:left="2700"/>
        <w:spacing w:after="0"/>
        <w:tabs>
          <w:tab w:leader="none" w:pos="330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1980" w:right="1979"/>
        <w:spacing w:after="0" w:line="219" w:lineRule="auto"/>
        <w:rPr>
          <w:sz w:val="20"/>
          <w:szCs w:val="20"/>
          <w:color w:val="auto"/>
        </w:rPr>
      </w:pPr>
      <w:r>
        <w:rPr>
          <w:rFonts w:ascii="Arial" w:cs="Arial" w:eastAsia="Arial" w:hAnsi="Arial"/>
          <w:sz w:val="18"/>
          <w:szCs w:val="18"/>
          <w:color w:val="auto"/>
        </w:rPr>
        <w:t>Signature Page to Amendment No. 1 to Revolving Credit and Guaranty Agreement dated as of August 18, 2021 Incyte Corporation</w:t>
      </w:r>
    </w:p>
    <w:p>
      <w:pPr>
        <w:sectPr>
          <w:pgSz w:w="11900" w:h="16838" w:orient="portrait"/>
          <w:cols w:equalWidth="0" w:num="1">
            <w:col w:w="9019"/>
          </w:cols>
          <w:pgMar w:left="1440" w:top="1378" w:right="1440" w:bottom="1440" w:gutter="0" w:footer="0" w:header="0"/>
        </w:sectPr>
      </w:pPr>
    </w:p>
    <w:bookmarkStart w:id="129" w:name="page130"/>
    <w:bookmarkEnd w:id="129"/>
    <w:p>
      <w:pPr>
        <w:ind w:left="2700"/>
        <w:spacing w:after="0"/>
        <w:rPr>
          <w:sz w:val="20"/>
          <w:szCs w:val="20"/>
          <w:color w:val="auto"/>
        </w:rPr>
      </w:pPr>
      <w:r>
        <w:rPr>
          <w:rFonts w:ascii="Arial" w:cs="Arial" w:eastAsia="Arial" w:hAnsi="Arial"/>
          <w:sz w:val="19"/>
          <w:szCs w:val="19"/>
          <w:color w:val="auto"/>
        </w:rPr>
        <w:t>MORGAN STANLEY BANK, N.A.,</w:t>
      </w:r>
    </w:p>
    <w:p>
      <w:pPr>
        <w:ind w:left="2700"/>
        <w:spacing w:after="0"/>
        <w:rPr>
          <w:sz w:val="20"/>
          <w:szCs w:val="20"/>
          <w:color w:val="auto"/>
        </w:rPr>
      </w:pPr>
      <w:r>
        <w:rPr>
          <w:rFonts w:ascii="Arial" w:cs="Arial" w:eastAsia="Arial" w:hAnsi="Arial"/>
          <w:sz w:val="19"/>
          <w:szCs w:val="19"/>
          <w:color w:val="auto"/>
        </w:rPr>
        <w:t>as a Lender</w:t>
      </w:r>
    </w:p>
    <w:p>
      <w:pPr>
        <w:spacing w:after="0" w:line="200" w:lineRule="exact"/>
        <w:rPr>
          <w:sz w:val="20"/>
          <w:szCs w:val="20"/>
          <w:color w:val="auto"/>
        </w:rPr>
      </w:pPr>
    </w:p>
    <w:p>
      <w:pPr>
        <w:spacing w:after="0" w:line="224"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By:____/s/ Tayo Lapite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-6985</wp:posOffset>
            </wp:positionV>
            <wp:extent cx="12287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28725" cy="8255"/>
                    </a:xfrm>
                    <a:prstGeom prst="rect">
                      <a:avLst/>
                    </a:prstGeom>
                    <a:noFill/>
                  </pic:spPr>
                </pic:pic>
              </a:graphicData>
            </a:graphic>
          </wp:anchor>
        </w:drawing>
      </w:r>
    </w:p>
    <w:p>
      <w:pPr>
        <w:ind w:left="2700"/>
        <w:spacing w:after="0"/>
        <w:tabs>
          <w:tab w:leader="none" w:pos="340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7"/>
          <w:szCs w:val="17"/>
          <w:color w:val="auto"/>
        </w:rPr>
        <w:t>Tayo Lapite</w:t>
      </w:r>
    </w:p>
    <w:p>
      <w:pPr>
        <w:ind w:left="2700"/>
        <w:spacing w:after="0"/>
        <w:tabs>
          <w:tab w:leader="none" w:pos="330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1980" w:right="1979"/>
        <w:spacing w:after="0" w:line="219" w:lineRule="auto"/>
        <w:rPr>
          <w:sz w:val="20"/>
          <w:szCs w:val="20"/>
          <w:color w:val="auto"/>
        </w:rPr>
      </w:pPr>
      <w:r>
        <w:rPr>
          <w:rFonts w:ascii="Arial" w:cs="Arial" w:eastAsia="Arial" w:hAnsi="Arial"/>
          <w:sz w:val="18"/>
          <w:szCs w:val="18"/>
          <w:color w:val="auto"/>
        </w:rPr>
        <w:t>Signature Page to Amendment No. 1 to Revolving Credit and Guaranty Agreement dated as of August 18, 2021 Incyte Corporation</w:t>
      </w:r>
    </w:p>
    <w:p>
      <w:pPr>
        <w:sectPr>
          <w:pgSz w:w="11900" w:h="16838" w:orient="portrait"/>
          <w:cols w:equalWidth="0" w:num="1">
            <w:col w:w="9019"/>
          </w:cols>
          <w:pgMar w:left="1440" w:top="1378" w:right="1440" w:bottom="1440" w:gutter="0" w:footer="0" w:header="0"/>
        </w:sectPr>
      </w:pPr>
    </w:p>
    <w:bookmarkStart w:id="130" w:name="page131"/>
    <w:bookmarkEnd w:id="130"/>
    <w:p>
      <w:pPr>
        <w:ind w:left="2700"/>
        <w:spacing w:after="0"/>
        <w:rPr>
          <w:sz w:val="20"/>
          <w:szCs w:val="20"/>
          <w:color w:val="auto"/>
        </w:rPr>
      </w:pPr>
      <w:r>
        <w:rPr>
          <w:rFonts w:ascii="Arial" w:cs="Arial" w:eastAsia="Arial" w:hAnsi="Arial"/>
          <w:sz w:val="19"/>
          <w:szCs w:val="19"/>
          <w:color w:val="auto"/>
        </w:rPr>
        <w:t>SUMITOMO MITSUI BANKING CORPORATION,</w:t>
      </w:r>
    </w:p>
    <w:p>
      <w:pPr>
        <w:ind w:left="2700"/>
        <w:spacing w:after="0"/>
        <w:rPr>
          <w:sz w:val="20"/>
          <w:szCs w:val="20"/>
          <w:color w:val="auto"/>
        </w:rPr>
      </w:pPr>
      <w:r>
        <w:rPr>
          <w:rFonts w:ascii="Arial" w:cs="Arial" w:eastAsia="Arial" w:hAnsi="Arial"/>
          <w:sz w:val="19"/>
          <w:szCs w:val="19"/>
          <w:color w:val="auto"/>
        </w:rPr>
        <w:t>as a Lender</w:t>
      </w:r>
    </w:p>
    <w:p>
      <w:pPr>
        <w:spacing w:after="0" w:line="200" w:lineRule="exact"/>
        <w:rPr>
          <w:sz w:val="20"/>
          <w:szCs w:val="20"/>
          <w:color w:val="auto"/>
        </w:rPr>
      </w:pPr>
    </w:p>
    <w:p>
      <w:pPr>
        <w:spacing w:after="0" w:line="224"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By:____/s/ Cindy Hwee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-6985</wp:posOffset>
            </wp:positionV>
            <wp:extent cx="126047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ind w:left="2700"/>
        <w:spacing w:after="0" w:line="230" w:lineRule="auto"/>
        <w:tabs>
          <w:tab w:leader="none" w:pos="340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8"/>
          <w:szCs w:val="18"/>
          <w:color w:val="auto"/>
        </w:rPr>
        <w:t>Cindy Hwee</w:t>
      </w:r>
    </w:p>
    <w:p>
      <w:pPr>
        <w:ind w:left="2700"/>
        <w:spacing w:after="0"/>
        <w:tabs>
          <w:tab w:leader="none" w:pos="330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left="1980" w:right="1979"/>
        <w:spacing w:after="0" w:line="219" w:lineRule="auto"/>
        <w:rPr>
          <w:sz w:val="20"/>
          <w:szCs w:val="20"/>
          <w:color w:val="auto"/>
        </w:rPr>
      </w:pPr>
      <w:r>
        <w:rPr>
          <w:rFonts w:ascii="Arial" w:cs="Arial" w:eastAsia="Arial" w:hAnsi="Arial"/>
          <w:sz w:val="18"/>
          <w:szCs w:val="18"/>
          <w:color w:val="auto"/>
        </w:rPr>
        <w:t>Signature Page to Amendment No. 1 to Revolving Credit and Guaranty Agreement dated as of August 18, 2021 Incyte Corporation</w:t>
      </w:r>
    </w:p>
    <w:p>
      <w:pPr>
        <w:sectPr>
          <w:pgSz w:w="11900" w:h="16838" w:orient="portrait"/>
          <w:cols w:equalWidth="0" w:num="1">
            <w:col w:w="9019"/>
          </w:cols>
          <w:pgMar w:left="1440" w:top="1378" w:right="1440" w:bottom="1440" w:gutter="0" w:footer="0" w:header="0"/>
        </w:sectPr>
      </w:pPr>
    </w:p>
    <w:bookmarkStart w:id="131" w:name="page132"/>
    <w:bookmarkEnd w:id="131"/>
    <w:p>
      <w:pPr>
        <w:ind w:left="2700"/>
        <w:spacing w:after="0"/>
        <w:rPr>
          <w:sz w:val="20"/>
          <w:szCs w:val="20"/>
          <w:color w:val="auto"/>
        </w:rPr>
      </w:pPr>
      <w:r>
        <w:rPr>
          <w:rFonts w:ascii="Arial" w:cs="Arial" w:eastAsia="Arial" w:hAnsi="Arial"/>
          <w:sz w:val="19"/>
          <w:szCs w:val="19"/>
          <w:color w:val="auto"/>
        </w:rPr>
        <w:t>U.S. BANK NATIONAL ASSOCIATION,</w:t>
      </w:r>
    </w:p>
    <w:p>
      <w:pPr>
        <w:ind w:left="2700"/>
        <w:spacing w:after="0"/>
        <w:rPr>
          <w:sz w:val="20"/>
          <w:szCs w:val="20"/>
          <w:color w:val="auto"/>
        </w:rPr>
      </w:pPr>
      <w:r>
        <w:rPr>
          <w:rFonts w:ascii="Arial" w:cs="Arial" w:eastAsia="Arial" w:hAnsi="Arial"/>
          <w:sz w:val="19"/>
          <w:szCs w:val="19"/>
          <w:color w:val="auto"/>
        </w:rPr>
        <w:t>as a Lender</w:t>
      </w:r>
    </w:p>
    <w:p>
      <w:pPr>
        <w:spacing w:after="0" w:line="200" w:lineRule="exact"/>
        <w:rPr>
          <w:sz w:val="20"/>
          <w:szCs w:val="20"/>
          <w:color w:val="auto"/>
        </w:rPr>
      </w:pPr>
    </w:p>
    <w:p>
      <w:pPr>
        <w:spacing w:after="0" w:line="224"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By:____/s/ Tom Priedeman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-6985</wp:posOffset>
            </wp:positionV>
            <wp:extent cx="129730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97305" cy="8255"/>
                    </a:xfrm>
                    <a:prstGeom prst="rect">
                      <a:avLst/>
                    </a:prstGeom>
                    <a:noFill/>
                  </pic:spPr>
                </pic:pic>
              </a:graphicData>
            </a:graphic>
          </wp:anchor>
        </w:drawing>
      </w:r>
    </w:p>
    <w:p>
      <w:pPr>
        <w:ind w:left="2700"/>
        <w:spacing w:after="0"/>
        <w:tabs>
          <w:tab w:leader="none" w:pos="340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7"/>
          <w:szCs w:val="17"/>
          <w:color w:val="auto"/>
        </w:rPr>
        <w:t>Tom Priedeman</w:t>
      </w:r>
    </w:p>
    <w:p>
      <w:pPr>
        <w:ind w:left="2700"/>
        <w:spacing w:after="0"/>
        <w:tabs>
          <w:tab w:leader="none" w:pos="330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Signature Page to Amendment No. 1 to</w:t>
      </w:r>
    </w:p>
    <w:p>
      <w:pPr>
        <w:ind w:left="1980"/>
        <w:spacing w:after="0"/>
        <w:rPr>
          <w:sz w:val="20"/>
          <w:szCs w:val="20"/>
          <w:color w:val="auto"/>
        </w:rPr>
      </w:pPr>
      <w:r>
        <w:rPr>
          <w:rFonts w:ascii="Arial" w:cs="Arial" w:eastAsia="Arial" w:hAnsi="Arial"/>
          <w:sz w:val="15"/>
          <w:szCs w:val="15"/>
          <w:color w:val="auto"/>
        </w:rPr>
        <w:t>Revolving Credit and Guaranty Agreement dated as of August 18, 2021</w:t>
      </w:r>
    </w:p>
    <w:p>
      <w:pPr>
        <w:jc w:val="center"/>
        <w:spacing w:after="0"/>
        <w:rPr>
          <w:sz w:val="20"/>
          <w:szCs w:val="20"/>
          <w:color w:val="auto"/>
        </w:rPr>
      </w:pPr>
      <w:r>
        <w:rPr>
          <w:rFonts w:ascii="Arial" w:cs="Arial" w:eastAsia="Arial" w:hAnsi="Arial"/>
          <w:sz w:val="18"/>
          <w:szCs w:val="18"/>
          <w:color w:val="auto"/>
        </w:rPr>
        <w:t>Incyte Corporation</w:t>
      </w:r>
    </w:p>
    <w:p>
      <w:pPr>
        <w:sectPr>
          <w:pgSz w:w="11900" w:h="16838" w:orient="portrait"/>
          <w:cols w:equalWidth="0" w:num="1">
            <w:col w:w="9019"/>
          </w:cols>
          <w:pgMar w:left="1440" w:top="1378" w:right="1440" w:bottom="1440" w:gutter="0" w:footer="0" w:header="0"/>
        </w:sectPr>
      </w:pPr>
    </w:p>
    <w:bookmarkStart w:id="132" w:name="page133"/>
    <w:bookmarkEnd w:id="132"/>
    <w:p>
      <w:pPr>
        <w:spacing w:after="0" w:line="1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ANNEX A</w:t>
      </w:r>
    </w:p>
    <w:p>
      <w:pPr>
        <w:sectPr>
          <w:pgSz w:w="11900" w:h="16838" w:orient="portrait"/>
          <w:cols w:equalWidth="0" w:num="1">
            <w:col w:w="9019"/>
          </w:cols>
          <w:pgMar w:left="1440" w:top="1440" w:right="1440" w:bottom="1440" w:gutter="0" w:footer="0" w:header="0"/>
        </w:sect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Attached</w:t>
      </w:r>
    </w:p>
    <w:p>
      <w:pPr>
        <w:sectPr>
          <w:pgSz w:w="11900" w:h="16838" w:orient="portrait"/>
          <w:cols w:equalWidth="0" w:num="1">
            <w:col w:w="9019"/>
          </w:cols>
          <w:pgMar w:left="1440" w:top="1440" w:right="1440" w:bottom="1440" w:gutter="0" w:footer="0" w:header="0"/>
          <w:type w:val="continuous"/>
        </w:sectPr>
      </w:pPr>
    </w:p>
    <w:bookmarkStart w:id="133" w:name="page134"/>
    <w:bookmarkEnd w:id="133"/>
    <w:p>
      <w:pPr>
        <w:ind w:left="3660"/>
        <w:spacing w:after="0"/>
        <w:rPr>
          <w:sz w:val="20"/>
          <w:szCs w:val="20"/>
          <w:color w:val="auto"/>
        </w:rPr>
      </w:pPr>
      <w:r>
        <w:rPr>
          <w:rFonts w:ascii="Arial" w:cs="Arial" w:eastAsia="Arial" w:hAnsi="Arial"/>
          <w:sz w:val="21"/>
          <w:szCs w:val="21"/>
          <w:color w:val="auto"/>
        </w:rPr>
        <w:t>_____________________________________</w:t>
      </w:r>
    </w:p>
    <w:p>
      <w:pPr>
        <w:spacing w:after="0" w:line="200" w:lineRule="exact"/>
        <w:rPr>
          <w:sz w:val="20"/>
          <w:szCs w:val="20"/>
          <w:color w:val="auto"/>
        </w:rPr>
      </w:pPr>
    </w:p>
    <w:p>
      <w:pPr>
        <w:spacing w:after="0" w:line="242" w:lineRule="exact"/>
        <w:rPr>
          <w:sz w:val="20"/>
          <w:szCs w:val="20"/>
          <w:color w:val="auto"/>
        </w:rPr>
      </w:pPr>
    </w:p>
    <w:p>
      <w:pPr>
        <w:jc w:val="right"/>
        <w:ind w:right="1839"/>
        <w:spacing w:after="0"/>
        <w:rPr>
          <w:sz w:val="20"/>
          <w:szCs w:val="20"/>
          <w:color w:val="auto"/>
        </w:rPr>
      </w:pPr>
      <w:r>
        <w:rPr>
          <w:rFonts w:ascii="Arial" w:cs="Arial" w:eastAsia="Arial" w:hAnsi="Arial"/>
          <w:sz w:val="21"/>
          <w:szCs w:val="21"/>
          <w:b w:val="1"/>
          <w:bCs w:val="1"/>
          <w:color w:val="auto"/>
        </w:rPr>
        <w:t>REVOLVING CREDIT AND GUARANTY AGREEMENT</w:t>
      </w:r>
    </w:p>
    <w:p>
      <w:pPr>
        <w:spacing w:after="0" w:line="215" w:lineRule="exact"/>
        <w:rPr>
          <w:sz w:val="20"/>
          <w:szCs w:val="20"/>
          <w:color w:val="auto"/>
        </w:rPr>
      </w:pPr>
    </w:p>
    <w:p>
      <w:pPr>
        <w:ind w:left="5160"/>
        <w:spacing w:after="0"/>
        <w:rPr>
          <w:sz w:val="20"/>
          <w:szCs w:val="20"/>
          <w:color w:val="auto"/>
        </w:rPr>
      </w:pPr>
      <w:r>
        <w:rPr>
          <w:rFonts w:ascii="Arial" w:cs="Arial" w:eastAsia="Arial" w:hAnsi="Arial"/>
          <w:sz w:val="21"/>
          <w:szCs w:val="21"/>
          <w:color w:val="auto"/>
        </w:rPr>
        <w:t>dated as of</w:t>
      </w:r>
    </w:p>
    <w:p>
      <w:pPr>
        <w:spacing w:after="0" w:line="209" w:lineRule="exact"/>
        <w:rPr>
          <w:sz w:val="20"/>
          <w:szCs w:val="20"/>
          <w:color w:val="auto"/>
        </w:rPr>
      </w:pPr>
    </w:p>
    <w:p>
      <w:pPr>
        <w:ind w:left="4900"/>
        <w:spacing w:after="0"/>
        <w:rPr>
          <w:sz w:val="20"/>
          <w:szCs w:val="20"/>
          <w:color w:val="auto"/>
        </w:rPr>
      </w:pPr>
      <w:r>
        <w:rPr>
          <w:rFonts w:ascii="Arial" w:cs="Arial" w:eastAsia="Arial" w:hAnsi="Arial"/>
          <w:sz w:val="21"/>
          <w:szCs w:val="21"/>
          <w:color w:val="auto"/>
        </w:rPr>
        <w:t>August 18, 2021,</w:t>
      </w:r>
    </w:p>
    <w:p>
      <w:pPr>
        <w:spacing w:after="0" w:line="209" w:lineRule="exact"/>
        <w:rPr>
          <w:sz w:val="20"/>
          <w:szCs w:val="20"/>
          <w:color w:val="auto"/>
        </w:rPr>
      </w:pPr>
    </w:p>
    <w:p>
      <w:pPr>
        <w:ind w:left="5340"/>
        <w:spacing w:after="0"/>
        <w:rPr>
          <w:sz w:val="20"/>
          <w:szCs w:val="20"/>
          <w:color w:val="auto"/>
        </w:rPr>
      </w:pPr>
      <w:r>
        <w:rPr>
          <w:rFonts w:ascii="Arial" w:cs="Arial" w:eastAsia="Arial" w:hAnsi="Arial"/>
          <w:sz w:val="21"/>
          <w:szCs w:val="21"/>
          <w:color w:val="auto"/>
        </w:rPr>
        <w:t>among</w:t>
      </w:r>
    </w:p>
    <w:p>
      <w:pPr>
        <w:spacing w:after="0" w:line="198" w:lineRule="exact"/>
        <w:rPr>
          <w:sz w:val="20"/>
          <w:szCs w:val="20"/>
          <w:color w:val="auto"/>
        </w:rPr>
      </w:pPr>
    </w:p>
    <w:p>
      <w:pPr>
        <w:ind w:left="4440"/>
        <w:spacing w:after="0"/>
        <w:rPr>
          <w:sz w:val="20"/>
          <w:szCs w:val="20"/>
          <w:color w:val="auto"/>
        </w:rPr>
      </w:pPr>
      <w:r>
        <w:rPr>
          <w:rFonts w:ascii="Arial" w:cs="Arial" w:eastAsia="Arial" w:hAnsi="Arial"/>
          <w:sz w:val="21"/>
          <w:szCs w:val="21"/>
          <w:color w:val="auto"/>
        </w:rPr>
        <w:t>INCYTE CORPORATION,</w:t>
      </w:r>
    </w:p>
    <w:p>
      <w:pPr>
        <w:ind w:left="5080"/>
        <w:spacing w:after="0"/>
        <w:rPr>
          <w:sz w:val="20"/>
          <w:szCs w:val="20"/>
          <w:color w:val="auto"/>
        </w:rPr>
      </w:pPr>
      <w:r>
        <w:rPr>
          <w:rFonts w:ascii="Arial" w:cs="Arial" w:eastAsia="Arial" w:hAnsi="Arial"/>
          <w:sz w:val="21"/>
          <w:szCs w:val="21"/>
          <w:color w:val="auto"/>
        </w:rPr>
        <w:t>as Borrower,</w:t>
      </w:r>
    </w:p>
    <w:p>
      <w:pPr>
        <w:spacing w:after="0" w:line="191" w:lineRule="exact"/>
        <w:rPr>
          <w:sz w:val="20"/>
          <w:szCs w:val="20"/>
          <w:color w:val="auto"/>
        </w:rPr>
      </w:pPr>
    </w:p>
    <w:p>
      <w:pPr>
        <w:ind w:left="3840"/>
        <w:spacing w:after="0"/>
        <w:rPr>
          <w:sz w:val="20"/>
          <w:szCs w:val="20"/>
          <w:color w:val="auto"/>
        </w:rPr>
      </w:pPr>
      <w:r>
        <w:rPr>
          <w:rFonts w:ascii="Arial" w:cs="Arial" w:eastAsia="Arial" w:hAnsi="Arial"/>
          <w:sz w:val="21"/>
          <w:szCs w:val="21"/>
          <w:color w:val="auto"/>
        </w:rPr>
        <w:t>THE GUARANTORS PARTY HERETO,</w:t>
      </w:r>
    </w:p>
    <w:p>
      <w:pPr>
        <w:spacing w:after="0" w:line="209" w:lineRule="exact"/>
        <w:rPr>
          <w:sz w:val="20"/>
          <w:szCs w:val="20"/>
          <w:color w:val="auto"/>
        </w:rPr>
      </w:pPr>
    </w:p>
    <w:p>
      <w:pPr>
        <w:ind w:left="4100"/>
        <w:spacing w:after="0"/>
        <w:rPr>
          <w:sz w:val="20"/>
          <w:szCs w:val="20"/>
          <w:color w:val="auto"/>
        </w:rPr>
      </w:pPr>
      <w:r>
        <w:rPr>
          <w:rFonts w:ascii="Arial" w:cs="Arial" w:eastAsia="Arial" w:hAnsi="Arial"/>
          <w:sz w:val="21"/>
          <w:szCs w:val="21"/>
          <w:color w:val="auto"/>
        </w:rPr>
        <w:t>THE LENDERS PARTY HERETO,</w:t>
      </w:r>
    </w:p>
    <w:p>
      <w:pPr>
        <w:spacing w:after="0" w:line="198" w:lineRule="exact"/>
        <w:rPr>
          <w:sz w:val="20"/>
          <w:szCs w:val="20"/>
          <w:color w:val="auto"/>
        </w:rPr>
      </w:pPr>
    </w:p>
    <w:p>
      <w:pPr>
        <w:ind w:left="4060"/>
        <w:spacing w:after="0"/>
        <w:rPr>
          <w:sz w:val="20"/>
          <w:szCs w:val="20"/>
          <w:color w:val="auto"/>
        </w:rPr>
      </w:pPr>
      <w:r>
        <w:rPr>
          <w:rFonts w:ascii="Arial" w:cs="Arial" w:eastAsia="Arial" w:hAnsi="Arial"/>
          <w:sz w:val="21"/>
          <w:szCs w:val="21"/>
          <w:color w:val="auto"/>
        </w:rPr>
        <w:t>JPMORGAN CHASE BANK, N.A.,</w:t>
      </w:r>
    </w:p>
    <w:p>
      <w:pPr>
        <w:ind w:left="4600"/>
        <w:spacing w:after="0"/>
        <w:rPr>
          <w:sz w:val="20"/>
          <w:szCs w:val="20"/>
          <w:color w:val="auto"/>
        </w:rPr>
      </w:pPr>
      <w:r>
        <w:rPr>
          <w:rFonts w:ascii="Arial" w:cs="Arial" w:eastAsia="Arial" w:hAnsi="Arial"/>
          <w:sz w:val="21"/>
          <w:szCs w:val="21"/>
          <w:color w:val="auto"/>
        </w:rPr>
        <w:t>as Administrative Agent</w:t>
      </w:r>
    </w:p>
    <w:p>
      <w:pPr>
        <w:spacing w:after="0" w:line="180" w:lineRule="exact"/>
        <w:rPr>
          <w:sz w:val="20"/>
          <w:szCs w:val="20"/>
          <w:color w:val="auto"/>
        </w:rPr>
      </w:pPr>
    </w:p>
    <w:p>
      <w:pPr>
        <w:ind w:left="4400"/>
        <w:spacing w:after="0"/>
        <w:rPr>
          <w:sz w:val="20"/>
          <w:szCs w:val="20"/>
          <w:color w:val="auto"/>
        </w:rPr>
      </w:pPr>
      <w:r>
        <w:rPr>
          <w:rFonts w:ascii="Arial" w:cs="Arial" w:eastAsia="Arial" w:hAnsi="Arial"/>
          <w:sz w:val="21"/>
          <w:szCs w:val="21"/>
          <w:color w:val="auto"/>
        </w:rPr>
        <w:t>BANK OF AMERICA, N.A.</w:t>
      </w:r>
    </w:p>
    <w:p>
      <w:pPr>
        <w:jc w:val="center"/>
        <w:ind w:right="-1100"/>
        <w:spacing w:after="0" w:line="210" w:lineRule="auto"/>
        <w:rPr>
          <w:sz w:val="20"/>
          <w:szCs w:val="20"/>
          <w:color w:val="auto"/>
        </w:rPr>
      </w:pPr>
      <w:r>
        <w:rPr>
          <w:rFonts w:ascii="Arial" w:cs="Arial" w:eastAsia="Arial" w:hAnsi="Arial"/>
          <w:sz w:val="21"/>
          <w:szCs w:val="21"/>
          <w:color w:val="auto"/>
        </w:rPr>
        <w:t>and</w:t>
      </w:r>
    </w:p>
    <w:p>
      <w:pPr>
        <w:ind w:left="4580"/>
        <w:spacing w:after="0" w:line="211" w:lineRule="auto"/>
        <w:rPr>
          <w:sz w:val="20"/>
          <w:szCs w:val="20"/>
          <w:color w:val="auto"/>
        </w:rPr>
      </w:pPr>
      <w:r>
        <w:rPr>
          <w:rFonts w:ascii="Arial" w:cs="Arial" w:eastAsia="Arial" w:hAnsi="Arial"/>
          <w:sz w:val="21"/>
          <w:szCs w:val="21"/>
          <w:color w:val="auto"/>
        </w:rPr>
        <w:t>MIZUHO BANK, LTD.,</w:t>
      </w:r>
    </w:p>
    <w:p>
      <w:pPr>
        <w:ind w:left="4520"/>
        <w:spacing w:after="0"/>
        <w:rPr>
          <w:sz w:val="20"/>
          <w:szCs w:val="20"/>
          <w:color w:val="auto"/>
        </w:rPr>
      </w:pPr>
      <w:r>
        <w:rPr>
          <w:rFonts w:ascii="Arial" w:cs="Arial" w:eastAsia="Arial" w:hAnsi="Arial"/>
          <w:sz w:val="21"/>
          <w:szCs w:val="21"/>
          <w:color w:val="auto"/>
        </w:rPr>
        <w:t>as Co-Syndication Agents</w:t>
      </w:r>
    </w:p>
    <w:p>
      <w:pPr>
        <w:spacing w:after="0" w:line="218" w:lineRule="exact"/>
        <w:rPr>
          <w:sz w:val="20"/>
          <w:szCs w:val="20"/>
          <w:color w:val="auto"/>
        </w:rPr>
      </w:pPr>
    </w:p>
    <w:p>
      <w:pPr>
        <w:ind w:left="3660"/>
        <w:spacing w:after="0"/>
        <w:rPr>
          <w:sz w:val="20"/>
          <w:szCs w:val="20"/>
          <w:color w:val="auto"/>
        </w:rPr>
      </w:pPr>
      <w:r>
        <w:rPr>
          <w:rFonts w:ascii="Arial" w:cs="Arial" w:eastAsia="Arial" w:hAnsi="Arial"/>
          <w:sz w:val="21"/>
          <w:szCs w:val="21"/>
          <w:color w:val="auto"/>
        </w:rPr>
        <w:t>_____________________________________</w:t>
      </w:r>
    </w:p>
    <w:p>
      <w:pPr>
        <w:spacing w:after="0" w:line="342"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JPMORGAN CHASE BANK, N.A.,</w:t>
      </w:r>
    </w:p>
    <w:p>
      <w:pPr>
        <w:spacing w:after="0" w:line="28"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BANK OF AMERICA, N.A.,</w:t>
      </w:r>
    </w:p>
    <w:p>
      <w:pPr>
        <w:spacing w:after="0" w:line="11"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and</w:t>
      </w:r>
    </w:p>
    <w:p>
      <w:pPr>
        <w:spacing w:after="0" w:line="22"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MIZUHO BANK, LTD.,</w:t>
      </w:r>
    </w:p>
    <w:p>
      <w:pPr>
        <w:spacing w:after="0" w:line="11"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as Joint Lead Arrangers and Joint Bookrunners</w:t>
      </w:r>
    </w:p>
    <w:p>
      <w:pPr>
        <w:spacing w:after="0" w:line="256" w:lineRule="exact"/>
        <w:rPr>
          <w:sz w:val="20"/>
          <w:szCs w:val="20"/>
          <w:color w:val="auto"/>
        </w:rPr>
      </w:pPr>
    </w:p>
    <w:p>
      <w:pPr>
        <w:ind w:left="3660"/>
        <w:spacing w:after="0"/>
        <w:rPr>
          <w:sz w:val="20"/>
          <w:szCs w:val="20"/>
          <w:color w:val="auto"/>
        </w:rPr>
      </w:pPr>
      <w:r>
        <w:rPr>
          <w:rFonts w:ascii="Arial" w:cs="Arial" w:eastAsia="Arial" w:hAnsi="Arial"/>
          <w:sz w:val="21"/>
          <w:szCs w:val="21"/>
          <w:color w:val="auto"/>
        </w:rPr>
        <w:t>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US-DOCS\</w:t>
      </w:r>
      <w:r>
        <w:rPr>
          <w:rFonts w:ascii="Arial" w:cs="Arial" w:eastAsia="Arial" w:hAnsi="Arial"/>
          <w:sz w:val="14"/>
          <w:szCs w:val="14"/>
          <w:b w:val="1"/>
          <w:bCs w:val="1"/>
          <w:color w:val="FF0000"/>
          <w:strike w:val="1"/>
        </w:rPr>
        <w:t>124345084.11</w:t>
      </w:r>
      <w:r>
        <w:rPr>
          <w:rFonts w:ascii="Arial" w:cs="Arial" w:eastAsia="Arial" w:hAnsi="Arial"/>
          <w:sz w:val="14"/>
          <w:szCs w:val="14"/>
          <w:b w:val="1"/>
          <w:bCs w:val="1"/>
          <w:u w:val="single" w:color="auto"/>
          <w:color w:val="0000FF"/>
        </w:rPr>
        <w:t>140196727.4</w:t>
      </w:r>
    </w:p>
    <w:p>
      <w:pPr>
        <w:sectPr>
          <w:pgSz w:w="11900" w:h="16838" w:orient="portrait"/>
          <w:cols w:equalWidth="0" w:num="1">
            <w:col w:w="10139"/>
          </w:cols>
          <w:pgMar w:left="320" w:top="1417" w:right="1440"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77"/>
        </w:trPr>
        <w:tc>
          <w:tcPr>
            <w:tcW w:w="1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60" w:type="dxa"/>
            <w:vAlign w:val="bottom"/>
            <w:gridSpan w:val="30"/>
          </w:tcPr>
          <w:p>
            <w:pPr>
              <w:ind w:left="20"/>
              <w:spacing w:after="0"/>
              <w:rPr>
                <w:sz w:val="20"/>
                <w:szCs w:val="20"/>
                <w:color w:val="auto"/>
              </w:rPr>
            </w:pPr>
            <w:r>
              <w:rPr>
                <w:rFonts w:ascii="Arial" w:cs="Arial" w:eastAsia="Arial" w:hAnsi="Arial"/>
                <w:sz w:val="21"/>
                <w:szCs w:val="21"/>
                <w:b w:val="1"/>
                <w:bCs w:val="1"/>
                <w:color w:val="auto"/>
              </w:rPr>
              <w:t>TABLE OF CONTENTS</w:t>
            </w:r>
          </w:p>
        </w:tc>
        <w:tc>
          <w:tcPr>
            <w:tcW w:w="0" w:type="dxa"/>
            <w:vAlign w:val="bottom"/>
          </w:tcPr>
          <w:p>
            <w:pPr>
              <w:spacing w:after="0"/>
              <w:rPr>
                <w:sz w:val="1"/>
                <w:szCs w:val="1"/>
                <w:color w:val="auto"/>
              </w:rPr>
            </w:pPr>
          </w:p>
        </w:tc>
      </w:tr>
      <w:tr>
        <w:trPr>
          <w:trHeight w:val="347"/>
        </w:trPr>
        <w:tc>
          <w:tcPr>
            <w:tcW w:w="11240" w:type="dxa"/>
            <w:vAlign w:val="bottom"/>
            <w:gridSpan w:val="59"/>
          </w:tcPr>
          <w:p>
            <w:pPr>
              <w:spacing w:after="0"/>
              <w:rPr>
                <w:sz w:val="20"/>
                <w:szCs w:val="20"/>
                <w:color w:val="auto"/>
              </w:rPr>
            </w:pPr>
            <w:r>
              <w:rPr>
                <w:rFonts w:ascii="Arial" w:cs="Arial" w:eastAsia="Arial" w:hAnsi="Arial"/>
                <w:sz w:val="21"/>
                <w:szCs w:val="21"/>
                <w:b w:val="1"/>
                <w:bCs w:val="1"/>
                <w:color w:val="auto"/>
              </w:rPr>
              <w:t>Page</w:t>
            </w:r>
          </w:p>
        </w:tc>
        <w:tc>
          <w:tcPr>
            <w:tcW w:w="0" w:type="dxa"/>
            <w:vAlign w:val="bottom"/>
          </w:tcPr>
          <w:p>
            <w:pPr>
              <w:spacing w:after="0"/>
              <w:rPr>
                <w:sz w:val="1"/>
                <w:szCs w:val="1"/>
                <w:color w:val="auto"/>
              </w:rPr>
            </w:pPr>
          </w:p>
        </w:tc>
      </w:tr>
      <w:tr>
        <w:trPr>
          <w:trHeight w:val="415"/>
        </w:trPr>
        <w:tc>
          <w:tcPr>
            <w:tcW w:w="5260" w:type="dxa"/>
            <w:vAlign w:val="bottom"/>
            <w:gridSpan w:val="42"/>
          </w:tcPr>
          <w:p>
            <w:pPr>
              <w:spacing w:after="0"/>
              <w:rPr>
                <w:sz w:val="20"/>
                <w:szCs w:val="20"/>
                <w:color w:val="auto"/>
              </w:rPr>
            </w:pPr>
            <w:r>
              <w:rPr>
                <w:rFonts w:ascii="Arial" w:cs="Arial" w:eastAsia="Arial" w:hAnsi="Arial"/>
                <w:sz w:val="21"/>
                <w:szCs w:val="21"/>
                <w:color w:val="auto"/>
              </w:rPr>
              <w:t>ARTICLE I DEFINITIONS AND ACCOUNTING TERMS</w:t>
            </w:r>
          </w:p>
        </w:tc>
        <w:tc>
          <w:tcPr>
            <w:tcW w:w="260" w:type="dxa"/>
            <w:vAlign w:val="bottom"/>
            <w:gridSpan w:val="2"/>
          </w:tcPr>
          <w:p>
            <w:pPr>
              <w:jc w:val="right"/>
              <w:ind w:right="34"/>
              <w:spacing w:after="0"/>
              <w:rPr>
                <w:sz w:val="20"/>
                <w:szCs w:val="20"/>
                <w:color w:val="auto"/>
              </w:rPr>
            </w:pPr>
            <w:r>
              <w:rPr>
                <w:rFonts w:ascii="Arial" w:cs="Arial" w:eastAsia="Arial" w:hAnsi="Arial"/>
                <w:sz w:val="21"/>
                <w:szCs w:val="21"/>
                <w:color w:val="auto"/>
                <w:w w:val="85"/>
              </w:rPr>
              <w:t>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1620" w:type="dxa"/>
            <w:vAlign w:val="bottom"/>
          </w:tcPr>
          <w:p>
            <w:pPr>
              <w:ind w:left="160"/>
              <w:spacing w:after="0"/>
              <w:rPr>
                <w:sz w:val="20"/>
                <w:szCs w:val="20"/>
                <w:color w:val="auto"/>
              </w:rPr>
            </w:pPr>
            <w:r>
              <w:rPr>
                <w:rFonts w:ascii="Arial" w:cs="Arial" w:eastAsia="Arial" w:hAnsi="Arial"/>
                <w:sz w:val="21"/>
                <w:szCs w:val="21"/>
                <w:color w:val="auto"/>
                <w:w w:val="98"/>
              </w:rPr>
              <w:t>SECTION 1.01.</w:t>
            </w:r>
          </w:p>
        </w:tc>
        <w:tc>
          <w:tcPr>
            <w:tcW w:w="1600" w:type="dxa"/>
            <w:vAlign w:val="bottom"/>
            <w:gridSpan w:val="10"/>
          </w:tcPr>
          <w:p>
            <w:pPr>
              <w:ind w:left="100"/>
              <w:spacing w:after="0"/>
              <w:rPr>
                <w:sz w:val="20"/>
                <w:szCs w:val="20"/>
                <w:color w:val="auto"/>
              </w:rPr>
            </w:pPr>
            <w:r>
              <w:rPr>
                <w:rFonts w:ascii="Arial" w:cs="Arial" w:eastAsia="Arial" w:hAnsi="Arial"/>
                <w:sz w:val="21"/>
                <w:szCs w:val="21"/>
                <w:color w:val="auto"/>
              </w:rPr>
              <w:t>Defined Terms</w:t>
            </w:r>
          </w:p>
        </w:tc>
        <w:tc>
          <w:tcPr>
            <w:tcW w:w="100" w:type="dxa"/>
            <w:vAlign w:val="bottom"/>
            <w:gridSpan w:val="2"/>
          </w:tcPr>
          <w:p>
            <w:pPr>
              <w:jc w:val="right"/>
              <w:spacing w:after="0"/>
              <w:rPr>
                <w:sz w:val="20"/>
                <w:szCs w:val="20"/>
                <w:color w:val="auto"/>
              </w:rPr>
            </w:pPr>
            <w:r>
              <w:rPr>
                <w:rFonts w:ascii="Arial" w:cs="Arial" w:eastAsia="Arial" w:hAnsi="Arial"/>
                <w:sz w:val="10"/>
                <w:szCs w:val="10"/>
                <w:color w:val="auto"/>
                <w:w w:val="71"/>
              </w:rPr>
              <w:t>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620" w:type="dxa"/>
            <w:vAlign w:val="bottom"/>
          </w:tcPr>
          <w:p>
            <w:pPr>
              <w:ind w:left="160"/>
              <w:spacing w:after="0"/>
              <w:rPr>
                <w:sz w:val="20"/>
                <w:szCs w:val="20"/>
                <w:color w:val="auto"/>
              </w:rPr>
            </w:pPr>
            <w:r>
              <w:rPr>
                <w:rFonts w:ascii="Arial" w:cs="Arial" w:eastAsia="Arial" w:hAnsi="Arial"/>
                <w:sz w:val="21"/>
                <w:szCs w:val="21"/>
                <w:color w:val="auto"/>
                <w:w w:val="98"/>
              </w:rPr>
              <w:t>SECTION 1.02.</w:t>
            </w:r>
          </w:p>
        </w:tc>
        <w:tc>
          <w:tcPr>
            <w:tcW w:w="2780" w:type="dxa"/>
            <w:vAlign w:val="bottom"/>
            <w:gridSpan w:val="27"/>
          </w:tcPr>
          <w:p>
            <w:pPr>
              <w:ind w:left="100"/>
              <w:spacing w:after="0"/>
              <w:rPr>
                <w:sz w:val="20"/>
                <w:szCs w:val="20"/>
                <w:color w:val="auto"/>
              </w:rPr>
            </w:pPr>
            <w:r>
              <w:rPr>
                <w:rFonts w:ascii="Arial" w:cs="Arial" w:eastAsia="Arial" w:hAnsi="Arial"/>
                <w:sz w:val="21"/>
                <w:szCs w:val="21"/>
                <w:color w:val="auto"/>
                <w:w w:val="99"/>
              </w:rPr>
              <w:t>Other Interpretive Provisions</w:t>
            </w:r>
          </w:p>
        </w:tc>
        <w:tc>
          <w:tcPr>
            <w:tcW w:w="200" w:type="dxa"/>
            <w:vAlign w:val="bottom"/>
            <w:gridSpan w:val="3"/>
          </w:tcPr>
          <w:p>
            <w:pPr>
              <w:jc w:val="right"/>
              <w:spacing w:after="0"/>
              <w:rPr>
                <w:sz w:val="20"/>
                <w:szCs w:val="20"/>
                <w:color w:val="auto"/>
              </w:rPr>
            </w:pPr>
            <w:r>
              <w:rPr>
                <w:rFonts w:ascii="Arial" w:cs="Arial" w:eastAsia="Arial" w:hAnsi="Arial"/>
                <w:sz w:val="21"/>
                <w:szCs w:val="21"/>
                <w:b w:val="1"/>
                <w:bCs w:val="1"/>
                <w:color w:val="FF0000"/>
                <w:strike w:val="1"/>
                <w:w w:val="76"/>
              </w:rPr>
              <w:t>36</w:t>
            </w:r>
          </w:p>
        </w:tc>
        <w:tc>
          <w:tcPr>
            <w:tcW w:w="240" w:type="dxa"/>
            <w:vAlign w:val="bottom"/>
            <w:gridSpan w:val="4"/>
          </w:tcPr>
          <w:p>
            <w:pPr>
              <w:jc w:val="right"/>
              <w:ind w:right="20"/>
              <w:spacing w:after="0"/>
              <w:rPr>
                <w:sz w:val="20"/>
                <w:szCs w:val="20"/>
                <w:color w:val="auto"/>
              </w:rPr>
            </w:pPr>
            <w:r>
              <w:rPr>
                <w:rFonts w:ascii="Arial" w:cs="Arial" w:eastAsia="Arial" w:hAnsi="Arial"/>
                <w:sz w:val="21"/>
                <w:szCs w:val="21"/>
                <w:b w:val="1"/>
                <w:bCs w:val="1"/>
                <w:color w:val="0000FF"/>
                <w:w w:val="85"/>
              </w:rPr>
              <w:t>38</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 w:type="dxa"/>
            <w:vAlign w:val="bottom"/>
          </w:tcPr>
          <w:p>
            <w:pPr>
              <w:spacing w:after="0"/>
              <w:rPr>
                <w:sz w:val="23"/>
                <w:szCs w:val="23"/>
                <w:color w:val="auto"/>
              </w:rPr>
            </w:pPr>
          </w:p>
        </w:tc>
        <w:tc>
          <w:tcPr>
            <w:tcW w:w="5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8"/>
        </w:trPr>
        <w:tc>
          <w:tcPr>
            <w:tcW w:w="1620" w:type="dxa"/>
            <w:vAlign w:val="bottom"/>
          </w:tcPr>
          <w:p>
            <w:pPr>
              <w:ind w:left="160"/>
              <w:spacing w:after="0"/>
              <w:rPr>
                <w:sz w:val="20"/>
                <w:szCs w:val="20"/>
                <w:color w:val="auto"/>
              </w:rPr>
            </w:pPr>
            <w:r>
              <w:rPr>
                <w:rFonts w:ascii="Arial" w:cs="Arial" w:eastAsia="Arial" w:hAnsi="Arial"/>
                <w:sz w:val="21"/>
                <w:szCs w:val="21"/>
                <w:color w:val="auto"/>
                <w:w w:val="98"/>
              </w:rPr>
              <w:t>SECTION 1.03.</w:t>
            </w:r>
          </w:p>
        </w:tc>
        <w:tc>
          <w:tcPr>
            <w:tcW w:w="1780" w:type="dxa"/>
            <w:vAlign w:val="bottom"/>
            <w:gridSpan w:val="13"/>
          </w:tcPr>
          <w:p>
            <w:pPr>
              <w:ind w:left="100"/>
              <w:spacing w:after="0"/>
              <w:rPr>
                <w:sz w:val="20"/>
                <w:szCs w:val="20"/>
                <w:color w:val="auto"/>
              </w:rPr>
            </w:pPr>
            <w:r>
              <w:rPr>
                <w:rFonts w:ascii="Arial" w:cs="Arial" w:eastAsia="Arial" w:hAnsi="Arial"/>
                <w:sz w:val="21"/>
                <w:szCs w:val="21"/>
                <w:color w:val="auto"/>
                <w:w w:val="98"/>
              </w:rPr>
              <w:t>Accounting Terms</w:t>
            </w:r>
          </w:p>
        </w:tc>
        <w:tc>
          <w:tcPr>
            <w:tcW w:w="40" w:type="dxa"/>
            <w:vAlign w:val="bottom"/>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Arial" w:cs="Arial" w:eastAsia="Arial" w:hAnsi="Arial"/>
                <w:sz w:val="21"/>
                <w:szCs w:val="21"/>
                <w:b w:val="1"/>
                <w:bCs w:val="1"/>
                <w:color w:val="FF0000"/>
                <w:strike w:val="1"/>
              </w:rPr>
              <w:t>37</w:t>
            </w:r>
          </w:p>
        </w:tc>
        <w:tc>
          <w:tcPr>
            <w:tcW w:w="160" w:type="dxa"/>
            <w:vAlign w:val="bottom"/>
            <w:tcBorders>
              <w:bottom w:val="single" w:sz="8" w:color="0000FF"/>
            </w:tcBorders>
            <w:gridSpan w:val="3"/>
          </w:tcPr>
          <w:p>
            <w:pPr>
              <w:spacing w:after="0"/>
              <w:rPr>
                <w:sz w:val="20"/>
                <w:szCs w:val="20"/>
                <w:color w:val="auto"/>
              </w:rPr>
            </w:pPr>
            <w:r>
              <w:rPr>
                <w:rFonts w:ascii="Arial" w:cs="Arial" w:eastAsia="Arial" w:hAnsi="Arial"/>
                <w:sz w:val="17"/>
                <w:szCs w:val="17"/>
                <w:b w:val="1"/>
                <w:bCs w:val="1"/>
                <w:color w:val="0000FF"/>
                <w:w w:val="73"/>
              </w:rPr>
              <w:t>39</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vMerge w:val="restart"/>
          </w:tcPr>
          <w:p>
            <w:pPr>
              <w:jc w:val="right"/>
              <w:spacing w:after="0"/>
              <w:rPr>
                <w:sz w:val="20"/>
                <w:szCs w:val="20"/>
                <w:color w:val="auto"/>
              </w:rPr>
            </w:pPr>
            <w:r>
              <w:rPr>
                <w:rFonts w:ascii="Arial" w:cs="Arial" w:eastAsia="Arial" w:hAnsi="Arial"/>
                <w:sz w:val="21"/>
                <w:szCs w:val="21"/>
                <w:b w:val="1"/>
                <w:bCs w:val="1"/>
                <w:color w:val="FF0000"/>
                <w:strike w:val="1"/>
                <w:w w:val="76"/>
              </w:rPr>
              <w:t>38</w:t>
            </w:r>
          </w:p>
        </w:tc>
        <w:tc>
          <w:tcPr>
            <w:tcW w:w="280" w:type="dxa"/>
            <w:vAlign w:val="bottom"/>
            <w:gridSpan w:val="3"/>
            <w:vMerge w:val="restart"/>
          </w:tcPr>
          <w:p>
            <w:pPr>
              <w:jc w:val="right"/>
              <w:ind w:right="60"/>
              <w:spacing w:after="0"/>
              <w:rPr>
                <w:sz w:val="20"/>
                <w:szCs w:val="20"/>
                <w:color w:val="auto"/>
              </w:rPr>
            </w:pPr>
            <w:r>
              <w:rPr>
                <w:rFonts w:ascii="Arial" w:cs="Arial" w:eastAsia="Arial" w:hAnsi="Arial"/>
                <w:sz w:val="21"/>
                <w:szCs w:val="21"/>
                <w:b w:val="1"/>
                <w:bCs w:val="1"/>
                <w:color w:val="0000FF"/>
                <w:w w:val="85"/>
              </w:rPr>
              <w:t>40</w:t>
            </w:r>
          </w:p>
        </w:tc>
        <w:tc>
          <w:tcPr>
            <w:tcW w:w="13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620" w:type="dxa"/>
            <w:vAlign w:val="bottom"/>
          </w:tcPr>
          <w:p>
            <w:pPr>
              <w:ind w:left="160"/>
              <w:spacing w:after="0"/>
              <w:rPr>
                <w:sz w:val="20"/>
                <w:szCs w:val="20"/>
                <w:color w:val="auto"/>
              </w:rPr>
            </w:pPr>
            <w:r>
              <w:rPr>
                <w:rFonts w:ascii="Arial" w:cs="Arial" w:eastAsia="Arial" w:hAnsi="Arial"/>
                <w:sz w:val="21"/>
                <w:szCs w:val="21"/>
                <w:color w:val="auto"/>
                <w:w w:val="98"/>
              </w:rPr>
              <w:t>SECTION 1.04.</w:t>
            </w:r>
          </w:p>
        </w:tc>
        <w:tc>
          <w:tcPr>
            <w:tcW w:w="3640" w:type="dxa"/>
            <w:vAlign w:val="bottom"/>
            <w:gridSpan w:val="41"/>
          </w:tcPr>
          <w:p>
            <w:pPr>
              <w:ind w:left="100"/>
              <w:spacing w:after="0"/>
              <w:rPr>
                <w:sz w:val="20"/>
                <w:szCs w:val="20"/>
                <w:color w:val="auto"/>
              </w:rPr>
            </w:pPr>
            <w:r>
              <w:rPr>
                <w:rFonts w:ascii="Arial" w:cs="Arial" w:eastAsia="Arial" w:hAnsi="Arial"/>
                <w:sz w:val="21"/>
                <w:szCs w:val="21"/>
                <w:color w:val="auto"/>
                <w:w w:val="95"/>
              </w:rPr>
              <w:t>Exchange Rates; US Dollar Equivalents</w:t>
            </w:r>
          </w:p>
        </w:tc>
        <w:tc>
          <w:tcPr>
            <w:tcW w:w="60" w:type="dxa"/>
            <w:vAlign w:val="bottom"/>
          </w:tcPr>
          <w:p>
            <w:pPr>
              <w:spacing w:after="0"/>
              <w:rPr>
                <w:sz w:val="24"/>
                <w:szCs w:val="24"/>
                <w:color w:val="auto"/>
              </w:rPr>
            </w:pPr>
          </w:p>
        </w:tc>
        <w:tc>
          <w:tcPr>
            <w:tcW w:w="200" w:type="dxa"/>
            <w:vAlign w:val="bottom"/>
            <w:vMerge w:val="continue"/>
          </w:tcPr>
          <w:p>
            <w:pPr>
              <w:spacing w:after="0"/>
              <w:rPr>
                <w:sz w:val="24"/>
                <w:szCs w:val="24"/>
                <w:color w:val="auto"/>
              </w:rPr>
            </w:pPr>
          </w:p>
        </w:tc>
        <w:tc>
          <w:tcPr>
            <w:tcW w:w="280" w:type="dxa"/>
            <w:vAlign w:val="bottom"/>
            <w:gridSpan w:val="3"/>
            <w:vMerge w:val="continue"/>
          </w:tcPr>
          <w:p>
            <w:pPr>
              <w:spacing w:after="0"/>
              <w:rPr>
                <w:sz w:val="24"/>
                <w:szCs w:val="24"/>
                <w:color w:val="auto"/>
              </w:rPr>
            </w:pPr>
          </w:p>
        </w:tc>
        <w:tc>
          <w:tcPr>
            <w:tcW w:w="13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620" w:type="dxa"/>
            <w:vAlign w:val="bottom"/>
          </w:tcPr>
          <w:p>
            <w:pPr>
              <w:ind w:left="160"/>
              <w:spacing w:after="0"/>
              <w:rPr>
                <w:sz w:val="20"/>
                <w:szCs w:val="20"/>
                <w:color w:val="auto"/>
              </w:rPr>
            </w:pPr>
            <w:r>
              <w:rPr>
                <w:rFonts w:ascii="Arial" w:cs="Arial" w:eastAsia="Arial" w:hAnsi="Arial"/>
                <w:sz w:val="21"/>
                <w:szCs w:val="21"/>
                <w:color w:val="auto"/>
                <w:w w:val="98"/>
              </w:rPr>
              <w:t>SECTION 1.05.</w:t>
            </w:r>
          </w:p>
        </w:tc>
        <w:tc>
          <w:tcPr>
            <w:tcW w:w="2980" w:type="dxa"/>
            <w:vAlign w:val="bottom"/>
            <w:gridSpan w:val="30"/>
          </w:tcPr>
          <w:p>
            <w:pPr>
              <w:ind w:left="100"/>
              <w:spacing w:after="0"/>
              <w:rPr>
                <w:sz w:val="20"/>
                <w:szCs w:val="20"/>
                <w:color w:val="auto"/>
              </w:rPr>
            </w:pPr>
            <w:r>
              <w:rPr>
                <w:rFonts w:ascii="Arial" w:cs="Arial" w:eastAsia="Arial" w:hAnsi="Arial"/>
                <w:sz w:val="21"/>
                <w:szCs w:val="21"/>
                <w:color w:val="auto"/>
                <w:w w:val="93"/>
              </w:rPr>
              <w:t>Additional Alternative Currencies</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gridSpan w:val="5"/>
          </w:tcPr>
          <w:p>
            <w:pPr>
              <w:jc w:val="right"/>
              <w:spacing w:after="0"/>
              <w:rPr>
                <w:sz w:val="20"/>
                <w:szCs w:val="20"/>
                <w:color w:val="auto"/>
              </w:rPr>
            </w:pPr>
            <w:r>
              <w:rPr>
                <w:rFonts w:ascii="Arial" w:cs="Arial" w:eastAsia="Arial" w:hAnsi="Arial"/>
                <w:sz w:val="21"/>
                <w:szCs w:val="21"/>
                <w:b w:val="1"/>
                <w:bCs w:val="1"/>
                <w:color w:val="FF0000"/>
                <w:strike w:val="1"/>
                <w:w w:val="93"/>
              </w:rPr>
              <w:t>38</w:t>
            </w:r>
          </w:p>
        </w:tc>
        <w:tc>
          <w:tcPr>
            <w:tcW w:w="260" w:type="dxa"/>
            <w:vAlign w:val="bottom"/>
            <w:gridSpan w:val="4"/>
          </w:tcPr>
          <w:p>
            <w:pPr>
              <w:jc w:val="right"/>
              <w:ind w:right="40"/>
              <w:spacing w:after="0"/>
              <w:rPr>
                <w:sz w:val="20"/>
                <w:szCs w:val="20"/>
                <w:color w:val="auto"/>
              </w:rPr>
            </w:pPr>
            <w:r>
              <w:rPr>
                <w:rFonts w:ascii="Arial" w:cs="Arial" w:eastAsia="Arial" w:hAnsi="Arial"/>
                <w:sz w:val="21"/>
                <w:szCs w:val="21"/>
                <w:b w:val="1"/>
                <w:bCs w:val="1"/>
                <w:color w:val="0000FF"/>
                <w:w w:val="85"/>
              </w:rPr>
              <w:t>40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620" w:type="dxa"/>
            <w:vAlign w:val="bottom"/>
          </w:tcPr>
          <w:p>
            <w:pPr>
              <w:ind w:left="160"/>
              <w:spacing w:after="0"/>
              <w:rPr>
                <w:sz w:val="20"/>
                <w:szCs w:val="20"/>
                <w:color w:val="auto"/>
              </w:rPr>
            </w:pPr>
            <w:r>
              <w:rPr>
                <w:rFonts w:ascii="Arial" w:cs="Arial" w:eastAsia="Arial" w:hAnsi="Arial"/>
                <w:sz w:val="21"/>
                <w:szCs w:val="21"/>
                <w:color w:val="auto"/>
                <w:w w:val="98"/>
              </w:rPr>
              <w:t>SECTION 1.06.</w:t>
            </w:r>
          </w:p>
        </w:tc>
        <w:tc>
          <w:tcPr>
            <w:tcW w:w="1120" w:type="dxa"/>
            <w:vAlign w:val="bottom"/>
            <w:gridSpan w:val="5"/>
          </w:tcPr>
          <w:p>
            <w:pPr>
              <w:ind w:left="100"/>
              <w:spacing w:after="0"/>
              <w:rPr>
                <w:sz w:val="20"/>
                <w:szCs w:val="20"/>
                <w:color w:val="auto"/>
              </w:rPr>
            </w:pPr>
            <w:r>
              <w:rPr>
                <w:rFonts w:ascii="Arial" w:cs="Arial" w:eastAsia="Arial" w:hAnsi="Arial"/>
                <w:sz w:val="21"/>
                <w:szCs w:val="21"/>
                <w:color w:val="auto"/>
              </w:rPr>
              <w:t>Divisions</w:t>
            </w:r>
          </w:p>
        </w:tc>
        <w:tc>
          <w:tcPr>
            <w:tcW w:w="280" w:type="dxa"/>
            <w:vAlign w:val="bottom"/>
            <w:gridSpan w:val="3"/>
          </w:tcPr>
          <w:p>
            <w:pPr>
              <w:jc w:val="right"/>
              <w:ind w:right="80"/>
              <w:spacing w:after="0"/>
              <w:rPr>
                <w:sz w:val="20"/>
                <w:szCs w:val="20"/>
                <w:color w:val="auto"/>
              </w:rPr>
            </w:pPr>
            <w:r>
              <w:rPr>
                <w:rFonts w:ascii="Arial" w:cs="Arial" w:eastAsia="Arial" w:hAnsi="Arial"/>
                <w:sz w:val="21"/>
                <w:szCs w:val="21"/>
                <w:b w:val="1"/>
                <w:bCs w:val="1"/>
                <w:color w:val="FF0000"/>
                <w:strike w:val="1"/>
                <w:w w:val="76"/>
              </w:rPr>
              <w:t>39</w:t>
            </w:r>
          </w:p>
        </w:tc>
        <w:tc>
          <w:tcPr>
            <w:tcW w:w="200" w:type="dxa"/>
            <w:vAlign w:val="bottom"/>
            <w:gridSpan w:val="2"/>
          </w:tcPr>
          <w:p>
            <w:pPr>
              <w:jc w:val="right"/>
              <w:ind w:right="60"/>
              <w:spacing w:after="0"/>
              <w:rPr>
                <w:sz w:val="20"/>
                <w:szCs w:val="20"/>
                <w:color w:val="auto"/>
              </w:rPr>
            </w:pPr>
            <w:r>
              <w:rPr>
                <w:rFonts w:ascii="Arial" w:cs="Arial" w:eastAsia="Arial" w:hAnsi="Arial"/>
                <w:sz w:val="15"/>
                <w:szCs w:val="15"/>
                <w:b w:val="1"/>
                <w:bCs w:val="1"/>
                <w:color w:val="0000FF"/>
                <w:w w:val="71"/>
              </w:rPr>
              <w:t>41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gridSpan w:val="3"/>
            <w:vMerge w:val="restart"/>
          </w:tcPr>
          <w:p>
            <w:pPr>
              <w:jc w:val="right"/>
              <w:spacing w:after="0"/>
              <w:rPr>
                <w:sz w:val="20"/>
                <w:szCs w:val="20"/>
                <w:color w:val="auto"/>
              </w:rPr>
            </w:pPr>
            <w:r>
              <w:rPr>
                <w:rFonts w:ascii="Arial" w:cs="Arial" w:eastAsia="Arial" w:hAnsi="Arial"/>
                <w:sz w:val="21"/>
                <w:szCs w:val="21"/>
                <w:b w:val="1"/>
                <w:bCs w:val="1"/>
                <w:color w:val="FF0000"/>
                <w:strike w:val="1"/>
                <w:w w:val="85"/>
              </w:rPr>
              <w:t>39</w:t>
            </w:r>
          </w:p>
        </w:tc>
        <w:tc>
          <w:tcPr>
            <w:tcW w:w="280" w:type="dxa"/>
            <w:vAlign w:val="bottom"/>
            <w:gridSpan w:val="4"/>
            <w:vMerge w:val="restart"/>
          </w:tcPr>
          <w:p>
            <w:pPr>
              <w:jc w:val="right"/>
              <w:spacing w:after="0"/>
              <w:rPr>
                <w:sz w:val="20"/>
                <w:szCs w:val="20"/>
                <w:color w:val="auto"/>
              </w:rPr>
            </w:pPr>
            <w:r>
              <w:rPr>
                <w:rFonts w:ascii="Arial" w:cs="Arial" w:eastAsia="Arial" w:hAnsi="Arial"/>
                <w:sz w:val="21"/>
                <w:szCs w:val="21"/>
                <w:b w:val="1"/>
                <w:bCs w:val="1"/>
                <w:color w:val="0000FF"/>
                <w:w w:val="76"/>
              </w:rPr>
              <w:t>41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vMerge w:val="continue"/>
          </w:tcPr>
          <w:p>
            <w:pPr>
              <w:spacing w:after="0" w:line="20" w:lineRule="exact"/>
              <w:rPr>
                <w:sz w:val="1"/>
                <w:szCs w:val="1"/>
                <w:color w:val="auto"/>
              </w:rPr>
            </w:pPr>
          </w:p>
        </w:tc>
        <w:tc>
          <w:tcPr>
            <w:tcW w:w="28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5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1620" w:type="dxa"/>
            <w:vAlign w:val="bottom"/>
          </w:tcPr>
          <w:p>
            <w:pPr>
              <w:ind w:left="160"/>
              <w:spacing w:after="0"/>
              <w:rPr>
                <w:sz w:val="20"/>
                <w:szCs w:val="20"/>
                <w:color w:val="auto"/>
              </w:rPr>
            </w:pPr>
            <w:r>
              <w:rPr>
                <w:rFonts w:ascii="Arial" w:cs="Arial" w:eastAsia="Arial" w:hAnsi="Arial"/>
                <w:sz w:val="21"/>
                <w:szCs w:val="21"/>
                <w:color w:val="auto"/>
                <w:w w:val="98"/>
              </w:rPr>
              <w:t>SECTION 1.07.</w:t>
            </w:r>
          </w:p>
        </w:tc>
        <w:tc>
          <w:tcPr>
            <w:tcW w:w="2440" w:type="dxa"/>
            <w:vAlign w:val="bottom"/>
            <w:gridSpan w:val="22"/>
          </w:tcPr>
          <w:p>
            <w:pPr>
              <w:ind w:left="100"/>
              <w:spacing w:after="0"/>
              <w:rPr>
                <w:sz w:val="20"/>
                <w:szCs w:val="20"/>
                <w:color w:val="auto"/>
              </w:rPr>
            </w:pPr>
            <w:r>
              <w:rPr>
                <w:rFonts w:ascii="Arial" w:cs="Arial" w:eastAsia="Arial" w:hAnsi="Arial"/>
                <w:sz w:val="21"/>
                <w:szCs w:val="21"/>
                <w:color w:val="auto"/>
              </w:rPr>
              <w:t>Letter of Credit Amounts</w:t>
            </w:r>
          </w:p>
        </w:tc>
        <w:tc>
          <w:tcPr>
            <w:tcW w:w="220" w:type="dxa"/>
            <w:vAlign w:val="bottom"/>
            <w:gridSpan w:val="3"/>
            <w:vMerge w:val="continue"/>
          </w:tcPr>
          <w:p>
            <w:pPr>
              <w:spacing w:after="0"/>
              <w:rPr>
                <w:sz w:val="24"/>
                <w:szCs w:val="24"/>
                <w:color w:val="auto"/>
              </w:rPr>
            </w:pPr>
          </w:p>
        </w:tc>
        <w:tc>
          <w:tcPr>
            <w:tcW w:w="280" w:type="dxa"/>
            <w:vAlign w:val="bottom"/>
            <w:gridSpan w:val="4"/>
            <w:vMerge w:val="continue"/>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620" w:type="dxa"/>
            <w:vAlign w:val="bottom"/>
          </w:tcPr>
          <w:p>
            <w:pPr>
              <w:ind w:left="160"/>
              <w:spacing w:after="0"/>
              <w:rPr>
                <w:sz w:val="20"/>
                <w:szCs w:val="20"/>
                <w:color w:val="auto"/>
              </w:rPr>
            </w:pPr>
            <w:r>
              <w:rPr>
                <w:rFonts w:ascii="Arial" w:cs="Arial" w:eastAsia="Arial" w:hAnsi="Arial"/>
                <w:sz w:val="21"/>
                <w:szCs w:val="21"/>
                <w:color w:val="auto"/>
                <w:w w:val="98"/>
              </w:rPr>
              <w:t>SECTION 1.08.</w:t>
            </w:r>
          </w:p>
        </w:tc>
        <w:tc>
          <w:tcPr>
            <w:tcW w:w="1120" w:type="dxa"/>
            <w:vAlign w:val="bottom"/>
            <w:gridSpan w:val="5"/>
          </w:tcPr>
          <w:p>
            <w:pPr>
              <w:ind w:left="100"/>
              <w:spacing w:after="0"/>
              <w:rPr>
                <w:sz w:val="20"/>
                <w:szCs w:val="20"/>
                <w:color w:val="auto"/>
              </w:rPr>
            </w:pPr>
            <w:r>
              <w:rPr>
                <w:rFonts w:ascii="Arial" w:cs="Arial" w:eastAsia="Arial" w:hAnsi="Arial"/>
                <w:sz w:val="21"/>
                <w:szCs w:val="21"/>
                <w:color w:val="auto"/>
              </w:rPr>
              <w:t>Rounding</w:t>
            </w:r>
          </w:p>
        </w:tc>
        <w:tc>
          <w:tcPr>
            <w:tcW w:w="280" w:type="dxa"/>
            <w:vAlign w:val="bottom"/>
            <w:gridSpan w:val="3"/>
          </w:tcPr>
          <w:p>
            <w:pPr>
              <w:jc w:val="center"/>
              <w:ind w:right="20"/>
              <w:spacing w:after="0"/>
              <w:rPr>
                <w:sz w:val="20"/>
                <w:szCs w:val="20"/>
                <w:color w:val="auto"/>
              </w:rPr>
            </w:pPr>
            <w:r>
              <w:rPr>
                <w:rFonts w:ascii="Arial" w:cs="Arial" w:eastAsia="Arial" w:hAnsi="Arial"/>
                <w:sz w:val="21"/>
                <w:szCs w:val="21"/>
                <w:b w:val="1"/>
                <w:bCs w:val="1"/>
                <w:color w:val="FF0000"/>
                <w:strike w:val="1"/>
                <w:w w:val="93"/>
              </w:rPr>
              <w:t>40</w:t>
            </w:r>
          </w:p>
        </w:tc>
        <w:tc>
          <w:tcPr>
            <w:tcW w:w="200" w:type="dxa"/>
            <w:vAlign w:val="bottom"/>
            <w:tcBorders>
              <w:bottom w:val="single" w:sz="8" w:color="0000FF"/>
            </w:tcBorders>
            <w:gridSpan w:val="2"/>
          </w:tcPr>
          <w:p>
            <w:pPr>
              <w:jc w:val="right"/>
              <w:ind w:right="40"/>
              <w:spacing w:after="0"/>
              <w:rPr>
                <w:sz w:val="20"/>
                <w:szCs w:val="20"/>
                <w:color w:val="auto"/>
              </w:rPr>
            </w:pPr>
            <w:r>
              <w:rPr>
                <w:rFonts w:ascii="Arial" w:cs="Arial" w:eastAsia="Arial" w:hAnsi="Arial"/>
                <w:sz w:val="17"/>
                <w:szCs w:val="17"/>
                <w:b w:val="1"/>
                <w:bCs w:val="1"/>
                <w:color w:val="0000FF"/>
                <w:w w:val="73"/>
              </w:rPr>
              <w:t>41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620" w:type="dxa"/>
            <w:vAlign w:val="bottom"/>
          </w:tcPr>
          <w:p>
            <w:pPr>
              <w:ind w:left="160"/>
              <w:spacing w:after="0"/>
              <w:rPr>
                <w:sz w:val="20"/>
                <w:szCs w:val="20"/>
                <w:color w:val="auto"/>
              </w:rPr>
            </w:pPr>
            <w:r>
              <w:rPr>
                <w:rFonts w:ascii="Arial" w:cs="Arial" w:eastAsia="Arial" w:hAnsi="Arial"/>
                <w:sz w:val="21"/>
                <w:szCs w:val="21"/>
                <w:color w:val="auto"/>
                <w:w w:val="98"/>
              </w:rPr>
              <w:t>SECTION 1.09.</w:t>
            </w:r>
          </w:p>
        </w:tc>
        <w:tc>
          <w:tcPr>
            <w:tcW w:w="1400" w:type="dxa"/>
            <w:vAlign w:val="bottom"/>
            <w:gridSpan w:val="8"/>
          </w:tcPr>
          <w:p>
            <w:pPr>
              <w:ind w:left="100"/>
              <w:spacing w:after="0"/>
              <w:rPr>
                <w:sz w:val="20"/>
                <w:szCs w:val="20"/>
                <w:color w:val="auto"/>
              </w:rPr>
            </w:pPr>
            <w:r>
              <w:rPr>
                <w:rFonts w:ascii="Arial" w:cs="Arial" w:eastAsia="Arial" w:hAnsi="Arial"/>
                <w:sz w:val="21"/>
                <w:szCs w:val="21"/>
                <w:color w:val="auto"/>
                <w:w w:val="92"/>
              </w:rPr>
              <w:t>Interest Rates;</w:t>
            </w:r>
          </w:p>
        </w:tc>
        <w:tc>
          <w:tcPr>
            <w:tcW w:w="740" w:type="dxa"/>
            <w:vAlign w:val="bottom"/>
            <w:gridSpan w:val="9"/>
          </w:tcPr>
          <w:p>
            <w:pPr>
              <w:jc w:val="center"/>
              <w:spacing w:after="0"/>
              <w:rPr>
                <w:sz w:val="20"/>
                <w:szCs w:val="20"/>
                <w:color w:val="auto"/>
              </w:rPr>
            </w:pPr>
            <w:r>
              <w:rPr>
                <w:rFonts w:ascii="Arial" w:cs="Arial" w:eastAsia="Arial" w:hAnsi="Arial"/>
                <w:sz w:val="21"/>
                <w:szCs w:val="21"/>
                <w:b w:val="1"/>
                <w:bCs w:val="1"/>
                <w:color w:val="FF0000"/>
                <w:strike w:val="1"/>
                <w:w w:val="97"/>
              </w:rPr>
              <w:t>LIBOR</w:t>
            </w:r>
          </w:p>
        </w:tc>
        <w:tc>
          <w:tcPr>
            <w:tcW w:w="2170" w:type="dxa"/>
            <w:vAlign w:val="bottom"/>
            <w:gridSpan w:val="30"/>
          </w:tcPr>
          <w:p>
            <w:pPr>
              <w:spacing w:after="0"/>
              <w:rPr>
                <w:sz w:val="20"/>
                <w:szCs w:val="20"/>
                <w:color w:val="auto"/>
              </w:rPr>
            </w:pPr>
            <w:r>
              <w:rPr>
                <w:rFonts w:ascii="Arial" w:cs="Arial" w:eastAsia="Arial" w:hAnsi="Arial"/>
                <w:sz w:val="21"/>
                <w:szCs w:val="21"/>
                <w:b w:val="1"/>
                <w:bCs w:val="1"/>
                <w:color w:val="0000FF"/>
                <w:w w:val="96"/>
              </w:rPr>
              <w:t xml:space="preserve">Benchmark </w:t>
            </w:r>
            <w:r>
              <w:rPr>
                <w:rFonts w:ascii="Arial" w:cs="Arial" w:eastAsia="Arial" w:hAnsi="Arial"/>
                <w:sz w:val="21"/>
                <w:szCs w:val="21"/>
                <w:color w:val="000000"/>
                <w:w w:val="96"/>
              </w:rPr>
              <w:t>Notification</w:t>
            </w:r>
          </w:p>
        </w:tc>
        <w:tc>
          <w:tcPr>
            <w:tcW w:w="5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21"/>
                <w:szCs w:val="21"/>
                <w:b w:val="1"/>
                <w:bCs w:val="1"/>
                <w:color w:val="FF0000"/>
                <w:strike w:val="1"/>
                <w:w w:val="93"/>
              </w:rPr>
              <w:t>40</w:t>
            </w:r>
          </w:p>
        </w:tc>
        <w:tc>
          <w:tcPr>
            <w:tcW w:w="260" w:type="dxa"/>
            <w:vAlign w:val="bottom"/>
            <w:gridSpan w:val="3"/>
          </w:tcPr>
          <w:p>
            <w:pPr>
              <w:jc w:val="right"/>
              <w:ind w:right="40"/>
              <w:spacing w:after="0"/>
              <w:rPr>
                <w:sz w:val="20"/>
                <w:szCs w:val="20"/>
                <w:color w:val="auto"/>
              </w:rPr>
            </w:pPr>
            <w:r>
              <w:rPr>
                <w:rFonts w:ascii="Arial" w:cs="Arial" w:eastAsia="Arial" w:hAnsi="Arial"/>
                <w:sz w:val="21"/>
                <w:szCs w:val="21"/>
                <w:b w:val="1"/>
                <w:bCs w:val="1"/>
                <w:color w:val="0000FF"/>
                <w:w w:val="85"/>
              </w:rPr>
              <w:t>41</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5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930" w:type="dxa"/>
            <w:vAlign w:val="bottom"/>
            <w:gridSpan w:val="48"/>
          </w:tcPr>
          <w:p>
            <w:pPr>
              <w:spacing w:after="0"/>
              <w:rPr>
                <w:sz w:val="20"/>
                <w:szCs w:val="20"/>
                <w:color w:val="auto"/>
              </w:rPr>
            </w:pPr>
            <w:r>
              <w:rPr>
                <w:rFonts w:ascii="Arial" w:cs="Arial" w:eastAsia="Arial" w:hAnsi="Arial"/>
                <w:sz w:val="21"/>
                <w:szCs w:val="21"/>
                <w:color w:val="auto"/>
                <w:w w:val="99"/>
              </w:rPr>
              <w:t>ARTICLE II THE COMMITMENTS AND CREDIT EXTENSIONS</w:t>
            </w:r>
          </w:p>
        </w:tc>
        <w:tc>
          <w:tcPr>
            <w:tcW w:w="5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1"/>
                <w:szCs w:val="21"/>
                <w:b w:val="1"/>
                <w:bCs w:val="1"/>
                <w:color w:val="FF0000"/>
                <w:strike w:val="1"/>
              </w:rPr>
              <w:t>41</w:t>
            </w: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21"/>
                <w:szCs w:val="21"/>
                <w:b w:val="1"/>
                <w:bCs w:val="1"/>
                <w:color w:val="0000FF"/>
              </w:rPr>
              <w:t>42</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1620" w:type="dxa"/>
            <w:vAlign w:val="bottom"/>
          </w:tcPr>
          <w:p>
            <w:pPr>
              <w:ind w:left="160"/>
              <w:spacing w:after="0"/>
              <w:rPr>
                <w:sz w:val="20"/>
                <w:szCs w:val="20"/>
                <w:color w:val="auto"/>
              </w:rPr>
            </w:pPr>
            <w:r>
              <w:rPr>
                <w:rFonts w:ascii="Arial" w:cs="Arial" w:eastAsia="Arial" w:hAnsi="Arial"/>
                <w:sz w:val="21"/>
                <w:szCs w:val="21"/>
                <w:color w:val="auto"/>
                <w:w w:val="98"/>
              </w:rPr>
              <w:t>SECTION 2.01.</w:t>
            </w:r>
          </w:p>
        </w:tc>
        <w:tc>
          <w:tcPr>
            <w:tcW w:w="1780" w:type="dxa"/>
            <w:vAlign w:val="bottom"/>
            <w:gridSpan w:val="13"/>
          </w:tcPr>
          <w:p>
            <w:pPr>
              <w:ind w:left="100"/>
              <w:spacing w:after="0"/>
              <w:rPr>
                <w:sz w:val="20"/>
                <w:szCs w:val="20"/>
                <w:color w:val="auto"/>
              </w:rPr>
            </w:pPr>
            <w:r>
              <w:rPr>
                <w:rFonts w:ascii="Arial" w:cs="Arial" w:eastAsia="Arial" w:hAnsi="Arial"/>
                <w:sz w:val="21"/>
                <w:szCs w:val="21"/>
                <w:color w:val="auto"/>
              </w:rPr>
              <w:t>Committed Loans</w:t>
            </w:r>
          </w:p>
        </w:tc>
        <w:tc>
          <w:tcPr>
            <w:tcW w:w="40" w:type="dxa"/>
            <w:vAlign w:val="bottom"/>
          </w:tcPr>
          <w:p>
            <w:pPr>
              <w:spacing w:after="0"/>
              <w:rPr>
                <w:sz w:val="23"/>
                <w:szCs w:val="23"/>
                <w:color w:val="auto"/>
              </w:rPr>
            </w:pPr>
          </w:p>
        </w:tc>
        <w:tc>
          <w:tcPr>
            <w:tcW w:w="320" w:type="dxa"/>
            <w:vAlign w:val="bottom"/>
            <w:gridSpan w:val="3"/>
          </w:tcPr>
          <w:p>
            <w:pPr>
              <w:jc w:val="right"/>
              <w:spacing w:after="0"/>
              <w:rPr>
                <w:sz w:val="20"/>
                <w:szCs w:val="20"/>
                <w:color w:val="auto"/>
              </w:rPr>
            </w:pPr>
            <w:r>
              <w:rPr>
                <w:rFonts w:ascii="Arial" w:cs="Arial" w:eastAsia="Arial" w:hAnsi="Arial"/>
                <w:sz w:val="21"/>
                <w:szCs w:val="21"/>
                <w:b w:val="1"/>
                <w:bCs w:val="1"/>
                <w:color w:val="FF0000"/>
                <w:strike w:val="1"/>
                <w:w w:val="85"/>
              </w:rPr>
              <w:t>41</w:t>
            </w:r>
          </w:p>
        </w:tc>
        <w:tc>
          <w:tcPr>
            <w:tcW w:w="120" w:type="dxa"/>
            <w:vAlign w:val="bottom"/>
            <w:tcBorders>
              <w:bottom w:val="single" w:sz="8" w:color="0000FF"/>
            </w:tcBorders>
          </w:tcPr>
          <w:p>
            <w:pPr>
              <w:spacing w:after="0"/>
              <w:rPr>
                <w:sz w:val="20"/>
                <w:szCs w:val="20"/>
                <w:color w:val="auto"/>
              </w:rPr>
            </w:pPr>
            <w:r>
              <w:rPr>
                <w:rFonts w:ascii="Arial" w:cs="Arial" w:eastAsia="Arial" w:hAnsi="Arial"/>
                <w:sz w:val="12"/>
                <w:szCs w:val="12"/>
                <w:b w:val="1"/>
                <w:bCs w:val="1"/>
                <w:color w:val="0000FF"/>
                <w:w w:val="74"/>
              </w:rPr>
              <w:t>42</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 w:type="dxa"/>
            <w:vAlign w:val="bottom"/>
          </w:tcPr>
          <w:p>
            <w:pPr>
              <w:spacing w:after="0"/>
              <w:rPr>
                <w:sz w:val="23"/>
                <w:szCs w:val="23"/>
                <w:color w:val="auto"/>
              </w:rPr>
            </w:pPr>
          </w:p>
        </w:tc>
        <w:tc>
          <w:tcPr>
            <w:tcW w:w="5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vMerge w:val="restart"/>
          </w:tcPr>
          <w:p>
            <w:pPr>
              <w:jc w:val="right"/>
              <w:spacing w:after="0"/>
              <w:rPr>
                <w:sz w:val="20"/>
                <w:szCs w:val="20"/>
                <w:color w:val="auto"/>
              </w:rPr>
            </w:pPr>
            <w:r>
              <w:rPr>
                <w:rFonts w:ascii="Arial" w:cs="Arial" w:eastAsia="Arial" w:hAnsi="Arial"/>
                <w:sz w:val="21"/>
                <w:szCs w:val="21"/>
                <w:b w:val="1"/>
                <w:bCs w:val="1"/>
                <w:color w:val="FF0000"/>
                <w:strike w:val="1"/>
                <w:w w:val="85"/>
              </w:rPr>
              <w:t>41</w:t>
            </w:r>
          </w:p>
        </w:tc>
        <w:tc>
          <w:tcPr>
            <w:tcW w:w="3520" w:type="dxa"/>
            <w:vAlign w:val="bottom"/>
            <w:gridSpan w:val="3"/>
            <w:vMerge w:val="restart"/>
          </w:tcPr>
          <w:p>
            <w:pPr>
              <w:jc w:val="right"/>
              <w:ind w:right="3320"/>
              <w:spacing w:after="0"/>
              <w:rPr>
                <w:sz w:val="20"/>
                <w:szCs w:val="20"/>
                <w:color w:val="auto"/>
              </w:rPr>
            </w:pPr>
            <w:r>
              <w:rPr>
                <w:rFonts w:ascii="Arial" w:cs="Arial" w:eastAsia="Arial" w:hAnsi="Arial"/>
                <w:sz w:val="21"/>
                <w:szCs w:val="21"/>
                <w:b w:val="1"/>
                <w:bCs w:val="1"/>
                <w:color w:val="0000FF"/>
                <w:w w:val="76"/>
              </w:rPr>
              <w:t>42</w:t>
            </w:r>
          </w:p>
        </w:tc>
        <w:tc>
          <w:tcPr>
            <w:tcW w:w="0" w:type="dxa"/>
            <w:vAlign w:val="bottom"/>
          </w:tcPr>
          <w:p>
            <w:pPr>
              <w:spacing w:after="0"/>
              <w:rPr>
                <w:sz w:val="1"/>
                <w:szCs w:val="1"/>
                <w:color w:val="auto"/>
              </w:rPr>
            </w:pPr>
          </w:p>
        </w:tc>
      </w:tr>
      <w:tr>
        <w:trPr>
          <w:trHeight w:val="298"/>
        </w:trPr>
        <w:tc>
          <w:tcPr>
            <w:tcW w:w="1620" w:type="dxa"/>
            <w:vAlign w:val="bottom"/>
          </w:tcPr>
          <w:p>
            <w:pPr>
              <w:ind w:left="160"/>
              <w:spacing w:after="0"/>
              <w:rPr>
                <w:sz w:val="20"/>
                <w:szCs w:val="20"/>
                <w:color w:val="auto"/>
              </w:rPr>
            </w:pPr>
            <w:r>
              <w:rPr>
                <w:rFonts w:ascii="Arial" w:cs="Arial" w:eastAsia="Arial" w:hAnsi="Arial"/>
                <w:sz w:val="21"/>
                <w:szCs w:val="21"/>
                <w:color w:val="auto"/>
                <w:w w:val="98"/>
              </w:rPr>
              <w:t>SECTION 2.02.</w:t>
            </w:r>
          </w:p>
        </w:tc>
        <w:tc>
          <w:tcPr>
            <w:tcW w:w="5880" w:type="dxa"/>
            <w:vAlign w:val="bottom"/>
            <w:gridSpan w:val="54"/>
          </w:tcPr>
          <w:p>
            <w:pPr>
              <w:ind w:left="100"/>
              <w:spacing w:after="0"/>
              <w:rPr>
                <w:sz w:val="20"/>
                <w:szCs w:val="20"/>
                <w:color w:val="auto"/>
              </w:rPr>
            </w:pPr>
            <w:r>
              <w:rPr>
                <w:rFonts w:ascii="Arial" w:cs="Arial" w:eastAsia="Arial" w:hAnsi="Arial"/>
                <w:sz w:val="21"/>
                <w:szCs w:val="21"/>
                <w:color w:val="auto"/>
                <w:w w:val="95"/>
              </w:rPr>
              <w:t>Borrowings, Conversions and Continuations of Committed Loans</w:t>
            </w:r>
          </w:p>
        </w:tc>
        <w:tc>
          <w:tcPr>
            <w:tcW w:w="220" w:type="dxa"/>
            <w:vAlign w:val="bottom"/>
            <w:vMerge w:val="continue"/>
          </w:tcPr>
          <w:p>
            <w:pPr>
              <w:spacing w:after="0"/>
              <w:rPr>
                <w:sz w:val="24"/>
                <w:szCs w:val="24"/>
                <w:color w:val="auto"/>
              </w:rPr>
            </w:pPr>
          </w:p>
        </w:tc>
        <w:tc>
          <w:tcPr>
            <w:tcW w:w="352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620" w:type="dxa"/>
            <w:vAlign w:val="bottom"/>
          </w:tcPr>
          <w:p>
            <w:pPr>
              <w:ind w:left="160"/>
              <w:spacing w:after="0"/>
              <w:rPr>
                <w:sz w:val="20"/>
                <w:szCs w:val="20"/>
                <w:color w:val="auto"/>
              </w:rPr>
            </w:pPr>
            <w:r>
              <w:rPr>
                <w:rFonts w:ascii="Arial" w:cs="Arial" w:eastAsia="Arial" w:hAnsi="Arial"/>
                <w:sz w:val="21"/>
                <w:szCs w:val="21"/>
                <w:color w:val="auto"/>
                <w:w w:val="98"/>
              </w:rPr>
              <w:t>SECTION 2.03.</w:t>
            </w:r>
          </w:p>
        </w:tc>
        <w:tc>
          <w:tcPr>
            <w:tcW w:w="1120" w:type="dxa"/>
            <w:vAlign w:val="bottom"/>
            <w:gridSpan w:val="5"/>
          </w:tcPr>
          <w:p>
            <w:pPr>
              <w:ind w:left="100"/>
              <w:spacing w:after="0"/>
              <w:rPr>
                <w:sz w:val="20"/>
                <w:szCs w:val="20"/>
                <w:color w:val="auto"/>
              </w:rPr>
            </w:pPr>
            <w:r>
              <w:rPr>
                <w:rFonts w:ascii="Arial" w:cs="Arial" w:eastAsia="Arial" w:hAnsi="Arial"/>
                <w:sz w:val="21"/>
                <w:szCs w:val="21"/>
                <w:color w:val="auto"/>
              </w:rPr>
              <w:t>Bid Loans</w:t>
            </w:r>
          </w:p>
        </w:tc>
        <w:tc>
          <w:tcPr>
            <w:tcW w:w="40" w:type="dxa"/>
            <w:vAlign w:val="bottom"/>
          </w:tcPr>
          <w:p>
            <w:pPr>
              <w:spacing w:after="0"/>
              <w:rPr>
                <w:sz w:val="24"/>
                <w:szCs w:val="24"/>
                <w:color w:val="auto"/>
              </w:rPr>
            </w:pPr>
          </w:p>
        </w:tc>
        <w:tc>
          <w:tcPr>
            <w:tcW w:w="240" w:type="dxa"/>
            <w:vAlign w:val="bottom"/>
            <w:gridSpan w:val="2"/>
          </w:tcPr>
          <w:p>
            <w:pPr>
              <w:jc w:val="center"/>
              <w:spacing w:after="0"/>
              <w:rPr>
                <w:sz w:val="20"/>
                <w:szCs w:val="20"/>
                <w:color w:val="auto"/>
              </w:rPr>
            </w:pPr>
            <w:r>
              <w:rPr>
                <w:rFonts w:ascii="Arial" w:cs="Arial" w:eastAsia="Arial" w:hAnsi="Arial"/>
                <w:sz w:val="21"/>
                <w:szCs w:val="21"/>
                <w:b w:val="1"/>
                <w:bCs w:val="1"/>
                <w:color w:val="FF0000"/>
                <w:strike w:val="1"/>
                <w:w w:val="93"/>
              </w:rPr>
              <w:t>44</w:t>
            </w:r>
          </w:p>
        </w:tc>
        <w:tc>
          <w:tcPr>
            <w:tcW w:w="220" w:type="dxa"/>
            <w:vAlign w:val="bottom"/>
            <w:gridSpan w:val="3"/>
          </w:tcPr>
          <w:p>
            <w:pPr>
              <w:jc w:val="right"/>
              <w:spacing w:after="0"/>
              <w:rPr>
                <w:sz w:val="20"/>
                <w:szCs w:val="20"/>
                <w:color w:val="auto"/>
              </w:rPr>
            </w:pPr>
            <w:r>
              <w:rPr>
                <w:rFonts w:ascii="Arial" w:cs="Arial" w:eastAsia="Arial" w:hAnsi="Arial"/>
                <w:sz w:val="21"/>
                <w:szCs w:val="21"/>
                <w:b w:val="1"/>
                <w:bCs w:val="1"/>
                <w:color w:val="0000FF"/>
                <w:w w:val="76"/>
              </w:rPr>
              <w:t>45</w:t>
            </w:r>
          </w:p>
        </w:tc>
        <w:tc>
          <w:tcPr>
            <w:tcW w:w="80" w:type="dxa"/>
            <w:vAlign w:val="bottom"/>
          </w:tcPr>
          <w:p>
            <w:pPr>
              <w:spacing w:after="0"/>
              <w:rPr>
                <w:sz w:val="24"/>
                <w:szCs w:val="24"/>
                <w:color w:val="auto"/>
              </w:rPr>
            </w:pPr>
          </w:p>
        </w:tc>
        <w:tc>
          <w:tcPr>
            <w:tcW w:w="220" w:type="dxa"/>
            <w:vAlign w:val="bottom"/>
            <w:gridSpan w:val="3"/>
            <w:vMerge w:val="restart"/>
          </w:tcPr>
          <w:p>
            <w:pPr>
              <w:jc w:val="right"/>
              <w:spacing w:after="0"/>
              <w:rPr>
                <w:sz w:val="20"/>
                <w:szCs w:val="20"/>
                <w:color w:val="auto"/>
              </w:rPr>
            </w:pPr>
            <w:r>
              <w:rPr>
                <w:rFonts w:ascii="Arial" w:cs="Arial" w:eastAsia="Arial" w:hAnsi="Arial"/>
                <w:sz w:val="21"/>
                <w:szCs w:val="21"/>
                <w:b w:val="1"/>
                <w:bCs w:val="1"/>
                <w:color w:val="FF0000"/>
                <w:strike w:val="1"/>
                <w:w w:val="85"/>
              </w:rPr>
              <w:t>47</w:t>
            </w:r>
          </w:p>
        </w:tc>
        <w:tc>
          <w:tcPr>
            <w:tcW w:w="220" w:type="dxa"/>
            <w:vAlign w:val="bottom"/>
            <w:gridSpan w:val="2"/>
            <w:vMerge w:val="restart"/>
          </w:tcPr>
          <w:p>
            <w:pPr>
              <w:spacing w:after="0"/>
              <w:rPr>
                <w:sz w:val="20"/>
                <w:szCs w:val="20"/>
                <w:color w:val="auto"/>
              </w:rPr>
            </w:pPr>
            <w:r>
              <w:rPr>
                <w:rFonts w:ascii="Arial" w:cs="Arial" w:eastAsia="Arial" w:hAnsi="Arial"/>
                <w:sz w:val="21"/>
                <w:szCs w:val="21"/>
                <w:b w:val="1"/>
                <w:bCs w:val="1"/>
                <w:color w:val="0000FF"/>
                <w:w w:val="76"/>
              </w:rPr>
              <w:t>48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vMerge w:val="continue"/>
          </w:tcPr>
          <w:p>
            <w:pPr>
              <w:spacing w:after="0" w:line="20" w:lineRule="exact"/>
              <w:rPr>
                <w:sz w:val="1"/>
                <w:szCs w:val="1"/>
                <w:color w:val="auto"/>
              </w:rPr>
            </w:pPr>
          </w:p>
        </w:tc>
        <w:tc>
          <w:tcPr>
            <w:tcW w:w="2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5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1620" w:type="dxa"/>
            <w:vAlign w:val="bottom"/>
          </w:tcPr>
          <w:p>
            <w:pPr>
              <w:ind w:left="160"/>
              <w:spacing w:after="0"/>
              <w:rPr>
                <w:sz w:val="20"/>
                <w:szCs w:val="20"/>
                <w:color w:val="auto"/>
              </w:rPr>
            </w:pPr>
            <w:r>
              <w:rPr>
                <w:rFonts w:ascii="Arial" w:cs="Arial" w:eastAsia="Arial" w:hAnsi="Arial"/>
                <w:sz w:val="21"/>
                <w:szCs w:val="21"/>
                <w:color w:val="auto"/>
                <w:w w:val="98"/>
              </w:rPr>
              <w:t>SECTION 2.04.</w:t>
            </w:r>
          </w:p>
        </w:tc>
        <w:tc>
          <w:tcPr>
            <w:tcW w:w="1600" w:type="dxa"/>
            <w:vAlign w:val="bottom"/>
            <w:gridSpan w:val="10"/>
          </w:tcPr>
          <w:p>
            <w:pPr>
              <w:ind w:left="100"/>
              <w:spacing w:after="0"/>
              <w:rPr>
                <w:sz w:val="20"/>
                <w:szCs w:val="20"/>
                <w:color w:val="auto"/>
              </w:rPr>
            </w:pPr>
            <w:r>
              <w:rPr>
                <w:rFonts w:ascii="Arial" w:cs="Arial" w:eastAsia="Arial" w:hAnsi="Arial"/>
                <w:sz w:val="21"/>
                <w:szCs w:val="21"/>
                <w:color w:val="auto"/>
                <w:w w:val="97"/>
              </w:rPr>
              <w:t>Letters of Credit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gridSpan w:val="3"/>
            <w:vMerge w:val="continue"/>
          </w:tcPr>
          <w:p>
            <w:pPr>
              <w:spacing w:after="0"/>
              <w:rPr>
                <w:sz w:val="24"/>
                <w:szCs w:val="24"/>
                <w:color w:val="auto"/>
              </w:rPr>
            </w:pPr>
          </w:p>
        </w:tc>
        <w:tc>
          <w:tcPr>
            <w:tcW w:w="220" w:type="dxa"/>
            <w:vAlign w:val="bottom"/>
            <w:tcBorders>
              <w:bottom w:val="single" w:sz="8" w:color="0000FF"/>
            </w:tcBorders>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620" w:type="dxa"/>
            <w:vAlign w:val="bottom"/>
          </w:tcPr>
          <w:p>
            <w:pPr>
              <w:ind w:left="160"/>
              <w:spacing w:after="0"/>
              <w:rPr>
                <w:sz w:val="20"/>
                <w:szCs w:val="20"/>
                <w:color w:val="auto"/>
              </w:rPr>
            </w:pPr>
            <w:r>
              <w:rPr>
                <w:rFonts w:ascii="Arial" w:cs="Arial" w:eastAsia="Arial" w:hAnsi="Arial"/>
                <w:sz w:val="21"/>
                <w:szCs w:val="21"/>
                <w:color w:val="auto"/>
                <w:w w:val="98"/>
              </w:rPr>
              <w:t>SECTION 2.05.</w:t>
            </w:r>
          </w:p>
        </w:tc>
        <w:tc>
          <w:tcPr>
            <w:tcW w:w="1400" w:type="dxa"/>
            <w:vAlign w:val="bottom"/>
            <w:gridSpan w:val="8"/>
          </w:tcPr>
          <w:p>
            <w:pPr>
              <w:ind w:left="100"/>
              <w:spacing w:after="0"/>
              <w:rPr>
                <w:sz w:val="20"/>
                <w:szCs w:val="20"/>
                <w:color w:val="auto"/>
              </w:rPr>
            </w:pPr>
            <w:r>
              <w:rPr>
                <w:rFonts w:ascii="Arial" w:cs="Arial" w:eastAsia="Arial" w:hAnsi="Arial"/>
                <w:sz w:val="21"/>
                <w:szCs w:val="21"/>
                <w:color w:val="auto"/>
              </w:rPr>
              <w:t>Prepayments</w:t>
            </w:r>
          </w:p>
        </w:tc>
        <w:tc>
          <w:tcPr>
            <w:tcW w:w="220" w:type="dxa"/>
            <w:vAlign w:val="bottom"/>
            <w:gridSpan w:val="3"/>
          </w:tcPr>
          <w:p>
            <w:pPr>
              <w:jc w:val="right"/>
              <w:spacing w:after="0"/>
              <w:rPr>
                <w:sz w:val="20"/>
                <w:szCs w:val="20"/>
                <w:color w:val="auto"/>
              </w:rPr>
            </w:pPr>
            <w:r>
              <w:rPr>
                <w:rFonts w:ascii="Arial" w:cs="Arial" w:eastAsia="Arial" w:hAnsi="Arial"/>
                <w:sz w:val="21"/>
                <w:szCs w:val="21"/>
                <w:b w:val="1"/>
                <w:bCs w:val="1"/>
                <w:color w:val="FF0000"/>
                <w:strike w:val="1"/>
                <w:w w:val="85"/>
              </w:rPr>
              <w:t>59</w:t>
            </w: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21"/>
                <w:szCs w:val="21"/>
                <w:b w:val="1"/>
                <w:bCs w:val="1"/>
                <w:color w:val="0000FF"/>
                <w:w w:val="85"/>
              </w:rPr>
              <w:t>60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12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22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21"/>
                <w:szCs w:val="21"/>
                <w:b w:val="1"/>
                <w:bCs w:val="1"/>
                <w:color w:val="FF0000"/>
                <w:strike w:val="1"/>
                <w:w w:val="76"/>
              </w:rPr>
              <w:t>60</w:t>
            </w:r>
          </w:p>
        </w:tc>
        <w:tc>
          <w:tcPr>
            <w:tcW w:w="220" w:type="dxa"/>
            <w:vAlign w:val="bottom"/>
            <w:gridSpan w:val="3"/>
            <w:vMerge w:val="restart"/>
          </w:tcPr>
          <w:p>
            <w:pPr>
              <w:jc w:val="right"/>
              <w:spacing w:after="0"/>
              <w:rPr>
                <w:sz w:val="20"/>
                <w:szCs w:val="20"/>
                <w:color w:val="auto"/>
              </w:rPr>
            </w:pPr>
            <w:r>
              <w:rPr>
                <w:rFonts w:ascii="Arial" w:cs="Arial" w:eastAsia="Arial" w:hAnsi="Arial"/>
                <w:sz w:val="21"/>
                <w:szCs w:val="21"/>
                <w:b w:val="1"/>
                <w:bCs w:val="1"/>
                <w:color w:val="0000FF"/>
                <w:w w:val="85"/>
              </w:rPr>
              <w:t>61</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1620" w:type="dxa"/>
            <w:vAlign w:val="bottom"/>
          </w:tcPr>
          <w:p>
            <w:pPr>
              <w:ind w:left="160"/>
              <w:spacing w:after="0"/>
              <w:rPr>
                <w:sz w:val="20"/>
                <w:szCs w:val="20"/>
                <w:color w:val="auto"/>
              </w:rPr>
            </w:pPr>
            <w:r>
              <w:rPr>
                <w:rFonts w:ascii="Arial" w:cs="Arial" w:eastAsia="Arial" w:hAnsi="Arial"/>
                <w:sz w:val="21"/>
                <w:szCs w:val="21"/>
                <w:color w:val="auto"/>
                <w:w w:val="98"/>
              </w:rPr>
              <w:t>SECTION 2.06.</w:t>
            </w:r>
          </w:p>
        </w:tc>
        <w:tc>
          <w:tcPr>
            <w:tcW w:w="3980" w:type="dxa"/>
            <w:vAlign w:val="bottom"/>
            <w:gridSpan w:val="44"/>
          </w:tcPr>
          <w:p>
            <w:pPr>
              <w:ind w:left="100"/>
              <w:spacing w:after="0"/>
              <w:rPr>
                <w:sz w:val="20"/>
                <w:szCs w:val="20"/>
                <w:color w:val="auto"/>
              </w:rPr>
            </w:pPr>
            <w:r>
              <w:rPr>
                <w:rFonts w:ascii="Arial" w:cs="Arial" w:eastAsia="Arial" w:hAnsi="Arial"/>
                <w:sz w:val="21"/>
                <w:szCs w:val="21"/>
                <w:color w:val="auto"/>
                <w:w w:val="97"/>
              </w:rPr>
              <w:t>Termination or Reduction of Commitments</w:t>
            </w:r>
          </w:p>
        </w:tc>
        <w:tc>
          <w:tcPr>
            <w:tcW w:w="200" w:type="dxa"/>
            <w:vAlign w:val="bottom"/>
            <w:gridSpan w:val="2"/>
            <w:vMerge w:val="continue"/>
          </w:tcPr>
          <w:p>
            <w:pPr>
              <w:spacing w:after="0"/>
              <w:rPr>
                <w:sz w:val="24"/>
                <w:szCs w:val="24"/>
                <w:color w:val="auto"/>
              </w:rPr>
            </w:pPr>
          </w:p>
        </w:tc>
        <w:tc>
          <w:tcPr>
            <w:tcW w:w="220" w:type="dxa"/>
            <w:vAlign w:val="bottom"/>
            <w:tcBorders>
              <w:bottom w:val="single" w:sz="8" w:color="0000FF"/>
            </w:tcBorders>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620" w:type="dxa"/>
            <w:vAlign w:val="bottom"/>
          </w:tcPr>
          <w:p>
            <w:pPr>
              <w:ind w:left="160"/>
              <w:spacing w:after="0"/>
              <w:rPr>
                <w:sz w:val="20"/>
                <w:szCs w:val="20"/>
                <w:color w:val="auto"/>
              </w:rPr>
            </w:pPr>
            <w:r>
              <w:rPr>
                <w:rFonts w:ascii="Arial" w:cs="Arial" w:eastAsia="Arial" w:hAnsi="Arial"/>
                <w:sz w:val="21"/>
                <w:szCs w:val="21"/>
                <w:color w:val="auto"/>
                <w:w w:val="98"/>
              </w:rPr>
              <w:t>SECTION 2.07.</w:t>
            </w:r>
          </w:p>
        </w:tc>
        <w:tc>
          <w:tcPr>
            <w:tcW w:w="2140" w:type="dxa"/>
            <w:vAlign w:val="bottom"/>
            <w:gridSpan w:val="17"/>
          </w:tcPr>
          <w:p>
            <w:pPr>
              <w:ind w:left="100"/>
              <w:spacing w:after="0"/>
              <w:rPr>
                <w:sz w:val="20"/>
                <w:szCs w:val="20"/>
                <w:color w:val="auto"/>
              </w:rPr>
            </w:pPr>
            <w:r>
              <w:rPr>
                <w:rFonts w:ascii="Arial" w:cs="Arial" w:eastAsia="Arial" w:hAnsi="Arial"/>
                <w:sz w:val="21"/>
                <w:szCs w:val="21"/>
                <w:color w:val="auto"/>
              </w:rPr>
              <w:t>Repayment of Loans</w:t>
            </w:r>
          </w:p>
        </w:tc>
        <w:tc>
          <w:tcPr>
            <w:tcW w:w="140" w:type="dxa"/>
            <w:vAlign w:val="bottom"/>
            <w:gridSpan w:val="2"/>
          </w:tcPr>
          <w:p>
            <w:pPr>
              <w:spacing w:after="0"/>
              <w:rPr>
                <w:sz w:val="20"/>
                <w:szCs w:val="20"/>
                <w:color w:val="auto"/>
              </w:rPr>
            </w:pPr>
            <w:r>
              <w:rPr>
                <w:rFonts w:ascii="Arial" w:cs="Arial" w:eastAsia="Arial" w:hAnsi="Arial"/>
                <w:sz w:val="15"/>
                <w:szCs w:val="15"/>
                <w:b w:val="1"/>
                <w:bCs w:val="1"/>
                <w:color w:val="FF0000"/>
                <w:strike w:val="1"/>
                <w:w w:val="71"/>
              </w:rPr>
              <w:t>61</w:t>
            </w:r>
          </w:p>
        </w:tc>
        <w:tc>
          <w:tcPr>
            <w:tcW w:w="220" w:type="dxa"/>
            <w:vAlign w:val="bottom"/>
            <w:tcBorders>
              <w:bottom w:val="single" w:sz="8" w:color="0000FF"/>
            </w:tcBorders>
            <w:gridSpan w:val="4"/>
          </w:tcPr>
          <w:p>
            <w:pPr>
              <w:jc w:val="right"/>
              <w:spacing w:after="0"/>
              <w:rPr>
                <w:sz w:val="20"/>
                <w:szCs w:val="20"/>
                <w:color w:val="auto"/>
              </w:rPr>
            </w:pPr>
            <w:r>
              <w:rPr>
                <w:rFonts w:ascii="Arial" w:cs="Arial" w:eastAsia="Arial" w:hAnsi="Arial"/>
                <w:sz w:val="21"/>
                <w:szCs w:val="21"/>
                <w:b w:val="1"/>
                <w:bCs w:val="1"/>
                <w:color w:val="0000FF"/>
                <w:w w:val="85"/>
              </w:rPr>
              <w:t>62</w:t>
            </w:r>
          </w:p>
        </w:tc>
        <w:tc>
          <w:tcPr>
            <w:tcW w:w="4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22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620" w:type="dxa"/>
            <w:vAlign w:val="bottom"/>
          </w:tcPr>
          <w:p>
            <w:pPr>
              <w:ind w:left="160"/>
              <w:spacing w:after="0"/>
              <w:rPr>
                <w:sz w:val="20"/>
                <w:szCs w:val="20"/>
                <w:color w:val="auto"/>
              </w:rPr>
            </w:pPr>
            <w:r>
              <w:rPr>
                <w:rFonts w:ascii="Arial" w:cs="Arial" w:eastAsia="Arial" w:hAnsi="Arial"/>
                <w:sz w:val="21"/>
                <w:szCs w:val="21"/>
                <w:color w:val="auto"/>
                <w:w w:val="98"/>
              </w:rPr>
              <w:t>SECTION 2.08.</w:t>
            </w:r>
          </w:p>
        </w:tc>
        <w:tc>
          <w:tcPr>
            <w:tcW w:w="940" w:type="dxa"/>
            <w:vAlign w:val="bottom"/>
            <w:gridSpan w:val="3"/>
          </w:tcPr>
          <w:p>
            <w:pPr>
              <w:ind w:left="100"/>
              <w:spacing w:after="0"/>
              <w:rPr>
                <w:sz w:val="20"/>
                <w:szCs w:val="20"/>
                <w:color w:val="auto"/>
              </w:rPr>
            </w:pPr>
            <w:r>
              <w:rPr>
                <w:rFonts w:ascii="Arial" w:cs="Arial" w:eastAsia="Arial" w:hAnsi="Arial"/>
                <w:sz w:val="21"/>
                <w:szCs w:val="21"/>
                <w:color w:val="auto"/>
              </w:rPr>
              <w:t>Interest</w:t>
            </w:r>
          </w:p>
        </w:tc>
        <w:tc>
          <w:tcPr>
            <w:tcW w:w="220" w:type="dxa"/>
            <w:vAlign w:val="bottom"/>
            <w:gridSpan w:val="3"/>
          </w:tcPr>
          <w:p>
            <w:pPr>
              <w:jc w:val="right"/>
              <w:spacing w:after="0"/>
              <w:rPr>
                <w:sz w:val="20"/>
                <w:szCs w:val="20"/>
                <w:color w:val="auto"/>
              </w:rPr>
            </w:pPr>
            <w:r>
              <w:rPr>
                <w:rFonts w:ascii="Arial" w:cs="Arial" w:eastAsia="Arial" w:hAnsi="Arial"/>
                <w:sz w:val="21"/>
                <w:szCs w:val="21"/>
                <w:b w:val="1"/>
                <w:bCs w:val="1"/>
                <w:color w:val="FF0000"/>
                <w:strike w:val="1"/>
                <w:w w:val="85"/>
              </w:rPr>
              <w:t>61</w:t>
            </w:r>
          </w:p>
        </w:tc>
        <w:tc>
          <w:tcPr>
            <w:tcW w:w="440" w:type="dxa"/>
            <w:vAlign w:val="bottom"/>
            <w:gridSpan w:val="4"/>
          </w:tcPr>
          <w:p>
            <w:pPr>
              <w:jc w:val="center"/>
              <w:ind w:right="240"/>
              <w:spacing w:after="0"/>
              <w:rPr>
                <w:sz w:val="20"/>
                <w:szCs w:val="20"/>
                <w:color w:val="auto"/>
              </w:rPr>
            </w:pPr>
            <w:r>
              <w:rPr>
                <w:rFonts w:ascii="Arial" w:cs="Arial" w:eastAsia="Arial" w:hAnsi="Arial"/>
                <w:sz w:val="21"/>
                <w:szCs w:val="21"/>
                <w:b w:val="1"/>
                <w:bCs w:val="1"/>
                <w:color w:val="0000FF"/>
                <w:w w:val="85"/>
              </w:rPr>
              <w:t>62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620" w:type="dxa"/>
            <w:vAlign w:val="bottom"/>
          </w:tcPr>
          <w:p>
            <w:pPr>
              <w:ind w:left="160"/>
              <w:spacing w:after="0"/>
              <w:rPr>
                <w:sz w:val="20"/>
                <w:szCs w:val="20"/>
                <w:color w:val="auto"/>
              </w:rPr>
            </w:pPr>
            <w:r>
              <w:rPr>
                <w:rFonts w:ascii="Arial" w:cs="Arial" w:eastAsia="Arial" w:hAnsi="Arial"/>
                <w:sz w:val="21"/>
                <w:szCs w:val="21"/>
                <w:color w:val="auto"/>
                <w:w w:val="98"/>
              </w:rPr>
              <w:t>SECTION 2.09.</w:t>
            </w:r>
          </w:p>
        </w:tc>
        <w:tc>
          <w:tcPr>
            <w:tcW w:w="700" w:type="dxa"/>
            <w:vAlign w:val="bottom"/>
          </w:tcPr>
          <w:p>
            <w:pPr>
              <w:ind w:left="100"/>
              <w:spacing w:after="0"/>
              <w:rPr>
                <w:sz w:val="20"/>
                <w:szCs w:val="20"/>
                <w:color w:val="auto"/>
              </w:rPr>
            </w:pPr>
            <w:r>
              <w:rPr>
                <w:rFonts w:ascii="Arial" w:cs="Arial" w:eastAsia="Arial" w:hAnsi="Arial"/>
                <w:sz w:val="21"/>
                <w:szCs w:val="21"/>
                <w:color w:val="auto"/>
              </w:rPr>
              <w:t>Fees</w:t>
            </w:r>
          </w:p>
        </w:tc>
        <w:tc>
          <w:tcPr>
            <w:tcW w:w="200" w:type="dxa"/>
            <w:vAlign w:val="bottom"/>
          </w:tcPr>
          <w:p>
            <w:pPr>
              <w:jc w:val="right"/>
              <w:spacing w:after="0"/>
              <w:rPr>
                <w:sz w:val="20"/>
                <w:szCs w:val="20"/>
                <w:color w:val="auto"/>
              </w:rPr>
            </w:pPr>
            <w:r>
              <w:rPr>
                <w:rFonts w:ascii="Arial" w:cs="Arial" w:eastAsia="Arial" w:hAnsi="Arial"/>
                <w:sz w:val="21"/>
                <w:szCs w:val="21"/>
                <w:b w:val="1"/>
                <w:bCs w:val="1"/>
                <w:color w:val="FF0000"/>
                <w:strike w:val="1"/>
                <w:w w:val="76"/>
              </w:rPr>
              <w:t>62</w:t>
            </w:r>
          </w:p>
        </w:tc>
        <w:tc>
          <w:tcPr>
            <w:tcW w:w="220" w:type="dxa"/>
            <w:vAlign w:val="bottom"/>
            <w:tcBorders>
              <w:bottom w:val="single" w:sz="8" w:color="0000FF"/>
            </w:tcBorders>
            <w:gridSpan w:val="3"/>
          </w:tcPr>
          <w:p>
            <w:pPr>
              <w:jc w:val="right"/>
              <w:spacing w:after="0"/>
              <w:rPr>
                <w:sz w:val="20"/>
                <w:szCs w:val="20"/>
                <w:color w:val="auto"/>
              </w:rPr>
            </w:pPr>
            <w:r>
              <w:rPr>
                <w:rFonts w:ascii="Arial" w:cs="Arial" w:eastAsia="Arial" w:hAnsi="Arial"/>
                <w:sz w:val="21"/>
                <w:szCs w:val="21"/>
                <w:b w:val="1"/>
                <w:bCs w:val="1"/>
                <w:color w:val="0000FF"/>
                <w:w w:val="85"/>
              </w:rPr>
              <w:t>63</w:t>
            </w:r>
          </w:p>
        </w:tc>
        <w:tc>
          <w:tcPr>
            <w:tcW w:w="4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gridSpan w:val="4"/>
            <w:vMerge w:val="restart"/>
          </w:tcPr>
          <w:p>
            <w:pPr>
              <w:jc w:val="right"/>
              <w:spacing w:after="0"/>
              <w:rPr>
                <w:sz w:val="20"/>
                <w:szCs w:val="20"/>
                <w:color w:val="auto"/>
              </w:rPr>
            </w:pPr>
            <w:r>
              <w:rPr>
                <w:rFonts w:ascii="Arial" w:cs="Arial" w:eastAsia="Arial" w:hAnsi="Arial"/>
                <w:sz w:val="21"/>
                <w:szCs w:val="21"/>
                <w:b w:val="1"/>
                <w:bCs w:val="1"/>
                <w:color w:val="FF0000"/>
                <w:strike w:val="1"/>
                <w:w w:val="76"/>
              </w:rPr>
              <w:t>62</w:t>
            </w:r>
          </w:p>
        </w:tc>
        <w:tc>
          <w:tcPr>
            <w:tcW w:w="260" w:type="dxa"/>
            <w:vAlign w:val="bottom"/>
            <w:gridSpan w:val="4"/>
            <w:vMerge w:val="restart"/>
          </w:tcPr>
          <w:p>
            <w:pPr>
              <w:jc w:val="right"/>
              <w:ind w:right="40"/>
              <w:spacing w:after="0"/>
              <w:rPr>
                <w:sz w:val="20"/>
                <w:szCs w:val="20"/>
                <w:color w:val="auto"/>
              </w:rPr>
            </w:pPr>
            <w:r>
              <w:rPr>
                <w:rFonts w:ascii="Arial" w:cs="Arial" w:eastAsia="Arial" w:hAnsi="Arial"/>
                <w:sz w:val="21"/>
                <w:szCs w:val="21"/>
                <w:b w:val="1"/>
                <w:bCs w:val="1"/>
                <w:color w:val="0000FF"/>
                <w:w w:val="85"/>
              </w:rPr>
              <w:t>64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620" w:type="dxa"/>
            <w:vAlign w:val="bottom"/>
          </w:tcPr>
          <w:p>
            <w:pPr>
              <w:ind w:left="160"/>
              <w:spacing w:after="0"/>
              <w:rPr>
                <w:sz w:val="20"/>
                <w:szCs w:val="20"/>
                <w:color w:val="auto"/>
              </w:rPr>
            </w:pPr>
            <w:r>
              <w:rPr>
                <w:rFonts w:ascii="Arial" w:cs="Arial" w:eastAsia="Arial" w:hAnsi="Arial"/>
                <w:sz w:val="21"/>
                <w:szCs w:val="21"/>
                <w:color w:val="auto"/>
                <w:w w:val="98"/>
              </w:rPr>
              <w:t>SECTION 2.10.</w:t>
            </w:r>
          </w:p>
        </w:tc>
        <w:tc>
          <w:tcPr>
            <w:tcW w:w="2980" w:type="dxa"/>
            <w:vAlign w:val="bottom"/>
            <w:gridSpan w:val="30"/>
          </w:tcPr>
          <w:p>
            <w:pPr>
              <w:ind w:left="100"/>
              <w:spacing w:after="0"/>
              <w:rPr>
                <w:sz w:val="20"/>
                <w:szCs w:val="20"/>
                <w:color w:val="auto"/>
              </w:rPr>
            </w:pPr>
            <w:r>
              <w:rPr>
                <w:rFonts w:ascii="Arial" w:cs="Arial" w:eastAsia="Arial" w:hAnsi="Arial"/>
                <w:sz w:val="21"/>
                <w:szCs w:val="21"/>
                <w:color w:val="auto"/>
                <w:w w:val="91"/>
              </w:rPr>
              <w:t>Computation of Interest and Fees</w:t>
            </w:r>
          </w:p>
        </w:tc>
        <w:tc>
          <w:tcPr>
            <w:tcW w:w="160" w:type="dxa"/>
            <w:vAlign w:val="bottom"/>
            <w:gridSpan w:val="2"/>
          </w:tcPr>
          <w:p>
            <w:pPr>
              <w:spacing w:after="0"/>
              <w:rPr>
                <w:sz w:val="24"/>
                <w:szCs w:val="24"/>
                <w:color w:val="auto"/>
              </w:rPr>
            </w:pPr>
          </w:p>
        </w:tc>
        <w:tc>
          <w:tcPr>
            <w:tcW w:w="200" w:type="dxa"/>
            <w:vAlign w:val="bottom"/>
            <w:gridSpan w:val="4"/>
            <w:vMerge w:val="continue"/>
          </w:tcPr>
          <w:p>
            <w:pPr>
              <w:spacing w:after="0"/>
              <w:rPr>
                <w:sz w:val="24"/>
                <w:szCs w:val="24"/>
                <w:color w:val="auto"/>
              </w:rPr>
            </w:pPr>
          </w:p>
        </w:tc>
        <w:tc>
          <w:tcPr>
            <w:tcW w:w="260" w:type="dxa"/>
            <w:vAlign w:val="bottom"/>
            <w:gridSpan w:val="4"/>
            <w:vMerge w:val="continue"/>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620" w:type="dxa"/>
            <w:vAlign w:val="bottom"/>
          </w:tcPr>
          <w:p>
            <w:pPr>
              <w:ind w:left="160"/>
              <w:spacing w:after="0"/>
              <w:rPr>
                <w:sz w:val="20"/>
                <w:szCs w:val="20"/>
                <w:color w:val="auto"/>
              </w:rPr>
            </w:pPr>
            <w:r>
              <w:rPr>
                <w:rFonts w:ascii="Arial" w:cs="Arial" w:eastAsia="Arial" w:hAnsi="Arial"/>
                <w:sz w:val="21"/>
                <w:szCs w:val="21"/>
                <w:color w:val="auto"/>
                <w:w w:val="98"/>
              </w:rPr>
              <w:t>SECTION 2.11.</w:t>
            </w:r>
          </w:p>
        </w:tc>
        <w:tc>
          <w:tcPr>
            <w:tcW w:w="1780" w:type="dxa"/>
            <w:vAlign w:val="bottom"/>
            <w:gridSpan w:val="13"/>
          </w:tcPr>
          <w:p>
            <w:pPr>
              <w:ind w:left="80"/>
              <w:spacing w:after="0"/>
              <w:rPr>
                <w:sz w:val="20"/>
                <w:szCs w:val="20"/>
                <w:color w:val="auto"/>
              </w:rPr>
            </w:pPr>
            <w:r>
              <w:rPr>
                <w:rFonts w:ascii="Arial" w:cs="Arial" w:eastAsia="Arial" w:hAnsi="Arial"/>
                <w:sz w:val="21"/>
                <w:szCs w:val="21"/>
                <w:color w:val="auto"/>
              </w:rPr>
              <w:t>Evidence of Debt</w:t>
            </w:r>
          </w:p>
        </w:tc>
        <w:tc>
          <w:tcPr>
            <w:tcW w:w="220" w:type="dxa"/>
            <w:vAlign w:val="bottom"/>
            <w:gridSpan w:val="3"/>
          </w:tcPr>
          <w:p>
            <w:pPr>
              <w:jc w:val="right"/>
              <w:spacing w:after="0"/>
              <w:rPr>
                <w:sz w:val="20"/>
                <w:szCs w:val="20"/>
                <w:color w:val="auto"/>
              </w:rPr>
            </w:pPr>
            <w:r>
              <w:rPr>
                <w:rFonts w:ascii="Arial" w:cs="Arial" w:eastAsia="Arial" w:hAnsi="Arial"/>
                <w:sz w:val="21"/>
                <w:szCs w:val="21"/>
                <w:b w:val="1"/>
                <w:bCs w:val="1"/>
                <w:color w:val="FF0000"/>
                <w:strike w:val="1"/>
                <w:w w:val="85"/>
              </w:rPr>
              <w:t>63</w:t>
            </w:r>
          </w:p>
        </w:tc>
        <w:tc>
          <w:tcPr>
            <w:tcW w:w="140" w:type="dxa"/>
            <w:vAlign w:val="bottom"/>
            <w:tcBorders>
              <w:bottom w:val="single" w:sz="8" w:color="0000FF"/>
            </w:tcBorders>
          </w:tcPr>
          <w:p>
            <w:pPr>
              <w:jc w:val="right"/>
              <w:spacing w:after="0"/>
              <w:rPr>
                <w:sz w:val="20"/>
                <w:szCs w:val="20"/>
                <w:color w:val="auto"/>
              </w:rPr>
            </w:pPr>
            <w:r>
              <w:rPr>
                <w:rFonts w:ascii="Arial" w:cs="Arial" w:eastAsia="Arial" w:hAnsi="Arial"/>
                <w:sz w:val="21"/>
                <w:szCs w:val="21"/>
                <w:b w:val="1"/>
                <w:bCs w:val="1"/>
                <w:color w:val="0000FF"/>
                <w:w w:val="76"/>
              </w:rPr>
              <w:t>65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620" w:type="dxa"/>
            <w:vAlign w:val="bottom"/>
          </w:tcPr>
          <w:p>
            <w:pPr>
              <w:ind w:left="160"/>
              <w:spacing w:after="0"/>
              <w:rPr>
                <w:sz w:val="20"/>
                <w:szCs w:val="20"/>
                <w:color w:val="auto"/>
              </w:rPr>
            </w:pPr>
            <w:r>
              <w:rPr>
                <w:rFonts w:ascii="Arial" w:cs="Arial" w:eastAsia="Arial" w:hAnsi="Arial"/>
                <w:sz w:val="21"/>
                <w:szCs w:val="21"/>
                <w:color w:val="auto"/>
                <w:w w:val="98"/>
              </w:rPr>
              <w:t>SECTION 2.12.</w:t>
            </w:r>
          </w:p>
        </w:tc>
        <w:tc>
          <w:tcPr>
            <w:tcW w:w="1920" w:type="dxa"/>
            <w:vAlign w:val="bottom"/>
            <w:gridSpan w:val="15"/>
          </w:tcPr>
          <w:p>
            <w:pPr>
              <w:ind w:left="100"/>
              <w:spacing w:after="0"/>
              <w:rPr>
                <w:sz w:val="20"/>
                <w:szCs w:val="20"/>
                <w:color w:val="auto"/>
              </w:rPr>
            </w:pPr>
            <w:r>
              <w:rPr>
                <w:rFonts w:ascii="Arial" w:cs="Arial" w:eastAsia="Arial" w:hAnsi="Arial"/>
                <w:sz w:val="21"/>
                <w:szCs w:val="21"/>
                <w:color w:val="auto"/>
                <w:w w:val="92"/>
              </w:rPr>
              <w:t>Payments Generally;</w:t>
            </w:r>
          </w:p>
        </w:tc>
        <w:tc>
          <w:tcPr>
            <w:tcW w:w="620" w:type="dxa"/>
            <w:vAlign w:val="bottom"/>
            <w:gridSpan w:val="9"/>
          </w:tcPr>
          <w:p>
            <w:pPr>
              <w:spacing w:after="0"/>
              <w:rPr>
                <w:sz w:val="20"/>
                <w:szCs w:val="20"/>
                <w:color w:val="auto"/>
              </w:rPr>
            </w:pPr>
            <w:r>
              <w:rPr>
                <w:rFonts w:ascii="Arial" w:cs="Arial" w:eastAsia="Arial" w:hAnsi="Arial"/>
                <w:sz w:val="21"/>
                <w:szCs w:val="21"/>
                <w:b w:val="1"/>
                <w:bCs w:val="1"/>
                <w:color w:val="FF0000"/>
                <w:strike w:val="1"/>
                <w:w w:val="91"/>
              </w:rPr>
              <w:t>Agent’</w:t>
            </w:r>
          </w:p>
        </w:tc>
        <w:tc>
          <w:tcPr>
            <w:tcW w:w="1770" w:type="dxa"/>
            <w:vAlign w:val="bottom"/>
            <w:gridSpan w:val="23"/>
          </w:tcPr>
          <w:p>
            <w:pPr>
              <w:jc w:val="right"/>
              <w:ind w:right="84"/>
              <w:spacing w:after="0"/>
              <w:rPr>
                <w:sz w:val="20"/>
                <w:szCs w:val="20"/>
                <w:color w:val="auto"/>
              </w:rPr>
            </w:pPr>
            <w:r>
              <w:rPr>
                <w:rFonts w:ascii="Arial" w:cs="Arial" w:eastAsia="Arial" w:hAnsi="Arial"/>
                <w:sz w:val="21"/>
                <w:szCs w:val="21"/>
                <w:b w:val="1"/>
                <w:bCs w:val="1"/>
                <w:color w:val="0000FF"/>
                <w:w w:val="89"/>
              </w:rPr>
              <w:t xml:space="preserve">Agent’s </w:t>
            </w:r>
            <w:r>
              <w:rPr>
                <w:rFonts w:ascii="Arial" w:cs="Arial" w:eastAsia="Arial" w:hAnsi="Arial"/>
                <w:sz w:val="21"/>
                <w:szCs w:val="21"/>
                <w:color w:val="000000"/>
                <w:w w:val="89"/>
              </w:rPr>
              <w:t>Clawback</w:t>
            </w:r>
          </w:p>
        </w:tc>
        <w:tc>
          <w:tcPr>
            <w:tcW w:w="290" w:type="dxa"/>
            <w:vAlign w:val="bottom"/>
            <w:gridSpan w:val="3"/>
          </w:tcPr>
          <w:p>
            <w:pPr>
              <w:jc w:val="right"/>
              <w:spacing w:after="0"/>
              <w:rPr>
                <w:sz w:val="20"/>
                <w:szCs w:val="20"/>
                <w:color w:val="auto"/>
              </w:rPr>
            </w:pPr>
            <w:r>
              <w:rPr>
                <w:rFonts w:ascii="Arial" w:cs="Arial" w:eastAsia="Arial" w:hAnsi="Arial"/>
                <w:sz w:val="21"/>
                <w:szCs w:val="21"/>
                <w:b w:val="1"/>
                <w:bCs w:val="1"/>
                <w:color w:val="FF0000"/>
                <w:strike w:val="1"/>
                <w:w w:val="85"/>
              </w:rPr>
              <w:t>63</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0000FF"/>
                <w:w w:val="73"/>
              </w:rPr>
              <w:t>65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5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1620" w:type="dxa"/>
            <w:vAlign w:val="bottom"/>
          </w:tcPr>
          <w:p>
            <w:pPr>
              <w:ind w:left="160"/>
              <w:spacing w:after="0"/>
              <w:rPr>
                <w:sz w:val="20"/>
                <w:szCs w:val="20"/>
                <w:color w:val="auto"/>
              </w:rPr>
            </w:pPr>
            <w:r>
              <w:rPr>
                <w:rFonts w:ascii="Arial" w:cs="Arial" w:eastAsia="Arial" w:hAnsi="Arial"/>
                <w:sz w:val="21"/>
                <w:szCs w:val="21"/>
                <w:color w:val="auto"/>
                <w:w w:val="98"/>
              </w:rPr>
              <w:t>SECTION 2.13.</w:t>
            </w:r>
          </w:p>
        </w:tc>
        <w:tc>
          <w:tcPr>
            <w:tcW w:w="2980" w:type="dxa"/>
            <w:vAlign w:val="bottom"/>
            <w:gridSpan w:val="30"/>
          </w:tcPr>
          <w:p>
            <w:pPr>
              <w:ind w:left="100"/>
              <w:spacing w:after="0"/>
              <w:rPr>
                <w:sz w:val="20"/>
                <w:szCs w:val="20"/>
                <w:color w:val="auto"/>
              </w:rPr>
            </w:pPr>
            <w:r>
              <w:rPr>
                <w:rFonts w:ascii="Arial" w:cs="Arial" w:eastAsia="Arial" w:hAnsi="Arial"/>
                <w:sz w:val="21"/>
                <w:szCs w:val="21"/>
                <w:color w:val="auto"/>
                <w:w w:val="93"/>
              </w:rPr>
              <w:t>Sharing of Payments by Lenders</w:t>
            </w:r>
          </w:p>
        </w:tc>
        <w:tc>
          <w:tcPr>
            <w:tcW w:w="300" w:type="dxa"/>
            <w:vAlign w:val="bottom"/>
            <w:gridSpan w:val="5"/>
          </w:tcPr>
          <w:p>
            <w:pPr>
              <w:jc w:val="right"/>
              <w:spacing w:after="0"/>
              <w:rPr>
                <w:sz w:val="20"/>
                <w:szCs w:val="20"/>
                <w:color w:val="auto"/>
              </w:rPr>
            </w:pPr>
            <w:r>
              <w:rPr>
                <w:rFonts w:ascii="Arial" w:cs="Arial" w:eastAsia="Arial" w:hAnsi="Arial"/>
                <w:sz w:val="21"/>
                <w:szCs w:val="21"/>
                <w:b w:val="1"/>
                <w:bCs w:val="1"/>
                <w:color w:val="FF0000"/>
                <w:strike w:val="1"/>
              </w:rPr>
              <w:t>66</w:t>
            </w:r>
          </w:p>
        </w:tc>
        <w:tc>
          <w:tcPr>
            <w:tcW w:w="280" w:type="dxa"/>
            <w:vAlign w:val="bottom"/>
            <w:gridSpan w:val="4"/>
          </w:tcPr>
          <w:p>
            <w:pPr>
              <w:jc w:val="right"/>
              <w:ind w:right="60"/>
              <w:spacing w:after="0"/>
              <w:rPr>
                <w:sz w:val="20"/>
                <w:szCs w:val="20"/>
                <w:color w:val="auto"/>
              </w:rPr>
            </w:pPr>
            <w:r>
              <w:rPr>
                <w:rFonts w:ascii="Arial" w:cs="Arial" w:eastAsia="Arial" w:hAnsi="Arial"/>
                <w:sz w:val="21"/>
                <w:szCs w:val="21"/>
                <w:b w:val="1"/>
                <w:bCs w:val="1"/>
                <w:color w:val="0000FF"/>
                <w:w w:val="85"/>
              </w:rPr>
              <w:t>68</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620" w:type="dxa"/>
            <w:vAlign w:val="bottom"/>
          </w:tcPr>
          <w:p>
            <w:pPr>
              <w:ind w:left="160"/>
              <w:spacing w:after="0"/>
              <w:rPr>
                <w:sz w:val="20"/>
                <w:szCs w:val="20"/>
                <w:color w:val="auto"/>
              </w:rPr>
            </w:pPr>
            <w:r>
              <w:rPr>
                <w:rFonts w:ascii="Arial" w:cs="Arial" w:eastAsia="Arial" w:hAnsi="Arial"/>
                <w:sz w:val="21"/>
                <w:szCs w:val="21"/>
                <w:color w:val="auto"/>
                <w:w w:val="98"/>
              </w:rPr>
              <w:t>SECTION 2.14.</w:t>
            </w:r>
          </w:p>
        </w:tc>
        <w:tc>
          <w:tcPr>
            <w:tcW w:w="1780" w:type="dxa"/>
            <w:vAlign w:val="bottom"/>
            <w:gridSpan w:val="13"/>
          </w:tcPr>
          <w:p>
            <w:pPr>
              <w:ind w:left="100"/>
              <w:spacing w:after="0"/>
              <w:rPr>
                <w:sz w:val="20"/>
                <w:szCs w:val="20"/>
                <w:color w:val="auto"/>
              </w:rPr>
            </w:pPr>
            <w:r>
              <w:rPr>
                <w:rFonts w:ascii="Arial" w:cs="Arial" w:eastAsia="Arial" w:hAnsi="Arial"/>
                <w:sz w:val="21"/>
                <w:szCs w:val="21"/>
                <w:color w:val="auto"/>
              </w:rPr>
              <w:t>Expansion Option</w:t>
            </w:r>
          </w:p>
        </w:tc>
        <w:tc>
          <w:tcPr>
            <w:tcW w:w="40" w:type="dxa"/>
            <w:vAlign w:val="bottom"/>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Arial" w:cs="Arial" w:eastAsia="Arial" w:hAnsi="Arial"/>
                <w:sz w:val="21"/>
                <w:szCs w:val="21"/>
                <w:b w:val="1"/>
                <w:bCs w:val="1"/>
                <w:color w:val="FF0000"/>
                <w:strike w:val="1"/>
                <w:w w:val="93"/>
              </w:rPr>
              <w:t>66</w:t>
            </w:r>
          </w:p>
        </w:tc>
        <w:tc>
          <w:tcPr>
            <w:tcW w:w="140" w:type="dxa"/>
            <w:vAlign w:val="bottom"/>
            <w:gridSpan w:val="2"/>
          </w:tcPr>
          <w:p>
            <w:pPr>
              <w:spacing w:after="0"/>
              <w:rPr>
                <w:sz w:val="20"/>
                <w:szCs w:val="20"/>
                <w:color w:val="auto"/>
              </w:rPr>
            </w:pPr>
            <w:r>
              <w:rPr>
                <w:rFonts w:ascii="Arial" w:cs="Arial" w:eastAsia="Arial" w:hAnsi="Arial"/>
                <w:sz w:val="15"/>
                <w:szCs w:val="15"/>
                <w:b w:val="1"/>
                <w:bCs w:val="1"/>
                <w:color w:val="0000FF"/>
                <w:w w:val="71"/>
              </w:rPr>
              <w:t>68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620" w:type="dxa"/>
            <w:vAlign w:val="bottom"/>
          </w:tcPr>
          <w:p>
            <w:pPr>
              <w:ind w:left="160"/>
              <w:spacing w:after="0"/>
              <w:rPr>
                <w:sz w:val="20"/>
                <w:szCs w:val="20"/>
                <w:color w:val="auto"/>
              </w:rPr>
            </w:pPr>
            <w:r>
              <w:rPr>
                <w:rFonts w:ascii="Arial" w:cs="Arial" w:eastAsia="Arial" w:hAnsi="Arial"/>
                <w:sz w:val="21"/>
                <w:szCs w:val="21"/>
                <w:color w:val="auto"/>
                <w:w w:val="98"/>
              </w:rPr>
              <w:t>SECTION 2.15.</w:t>
            </w:r>
          </w:p>
        </w:tc>
        <w:tc>
          <w:tcPr>
            <w:tcW w:w="1600" w:type="dxa"/>
            <w:vAlign w:val="bottom"/>
            <w:gridSpan w:val="10"/>
          </w:tcPr>
          <w:p>
            <w:pPr>
              <w:ind w:left="100"/>
              <w:spacing w:after="0"/>
              <w:rPr>
                <w:sz w:val="20"/>
                <w:szCs w:val="20"/>
                <w:color w:val="auto"/>
              </w:rPr>
            </w:pPr>
            <w:r>
              <w:rPr>
                <w:rFonts w:ascii="Arial" w:cs="Arial" w:eastAsia="Arial" w:hAnsi="Arial"/>
                <w:sz w:val="21"/>
                <w:szCs w:val="21"/>
                <w:color w:val="auto"/>
              </w:rPr>
              <w:t>Cash Collateral</w:t>
            </w:r>
          </w:p>
        </w:tc>
        <w:tc>
          <w:tcPr>
            <w:tcW w:w="20" w:type="dxa"/>
            <w:vAlign w:val="bottom"/>
          </w:tcPr>
          <w:p>
            <w:pPr>
              <w:spacing w:after="0"/>
              <w:rPr>
                <w:sz w:val="24"/>
                <w:szCs w:val="24"/>
                <w:color w:val="auto"/>
              </w:rPr>
            </w:pPr>
          </w:p>
        </w:tc>
        <w:tc>
          <w:tcPr>
            <w:tcW w:w="200" w:type="dxa"/>
            <w:vAlign w:val="bottom"/>
            <w:gridSpan w:val="3"/>
          </w:tcPr>
          <w:p>
            <w:pPr>
              <w:jc w:val="center"/>
              <w:spacing w:after="0"/>
              <w:rPr>
                <w:sz w:val="20"/>
                <w:szCs w:val="20"/>
                <w:color w:val="auto"/>
              </w:rPr>
            </w:pPr>
            <w:r>
              <w:rPr>
                <w:rFonts w:ascii="Arial" w:cs="Arial" w:eastAsia="Arial" w:hAnsi="Arial"/>
                <w:sz w:val="21"/>
                <w:szCs w:val="21"/>
                <w:b w:val="1"/>
                <w:bCs w:val="1"/>
                <w:color w:val="FF0000"/>
                <w:strike w:val="1"/>
                <w:w w:val="85"/>
              </w:rPr>
              <w:t>69</w:t>
            </w:r>
          </w:p>
        </w:tc>
        <w:tc>
          <w:tcPr>
            <w:tcW w:w="320" w:type="dxa"/>
            <w:vAlign w:val="bottom"/>
            <w:tcBorders>
              <w:bottom w:val="single" w:sz="8" w:color="0000FF"/>
            </w:tcBorders>
            <w:gridSpan w:val="3"/>
          </w:tcPr>
          <w:p>
            <w:pPr>
              <w:jc w:val="right"/>
              <w:spacing w:after="0"/>
              <w:rPr>
                <w:sz w:val="20"/>
                <w:szCs w:val="20"/>
                <w:color w:val="auto"/>
              </w:rPr>
            </w:pPr>
            <w:r>
              <w:rPr>
                <w:rFonts w:ascii="Arial" w:cs="Arial" w:eastAsia="Arial" w:hAnsi="Arial"/>
                <w:sz w:val="21"/>
                <w:szCs w:val="21"/>
                <w:b w:val="1"/>
                <w:bCs w:val="1"/>
                <w:color w:val="0000FF"/>
                <w:w w:val="85"/>
              </w:rPr>
              <w:t>71</w:t>
            </w:r>
          </w:p>
        </w:tc>
        <w:tc>
          <w:tcPr>
            <w:tcW w:w="1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620" w:type="dxa"/>
            <w:vAlign w:val="bottom"/>
          </w:tcPr>
          <w:p>
            <w:pPr>
              <w:ind w:left="160"/>
              <w:spacing w:after="0"/>
              <w:rPr>
                <w:sz w:val="20"/>
                <w:szCs w:val="20"/>
                <w:color w:val="auto"/>
              </w:rPr>
            </w:pPr>
            <w:r>
              <w:rPr>
                <w:rFonts w:ascii="Arial" w:cs="Arial" w:eastAsia="Arial" w:hAnsi="Arial"/>
                <w:sz w:val="21"/>
                <w:szCs w:val="21"/>
                <w:color w:val="auto"/>
                <w:w w:val="98"/>
              </w:rPr>
              <w:t>SECTION 2.16.</w:t>
            </w:r>
          </w:p>
        </w:tc>
        <w:tc>
          <w:tcPr>
            <w:tcW w:w="1780" w:type="dxa"/>
            <w:vAlign w:val="bottom"/>
            <w:gridSpan w:val="13"/>
          </w:tcPr>
          <w:p>
            <w:pPr>
              <w:ind w:left="100"/>
              <w:spacing w:after="0"/>
              <w:rPr>
                <w:sz w:val="20"/>
                <w:szCs w:val="20"/>
                <w:color w:val="auto"/>
              </w:rPr>
            </w:pPr>
            <w:r>
              <w:rPr>
                <w:rFonts w:ascii="Arial" w:cs="Arial" w:eastAsia="Arial" w:hAnsi="Arial"/>
                <w:sz w:val="21"/>
                <w:szCs w:val="21"/>
                <w:color w:val="auto"/>
                <w:w w:val="94"/>
              </w:rPr>
              <w:t>Defaulting Lenders</w:t>
            </w:r>
          </w:p>
        </w:tc>
        <w:tc>
          <w:tcPr>
            <w:tcW w:w="140" w:type="dxa"/>
            <w:vAlign w:val="bottom"/>
            <w:gridSpan w:val="2"/>
          </w:tcPr>
          <w:p>
            <w:pPr>
              <w:spacing w:after="0"/>
              <w:rPr>
                <w:sz w:val="24"/>
                <w:szCs w:val="24"/>
                <w:color w:val="auto"/>
              </w:rPr>
            </w:pPr>
          </w:p>
        </w:tc>
        <w:tc>
          <w:tcPr>
            <w:tcW w:w="220" w:type="dxa"/>
            <w:vAlign w:val="bottom"/>
            <w:gridSpan w:val="2"/>
          </w:tcPr>
          <w:p>
            <w:pPr>
              <w:ind w:left="20"/>
              <w:spacing w:after="0"/>
              <w:rPr>
                <w:sz w:val="20"/>
                <w:szCs w:val="20"/>
                <w:color w:val="auto"/>
              </w:rPr>
            </w:pPr>
            <w:r>
              <w:rPr>
                <w:rFonts w:ascii="Arial" w:cs="Arial" w:eastAsia="Arial" w:hAnsi="Arial"/>
                <w:sz w:val="20"/>
                <w:szCs w:val="20"/>
                <w:b w:val="1"/>
                <w:bCs w:val="1"/>
                <w:color w:val="FF0000"/>
                <w:strike w:val="1"/>
                <w:w w:val="71"/>
              </w:rPr>
              <w:t>71</w:t>
            </w:r>
          </w:p>
        </w:tc>
        <w:tc>
          <w:tcPr>
            <w:tcW w:w="240" w:type="dxa"/>
            <w:vAlign w:val="bottom"/>
            <w:tcBorders>
              <w:bottom w:val="single" w:sz="8" w:color="0000FF"/>
            </w:tcBorders>
            <w:gridSpan w:val="4"/>
          </w:tcPr>
          <w:p>
            <w:pPr>
              <w:jc w:val="right"/>
              <w:spacing w:after="0"/>
              <w:rPr>
                <w:sz w:val="20"/>
                <w:szCs w:val="20"/>
                <w:color w:val="auto"/>
              </w:rPr>
            </w:pPr>
            <w:r>
              <w:rPr>
                <w:rFonts w:ascii="Arial" w:cs="Arial" w:eastAsia="Arial" w:hAnsi="Arial"/>
                <w:sz w:val="21"/>
                <w:szCs w:val="21"/>
                <w:b w:val="1"/>
                <w:bCs w:val="1"/>
                <w:color w:val="0000FF"/>
                <w:w w:val="93"/>
              </w:rPr>
              <w:t>73</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gridSpan w:val="3"/>
            <w:vMerge w:val="restart"/>
          </w:tcPr>
          <w:p>
            <w:pPr>
              <w:jc w:val="right"/>
              <w:spacing w:after="0"/>
              <w:rPr>
                <w:sz w:val="20"/>
                <w:szCs w:val="20"/>
                <w:color w:val="auto"/>
              </w:rPr>
            </w:pPr>
            <w:r>
              <w:rPr>
                <w:rFonts w:ascii="Arial" w:cs="Arial" w:eastAsia="Arial" w:hAnsi="Arial"/>
                <w:sz w:val="21"/>
                <w:szCs w:val="21"/>
                <w:b w:val="1"/>
                <w:bCs w:val="1"/>
                <w:color w:val="FF0000"/>
                <w:strike w:val="1"/>
                <w:w w:val="85"/>
              </w:rPr>
              <w:t>73</w:t>
            </w:r>
          </w:p>
        </w:tc>
        <w:tc>
          <w:tcPr>
            <w:tcW w:w="220" w:type="dxa"/>
            <w:vAlign w:val="bottom"/>
            <w:gridSpan w:val="3"/>
            <w:vMerge w:val="restart"/>
          </w:tcPr>
          <w:p>
            <w:pPr>
              <w:jc w:val="right"/>
              <w:spacing w:after="0"/>
              <w:rPr>
                <w:sz w:val="20"/>
                <w:szCs w:val="20"/>
                <w:color w:val="auto"/>
              </w:rPr>
            </w:pPr>
            <w:r>
              <w:rPr>
                <w:rFonts w:ascii="Arial" w:cs="Arial" w:eastAsia="Arial" w:hAnsi="Arial"/>
                <w:sz w:val="21"/>
                <w:szCs w:val="21"/>
                <w:b w:val="1"/>
                <w:bCs w:val="1"/>
                <w:color w:val="0000FF"/>
                <w:w w:val="85"/>
              </w:rPr>
              <w:t>75</w:t>
            </w:r>
          </w:p>
        </w:tc>
        <w:tc>
          <w:tcPr>
            <w:tcW w:w="4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120" w:type="dxa"/>
            <w:vAlign w:val="bottom"/>
            <w:gridSpan w:val="24"/>
          </w:tcPr>
          <w:p>
            <w:pPr>
              <w:ind w:left="160"/>
              <w:spacing w:after="0"/>
              <w:rPr>
                <w:sz w:val="20"/>
                <w:szCs w:val="20"/>
                <w:color w:val="auto"/>
              </w:rPr>
            </w:pPr>
            <w:r>
              <w:rPr>
                <w:rFonts w:ascii="Arial" w:cs="Arial" w:eastAsia="Arial" w:hAnsi="Arial"/>
                <w:sz w:val="21"/>
                <w:szCs w:val="21"/>
                <w:color w:val="auto"/>
                <w:w w:val="99"/>
              </w:rPr>
              <w:t>SECTION 2.17.  Alternate Rate of Interest.</w:t>
            </w:r>
          </w:p>
        </w:tc>
        <w:tc>
          <w:tcPr>
            <w:tcW w:w="220" w:type="dxa"/>
            <w:vAlign w:val="bottom"/>
            <w:gridSpan w:val="3"/>
            <w:vMerge w:val="continue"/>
          </w:tcPr>
          <w:p>
            <w:pPr>
              <w:spacing w:after="0"/>
              <w:rPr>
                <w:sz w:val="24"/>
                <w:szCs w:val="24"/>
                <w:color w:val="auto"/>
              </w:rPr>
            </w:pPr>
          </w:p>
        </w:tc>
        <w:tc>
          <w:tcPr>
            <w:tcW w:w="220" w:type="dxa"/>
            <w:vAlign w:val="bottom"/>
            <w:tcBorders>
              <w:bottom w:val="single" w:sz="8" w:color="0000FF"/>
            </w:tcBorders>
            <w:gridSpan w:val="3"/>
            <w:vMerge w:val="continue"/>
          </w:tcPr>
          <w:p>
            <w:pPr>
              <w:spacing w:after="0"/>
              <w:rPr>
                <w:sz w:val="24"/>
                <w:szCs w:val="24"/>
                <w:color w:val="auto"/>
              </w:rPr>
            </w:pPr>
          </w:p>
        </w:tc>
        <w:tc>
          <w:tcPr>
            <w:tcW w:w="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21"/>
                <w:szCs w:val="21"/>
                <w:b w:val="1"/>
                <w:bCs w:val="1"/>
                <w:color w:val="FF0000"/>
                <w:strike w:val="1"/>
                <w:w w:val="76"/>
              </w:rPr>
              <w:t>81</w:t>
            </w:r>
          </w:p>
        </w:tc>
        <w:tc>
          <w:tcPr>
            <w:tcW w:w="220" w:type="dxa"/>
            <w:vAlign w:val="bottom"/>
            <w:gridSpan w:val="2"/>
            <w:vMerge w:val="restart"/>
          </w:tcPr>
          <w:p>
            <w:pPr>
              <w:jc w:val="right"/>
              <w:ind w:right="40"/>
              <w:spacing w:after="0"/>
              <w:rPr>
                <w:sz w:val="20"/>
                <w:szCs w:val="20"/>
                <w:color w:val="auto"/>
              </w:rPr>
            </w:pPr>
            <w:r>
              <w:rPr>
                <w:rFonts w:ascii="Arial" w:cs="Arial" w:eastAsia="Arial" w:hAnsi="Arial"/>
                <w:sz w:val="20"/>
                <w:szCs w:val="20"/>
                <w:b w:val="1"/>
                <w:bCs w:val="1"/>
                <w:color w:val="0000FF"/>
                <w:w w:val="71"/>
              </w:rPr>
              <w:t>82</w:t>
            </w: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5930" w:type="dxa"/>
            <w:vAlign w:val="bottom"/>
            <w:gridSpan w:val="48"/>
          </w:tcPr>
          <w:p>
            <w:pPr>
              <w:jc w:val="center"/>
              <w:ind w:right="64"/>
              <w:spacing w:after="0"/>
              <w:rPr>
                <w:sz w:val="20"/>
                <w:szCs w:val="20"/>
                <w:color w:val="auto"/>
              </w:rPr>
            </w:pPr>
            <w:r>
              <w:rPr>
                <w:rFonts w:ascii="Arial" w:cs="Arial" w:eastAsia="Arial" w:hAnsi="Arial"/>
                <w:sz w:val="21"/>
                <w:szCs w:val="21"/>
                <w:color w:val="auto"/>
                <w:w w:val="99"/>
              </w:rPr>
              <w:t>ARTICLE III TAXES, YIELD PROTECTION AND ILLEGALITY</w:t>
            </w:r>
          </w:p>
        </w:tc>
        <w:tc>
          <w:tcPr>
            <w:tcW w:w="50" w:type="dxa"/>
            <w:vAlign w:val="bottom"/>
          </w:tcPr>
          <w:p>
            <w:pPr>
              <w:spacing w:after="0"/>
              <w:rPr>
                <w:sz w:val="24"/>
                <w:szCs w:val="24"/>
                <w:color w:val="auto"/>
              </w:rPr>
            </w:pPr>
          </w:p>
        </w:tc>
        <w:tc>
          <w:tcPr>
            <w:tcW w:w="240" w:type="dxa"/>
            <w:vAlign w:val="bottom"/>
            <w:gridSpan w:val="2"/>
            <w:vMerge w:val="continue"/>
          </w:tcPr>
          <w:p>
            <w:pPr>
              <w:spacing w:after="0"/>
              <w:rPr>
                <w:sz w:val="24"/>
                <w:szCs w:val="24"/>
                <w:color w:val="auto"/>
              </w:rPr>
            </w:pPr>
          </w:p>
        </w:tc>
        <w:tc>
          <w:tcPr>
            <w:tcW w:w="22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620" w:type="dxa"/>
            <w:vAlign w:val="bottom"/>
          </w:tcPr>
          <w:p>
            <w:pPr>
              <w:ind w:left="160"/>
              <w:spacing w:after="0"/>
              <w:rPr>
                <w:sz w:val="20"/>
                <w:szCs w:val="20"/>
                <w:color w:val="auto"/>
              </w:rPr>
            </w:pPr>
            <w:r>
              <w:rPr>
                <w:rFonts w:ascii="Arial" w:cs="Arial" w:eastAsia="Arial" w:hAnsi="Arial"/>
                <w:sz w:val="21"/>
                <w:szCs w:val="21"/>
                <w:color w:val="auto"/>
                <w:w w:val="98"/>
              </w:rPr>
              <w:t>SECTION 3.01.</w:t>
            </w:r>
          </w:p>
        </w:tc>
        <w:tc>
          <w:tcPr>
            <w:tcW w:w="700" w:type="dxa"/>
            <w:vAlign w:val="bottom"/>
          </w:tcPr>
          <w:p>
            <w:pPr>
              <w:ind w:left="100"/>
              <w:spacing w:after="0"/>
              <w:rPr>
                <w:sz w:val="20"/>
                <w:szCs w:val="20"/>
                <w:color w:val="auto"/>
              </w:rPr>
            </w:pPr>
            <w:r>
              <w:rPr>
                <w:rFonts w:ascii="Arial" w:cs="Arial" w:eastAsia="Arial" w:hAnsi="Arial"/>
                <w:sz w:val="21"/>
                <w:szCs w:val="21"/>
                <w:color w:val="auto"/>
              </w:rPr>
              <w:t>Taxes</w:t>
            </w:r>
          </w:p>
        </w:tc>
        <w:tc>
          <w:tcPr>
            <w:tcW w:w="300" w:type="dxa"/>
            <w:vAlign w:val="bottom"/>
            <w:gridSpan w:val="3"/>
          </w:tcPr>
          <w:p>
            <w:pPr>
              <w:jc w:val="right"/>
              <w:spacing w:after="0"/>
              <w:rPr>
                <w:sz w:val="20"/>
                <w:szCs w:val="20"/>
                <w:color w:val="auto"/>
              </w:rPr>
            </w:pPr>
            <w:r>
              <w:rPr>
                <w:rFonts w:ascii="Arial" w:cs="Arial" w:eastAsia="Arial" w:hAnsi="Arial"/>
                <w:sz w:val="21"/>
                <w:szCs w:val="21"/>
                <w:b w:val="1"/>
                <w:bCs w:val="1"/>
                <w:color w:val="FF0000"/>
                <w:strike w:val="1"/>
              </w:rPr>
              <w:t>81</w:t>
            </w:r>
          </w:p>
        </w:tc>
        <w:tc>
          <w:tcPr>
            <w:tcW w:w="220" w:type="dxa"/>
            <w:vAlign w:val="bottom"/>
            <w:tcBorders>
              <w:bottom w:val="single" w:sz="8" w:color="0000FF"/>
            </w:tcBorders>
            <w:gridSpan w:val="3"/>
          </w:tcPr>
          <w:p>
            <w:pPr>
              <w:jc w:val="right"/>
              <w:spacing w:after="0"/>
              <w:rPr>
                <w:sz w:val="20"/>
                <w:szCs w:val="20"/>
                <w:color w:val="auto"/>
              </w:rPr>
            </w:pPr>
            <w:r>
              <w:rPr>
                <w:rFonts w:ascii="Arial" w:cs="Arial" w:eastAsia="Arial" w:hAnsi="Arial"/>
                <w:sz w:val="21"/>
                <w:szCs w:val="21"/>
                <w:b w:val="1"/>
                <w:bCs w:val="1"/>
                <w:color w:val="0000FF"/>
                <w:w w:val="85"/>
              </w:rPr>
              <w:t>82</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iii</w:t>
      </w:r>
    </w:p>
    <w:p>
      <w:pPr>
        <w:sectPr>
          <w:pgSz w:w="11900" w:h="16838" w:orient="portrait"/>
          <w:cols w:equalWidth="0" w:num="1">
            <w:col w:w="11240"/>
          </w:cols>
          <w:pgMar w:left="320" w:top="1172" w:right="339" w:bottom="1440" w:gutter="0" w:footer="0" w:header="0"/>
        </w:sectPr>
      </w:pPr>
    </w:p>
    <w:bookmarkStart w:id="135" w:name="page136"/>
    <w:bookmarkEnd w:id="135"/>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39"/>
        </w:trPr>
        <w:tc>
          <w:tcPr>
            <w:tcW w:w="1620" w:type="dxa"/>
            <w:vAlign w:val="bottom"/>
            <w:vMerge w:val="restart"/>
          </w:tcPr>
          <w:p>
            <w:pPr>
              <w:ind w:left="160"/>
              <w:spacing w:after="0"/>
              <w:rPr>
                <w:sz w:val="20"/>
                <w:szCs w:val="20"/>
                <w:color w:val="auto"/>
              </w:rPr>
            </w:pPr>
            <w:r>
              <w:rPr>
                <w:rFonts w:ascii="Arial" w:cs="Arial" w:eastAsia="Arial" w:hAnsi="Arial"/>
                <w:sz w:val="21"/>
                <w:szCs w:val="21"/>
                <w:color w:val="auto"/>
                <w:w w:val="98"/>
              </w:rPr>
              <w:t>SECTION 3.02.</w:t>
            </w:r>
          </w:p>
        </w:tc>
        <w:tc>
          <w:tcPr>
            <w:tcW w:w="1020" w:type="dxa"/>
            <w:vAlign w:val="bottom"/>
            <w:gridSpan w:val="2"/>
            <w:vMerge w:val="restart"/>
          </w:tcPr>
          <w:p>
            <w:pPr>
              <w:ind w:left="100"/>
              <w:spacing w:after="0"/>
              <w:rPr>
                <w:sz w:val="20"/>
                <w:szCs w:val="20"/>
                <w:color w:val="auto"/>
              </w:rPr>
            </w:pPr>
            <w:r>
              <w:rPr>
                <w:rFonts w:ascii="Arial" w:cs="Arial" w:eastAsia="Arial" w:hAnsi="Arial"/>
                <w:sz w:val="21"/>
                <w:szCs w:val="21"/>
                <w:color w:val="auto"/>
              </w:rPr>
              <w:t>Illegality</w:t>
            </w:r>
          </w:p>
        </w:tc>
        <w:tc>
          <w:tcPr>
            <w:tcW w:w="260" w:type="dxa"/>
            <w:vAlign w:val="bottom"/>
            <w:gridSpan w:val="3"/>
            <w:vMerge w:val="restart"/>
          </w:tcPr>
          <w:p>
            <w:pPr>
              <w:jc w:val="right"/>
              <w:spacing w:after="0"/>
              <w:rPr>
                <w:sz w:val="20"/>
                <w:szCs w:val="20"/>
                <w:color w:val="auto"/>
              </w:rPr>
            </w:pPr>
            <w:r>
              <w:rPr>
                <w:rFonts w:ascii="Arial" w:cs="Arial" w:eastAsia="Arial" w:hAnsi="Arial"/>
                <w:sz w:val="21"/>
                <w:szCs w:val="21"/>
                <w:b w:val="1"/>
                <w:bCs w:val="1"/>
                <w:color w:val="FF0000"/>
                <w:strike w:val="1"/>
              </w:rPr>
              <w:t>86</w:t>
            </w:r>
          </w:p>
        </w:tc>
        <w:tc>
          <w:tcPr>
            <w:tcW w:w="220" w:type="dxa"/>
            <w:vAlign w:val="bottom"/>
            <w:gridSpan w:val="4"/>
            <w:vMerge w:val="restart"/>
          </w:tcPr>
          <w:p>
            <w:pPr>
              <w:jc w:val="right"/>
              <w:spacing w:after="0"/>
              <w:rPr>
                <w:sz w:val="20"/>
                <w:szCs w:val="20"/>
                <w:color w:val="auto"/>
              </w:rPr>
            </w:pPr>
            <w:r>
              <w:rPr>
                <w:rFonts w:ascii="Arial" w:cs="Arial" w:eastAsia="Arial" w:hAnsi="Arial"/>
                <w:sz w:val="21"/>
                <w:szCs w:val="21"/>
                <w:b w:val="1"/>
                <w:bCs w:val="1"/>
                <w:color w:val="0000FF"/>
                <w:w w:val="85"/>
              </w:rPr>
              <w:t>87</w:t>
            </w:r>
          </w:p>
        </w:tc>
        <w:tc>
          <w:tcPr>
            <w:tcW w:w="6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60" w:type="dxa"/>
            <w:vAlign w:val="bottom"/>
            <w:vMerge w:val="restart"/>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1620" w:type="dxa"/>
            <w:vAlign w:val="bottom"/>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260" w:type="dxa"/>
            <w:vAlign w:val="bottom"/>
            <w:gridSpan w:val="3"/>
            <w:vMerge w:val="continue"/>
          </w:tcPr>
          <w:p>
            <w:pPr>
              <w:spacing w:after="0"/>
              <w:rPr>
                <w:sz w:val="17"/>
                <w:szCs w:val="17"/>
                <w:color w:val="auto"/>
              </w:rPr>
            </w:pPr>
          </w:p>
        </w:tc>
        <w:tc>
          <w:tcPr>
            <w:tcW w:w="220" w:type="dxa"/>
            <w:vAlign w:val="bottom"/>
            <w:tcBorders>
              <w:bottom w:val="single" w:sz="8" w:color="0000FF"/>
            </w:tcBorders>
            <w:gridSpan w:val="4"/>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9"/>
        </w:trPr>
        <w:tc>
          <w:tcPr>
            <w:tcW w:w="1620" w:type="dxa"/>
            <w:vAlign w:val="bottom"/>
          </w:tcPr>
          <w:p>
            <w:pPr>
              <w:ind w:left="160"/>
              <w:spacing w:after="0"/>
              <w:rPr>
                <w:sz w:val="20"/>
                <w:szCs w:val="20"/>
                <w:color w:val="auto"/>
              </w:rPr>
            </w:pPr>
            <w:r>
              <w:rPr>
                <w:rFonts w:ascii="Arial" w:cs="Arial" w:eastAsia="Arial" w:hAnsi="Arial"/>
                <w:sz w:val="21"/>
                <w:szCs w:val="21"/>
                <w:color w:val="auto"/>
                <w:w w:val="98"/>
              </w:rPr>
              <w:t>SECTION 3.03.</w:t>
            </w:r>
          </w:p>
        </w:tc>
        <w:tc>
          <w:tcPr>
            <w:tcW w:w="2180" w:type="dxa"/>
            <w:vAlign w:val="bottom"/>
            <w:gridSpan w:val="15"/>
          </w:tcPr>
          <w:p>
            <w:pPr>
              <w:ind w:left="100"/>
              <w:spacing w:after="0"/>
              <w:rPr>
                <w:sz w:val="20"/>
                <w:szCs w:val="20"/>
                <w:color w:val="auto"/>
              </w:rPr>
            </w:pPr>
            <w:r>
              <w:rPr>
                <w:rFonts w:ascii="Arial" w:cs="Arial" w:eastAsia="Arial" w:hAnsi="Arial"/>
                <w:sz w:val="21"/>
                <w:szCs w:val="21"/>
                <w:color w:val="auto"/>
              </w:rPr>
              <w:t>[Intentionally Omitted]</w:t>
            </w:r>
          </w:p>
        </w:tc>
        <w:tc>
          <w:tcPr>
            <w:tcW w:w="400" w:type="dxa"/>
            <w:vAlign w:val="bottom"/>
            <w:gridSpan w:val="4"/>
          </w:tcPr>
          <w:p>
            <w:pPr>
              <w:jc w:val="right"/>
              <w:spacing w:after="0"/>
              <w:rPr>
                <w:sz w:val="20"/>
                <w:szCs w:val="20"/>
                <w:color w:val="auto"/>
              </w:rPr>
            </w:pPr>
            <w:r>
              <w:rPr>
                <w:rFonts w:ascii="Arial" w:cs="Arial" w:eastAsia="Arial" w:hAnsi="Arial"/>
                <w:sz w:val="21"/>
                <w:szCs w:val="21"/>
                <w:color w:val="auto"/>
              </w:rPr>
              <w:t>87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620" w:type="dxa"/>
            <w:vAlign w:val="bottom"/>
          </w:tcPr>
          <w:p>
            <w:pPr>
              <w:ind w:left="160"/>
              <w:spacing w:after="0"/>
              <w:rPr>
                <w:sz w:val="20"/>
                <w:szCs w:val="20"/>
                <w:color w:val="auto"/>
              </w:rPr>
            </w:pPr>
            <w:r>
              <w:rPr>
                <w:rFonts w:ascii="Arial" w:cs="Arial" w:eastAsia="Arial" w:hAnsi="Arial"/>
                <w:sz w:val="21"/>
                <w:szCs w:val="21"/>
                <w:color w:val="auto"/>
                <w:w w:val="98"/>
              </w:rPr>
              <w:t>SECTION 3.04.</w:t>
            </w:r>
          </w:p>
        </w:tc>
        <w:tc>
          <w:tcPr>
            <w:tcW w:w="4500" w:type="dxa"/>
            <w:vAlign w:val="bottom"/>
            <w:gridSpan w:val="28"/>
          </w:tcPr>
          <w:p>
            <w:pPr>
              <w:ind w:left="100"/>
              <w:spacing w:after="0"/>
              <w:rPr>
                <w:sz w:val="20"/>
                <w:szCs w:val="20"/>
                <w:color w:val="auto"/>
              </w:rPr>
            </w:pPr>
            <w:r>
              <w:rPr>
                <w:rFonts w:ascii="Arial" w:cs="Arial" w:eastAsia="Arial" w:hAnsi="Arial"/>
                <w:sz w:val="21"/>
                <w:szCs w:val="21"/>
                <w:color w:val="auto"/>
                <w:w w:val="91"/>
              </w:rPr>
              <w:t>Increased Costs; Additional Reserve Requirements</w:t>
            </w:r>
          </w:p>
        </w:tc>
        <w:tc>
          <w:tcPr>
            <w:tcW w:w="320" w:type="dxa"/>
            <w:vAlign w:val="bottom"/>
          </w:tcPr>
          <w:p>
            <w:pPr>
              <w:jc w:val="right"/>
              <w:spacing w:after="0"/>
              <w:rPr>
                <w:sz w:val="20"/>
                <w:szCs w:val="20"/>
                <w:color w:val="auto"/>
              </w:rPr>
            </w:pPr>
            <w:r>
              <w:rPr>
                <w:rFonts w:ascii="Arial" w:cs="Arial" w:eastAsia="Arial" w:hAnsi="Arial"/>
                <w:sz w:val="21"/>
                <w:szCs w:val="21"/>
                <w:color w:val="auto"/>
              </w:rPr>
              <w:t>87</w:t>
            </w:r>
          </w:p>
        </w:tc>
        <w:tc>
          <w:tcPr>
            <w:tcW w:w="0" w:type="dxa"/>
            <w:vAlign w:val="bottom"/>
          </w:tcPr>
          <w:p>
            <w:pPr>
              <w:spacing w:after="0"/>
              <w:rPr>
                <w:sz w:val="1"/>
                <w:szCs w:val="1"/>
                <w:color w:val="auto"/>
              </w:rPr>
            </w:pPr>
          </w:p>
        </w:tc>
      </w:tr>
      <w:tr>
        <w:trPr>
          <w:trHeight w:val="331"/>
        </w:trPr>
        <w:tc>
          <w:tcPr>
            <w:tcW w:w="1620" w:type="dxa"/>
            <w:vAlign w:val="bottom"/>
          </w:tcPr>
          <w:p>
            <w:pPr>
              <w:ind w:left="160"/>
              <w:spacing w:after="0"/>
              <w:rPr>
                <w:sz w:val="20"/>
                <w:szCs w:val="20"/>
                <w:color w:val="auto"/>
              </w:rPr>
            </w:pPr>
            <w:r>
              <w:rPr>
                <w:rFonts w:ascii="Arial" w:cs="Arial" w:eastAsia="Arial" w:hAnsi="Arial"/>
                <w:sz w:val="21"/>
                <w:szCs w:val="21"/>
                <w:color w:val="auto"/>
                <w:w w:val="98"/>
              </w:rPr>
              <w:t>SECTION 3.05.</w:t>
            </w:r>
          </w:p>
        </w:tc>
        <w:tc>
          <w:tcPr>
            <w:tcW w:w="2460" w:type="dxa"/>
            <w:vAlign w:val="bottom"/>
            <w:gridSpan w:val="17"/>
          </w:tcPr>
          <w:p>
            <w:pPr>
              <w:ind w:left="100"/>
              <w:spacing w:after="0"/>
              <w:rPr>
                <w:sz w:val="20"/>
                <w:szCs w:val="20"/>
                <w:color w:val="auto"/>
              </w:rPr>
            </w:pPr>
            <w:r>
              <w:rPr>
                <w:rFonts w:ascii="Arial" w:cs="Arial" w:eastAsia="Arial" w:hAnsi="Arial"/>
                <w:sz w:val="21"/>
                <w:szCs w:val="21"/>
                <w:color w:val="auto"/>
                <w:w w:val="98"/>
              </w:rPr>
              <w:t>Compensation for Losses</w:t>
            </w:r>
          </w:p>
        </w:tc>
        <w:tc>
          <w:tcPr>
            <w:tcW w:w="240" w:type="dxa"/>
            <w:vAlign w:val="bottom"/>
            <w:gridSpan w:val="3"/>
          </w:tcPr>
          <w:p>
            <w:pPr>
              <w:jc w:val="right"/>
              <w:spacing w:after="0"/>
              <w:rPr>
                <w:sz w:val="20"/>
                <w:szCs w:val="20"/>
                <w:color w:val="auto"/>
              </w:rPr>
            </w:pPr>
            <w:r>
              <w:rPr>
                <w:rFonts w:ascii="Arial" w:cs="Arial" w:eastAsia="Arial" w:hAnsi="Arial"/>
                <w:sz w:val="21"/>
                <w:szCs w:val="21"/>
                <w:color w:val="auto"/>
                <w:w w:val="85"/>
              </w:rPr>
              <w:t>89</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620" w:type="dxa"/>
            <w:vAlign w:val="bottom"/>
          </w:tcPr>
          <w:p>
            <w:pPr>
              <w:ind w:left="160"/>
              <w:spacing w:after="0"/>
              <w:rPr>
                <w:sz w:val="20"/>
                <w:szCs w:val="20"/>
                <w:color w:val="auto"/>
              </w:rPr>
            </w:pPr>
            <w:r>
              <w:rPr>
                <w:rFonts w:ascii="Arial" w:cs="Arial" w:eastAsia="Arial" w:hAnsi="Arial"/>
                <w:sz w:val="21"/>
                <w:szCs w:val="21"/>
                <w:color w:val="auto"/>
                <w:w w:val="98"/>
              </w:rPr>
              <w:t>SECTION 3.06.</w:t>
            </w:r>
          </w:p>
        </w:tc>
        <w:tc>
          <w:tcPr>
            <w:tcW w:w="2180" w:type="dxa"/>
            <w:vAlign w:val="bottom"/>
            <w:gridSpan w:val="15"/>
          </w:tcPr>
          <w:p>
            <w:pPr>
              <w:ind w:left="100"/>
              <w:spacing w:after="0"/>
              <w:rPr>
                <w:sz w:val="20"/>
                <w:szCs w:val="20"/>
                <w:color w:val="auto"/>
              </w:rPr>
            </w:pPr>
            <w:r>
              <w:rPr>
                <w:rFonts w:ascii="Arial" w:cs="Arial" w:eastAsia="Arial" w:hAnsi="Arial"/>
                <w:sz w:val="21"/>
                <w:szCs w:val="21"/>
                <w:color w:val="auto"/>
              </w:rPr>
              <w:t>Mitigation Obligations</w:t>
            </w:r>
          </w:p>
        </w:tc>
        <w:tc>
          <w:tcPr>
            <w:tcW w:w="280" w:type="dxa"/>
            <w:vAlign w:val="bottom"/>
            <w:gridSpan w:val="2"/>
          </w:tcPr>
          <w:p>
            <w:pPr>
              <w:jc w:val="right"/>
              <w:spacing w:after="0"/>
              <w:rPr>
                <w:sz w:val="20"/>
                <w:szCs w:val="20"/>
                <w:color w:val="auto"/>
              </w:rPr>
            </w:pPr>
            <w:r>
              <w:rPr>
                <w:rFonts w:ascii="Arial" w:cs="Arial" w:eastAsia="Arial" w:hAnsi="Arial"/>
                <w:sz w:val="21"/>
                <w:szCs w:val="21"/>
                <w:color w:val="auto"/>
              </w:rPr>
              <w:t>90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620" w:type="dxa"/>
            <w:vAlign w:val="bottom"/>
          </w:tcPr>
          <w:p>
            <w:pPr>
              <w:ind w:left="160"/>
              <w:spacing w:after="0"/>
              <w:rPr>
                <w:sz w:val="20"/>
                <w:szCs w:val="20"/>
                <w:color w:val="auto"/>
              </w:rPr>
            </w:pPr>
            <w:r>
              <w:rPr>
                <w:rFonts w:ascii="Arial" w:cs="Arial" w:eastAsia="Arial" w:hAnsi="Arial"/>
                <w:sz w:val="21"/>
                <w:szCs w:val="21"/>
                <w:color w:val="auto"/>
                <w:w w:val="98"/>
              </w:rPr>
              <w:t>SECTION 3.07.</w:t>
            </w:r>
          </w:p>
        </w:tc>
        <w:tc>
          <w:tcPr>
            <w:tcW w:w="1020" w:type="dxa"/>
            <w:vAlign w:val="bottom"/>
            <w:gridSpan w:val="2"/>
          </w:tcPr>
          <w:p>
            <w:pPr>
              <w:ind w:left="100"/>
              <w:spacing w:after="0"/>
              <w:rPr>
                <w:sz w:val="20"/>
                <w:szCs w:val="20"/>
                <w:color w:val="auto"/>
              </w:rPr>
            </w:pPr>
            <w:r>
              <w:rPr>
                <w:rFonts w:ascii="Arial" w:cs="Arial" w:eastAsia="Arial" w:hAnsi="Arial"/>
                <w:sz w:val="21"/>
                <w:szCs w:val="21"/>
                <w:color w:val="auto"/>
              </w:rPr>
              <w:t>Survival</w:t>
            </w:r>
          </w:p>
        </w:tc>
        <w:tc>
          <w:tcPr>
            <w:tcW w:w="220" w:type="dxa"/>
            <w:vAlign w:val="bottom"/>
            <w:gridSpan w:val="2"/>
          </w:tcPr>
          <w:p>
            <w:pPr>
              <w:jc w:val="right"/>
              <w:spacing w:after="0"/>
              <w:rPr>
                <w:sz w:val="20"/>
                <w:szCs w:val="20"/>
                <w:color w:val="auto"/>
              </w:rPr>
            </w:pPr>
            <w:r>
              <w:rPr>
                <w:rFonts w:ascii="Arial" w:cs="Arial" w:eastAsia="Arial" w:hAnsi="Arial"/>
                <w:sz w:val="21"/>
                <w:szCs w:val="21"/>
                <w:b w:val="1"/>
                <w:bCs w:val="1"/>
                <w:color w:val="FF0000"/>
                <w:strike w:val="1"/>
                <w:w w:val="85"/>
              </w:rPr>
              <w:t>91</w:t>
            </w:r>
          </w:p>
        </w:tc>
        <w:tc>
          <w:tcPr>
            <w:tcW w:w="260" w:type="dxa"/>
            <w:vAlign w:val="bottom"/>
            <w:gridSpan w:val="5"/>
          </w:tcPr>
          <w:p>
            <w:pPr>
              <w:jc w:val="right"/>
              <w:ind w:right="60"/>
              <w:spacing w:after="0"/>
              <w:rPr>
                <w:sz w:val="20"/>
                <w:szCs w:val="20"/>
                <w:color w:val="auto"/>
              </w:rPr>
            </w:pPr>
            <w:r>
              <w:rPr>
                <w:rFonts w:ascii="Arial" w:cs="Arial" w:eastAsia="Arial" w:hAnsi="Arial"/>
                <w:sz w:val="21"/>
                <w:szCs w:val="21"/>
                <w:b w:val="1"/>
                <w:bCs w:val="1"/>
                <w:color w:val="0000FF"/>
                <w:w w:val="76"/>
              </w:rPr>
              <w:t>90</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gridSpan w:val="3"/>
            <w:vMerge w:val="restart"/>
          </w:tcPr>
          <w:p>
            <w:pPr>
              <w:jc w:val="right"/>
              <w:spacing w:after="0"/>
              <w:rPr>
                <w:sz w:val="20"/>
                <w:szCs w:val="20"/>
                <w:color w:val="auto"/>
              </w:rPr>
            </w:pPr>
            <w:r>
              <w:rPr>
                <w:rFonts w:ascii="Arial" w:cs="Arial" w:eastAsia="Arial" w:hAnsi="Arial"/>
                <w:sz w:val="21"/>
                <w:szCs w:val="21"/>
                <w:b w:val="1"/>
                <w:bCs w:val="1"/>
                <w:color w:val="FF0000"/>
                <w:strike w:val="1"/>
                <w:w w:val="85"/>
              </w:rPr>
              <w:t>91</w:t>
            </w:r>
          </w:p>
        </w:tc>
        <w:tc>
          <w:tcPr>
            <w:tcW w:w="220" w:type="dxa"/>
            <w:vAlign w:val="bottom"/>
            <w:gridSpan w:val="2"/>
            <w:vMerge w:val="restart"/>
          </w:tcPr>
          <w:p>
            <w:pPr>
              <w:jc w:val="right"/>
              <w:spacing w:after="0"/>
              <w:rPr>
                <w:sz w:val="20"/>
                <w:szCs w:val="20"/>
                <w:color w:val="auto"/>
              </w:rPr>
            </w:pPr>
            <w:r>
              <w:rPr>
                <w:rFonts w:ascii="Arial" w:cs="Arial" w:eastAsia="Arial" w:hAnsi="Arial"/>
                <w:sz w:val="21"/>
                <w:szCs w:val="21"/>
                <w:b w:val="1"/>
                <w:bCs w:val="1"/>
                <w:color w:val="0000FF"/>
                <w:w w:val="85"/>
              </w:rPr>
              <w:t>90</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4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3"/>
            <w:vMerge w:val="continue"/>
          </w:tcPr>
          <w:p>
            <w:pPr>
              <w:spacing w:after="0" w:line="20" w:lineRule="exact"/>
              <w:rPr>
                <w:sz w:val="1"/>
                <w:szCs w:val="1"/>
                <w:color w:val="auto"/>
              </w:rPr>
            </w:pPr>
          </w:p>
        </w:tc>
        <w:tc>
          <w:tcPr>
            <w:tcW w:w="22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3800" w:type="dxa"/>
            <w:vAlign w:val="bottom"/>
            <w:gridSpan w:val="16"/>
          </w:tcPr>
          <w:p>
            <w:pPr>
              <w:spacing w:after="0"/>
              <w:rPr>
                <w:sz w:val="20"/>
                <w:szCs w:val="20"/>
                <w:color w:val="auto"/>
              </w:rPr>
            </w:pPr>
            <w:r>
              <w:rPr>
                <w:rFonts w:ascii="Arial" w:cs="Arial" w:eastAsia="Arial" w:hAnsi="Arial"/>
                <w:sz w:val="21"/>
                <w:szCs w:val="21"/>
                <w:color w:val="auto"/>
                <w:w w:val="97"/>
              </w:rPr>
              <w:t>ARTICLE IV CONDITIONS PRECEDENT</w:t>
            </w:r>
          </w:p>
        </w:tc>
        <w:tc>
          <w:tcPr>
            <w:tcW w:w="180" w:type="dxa"/>
            <w:vAlign w:val="bottom"/>
          </w:tcPr>
          <w:p>
            <w:pPr>
              <w:spacing w:after="0"/>
              <w:rPr>
                <w:sz w:val="24"/>
                <w:szCs w:val="24"/>
                <w:color w:val="auto"/>
              </w:rPr>
            </w:pPr>
          </w:p>
        </w:tc>
        <w:tc>
          <w:tcPr>
            <w:tcW w:w="220" w:type="dxa"/>
            <w:vAlign w:val="bottom"/>
            <w:gridSpan w:val="3"/>
            <w:vMerge w:val="continue"/>
          </w:tcPr>
          <w:p>
            <w:pPr>
              <w:spacing w:after="0"/>
              <w:rPr>
                <w:sz w:val="24"/>
                <w:szCs w:val="24"/>
                <w:color w:val="auto"/>
              </w:rPr>
            </w:pPr>
          </w:p>
        </w:tc>
        <w:tc>
          <w:tcPr>
            <w:tcW w:w="220" w:type="dxa"/>
            <w:vAlign w:val="bottom"/>
            <w:tcBorders>
              <w:bottom w:val="single" w:sz="8" w:color="0000FF"/>
            </w:tcBorders>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1620" w:type="dxa"/>
            <w:vAlign w:val="bottom"/>
          </w:tcPr>
          <w:p>
            <w:pPr>
              <w:ind w:left="160"/>
              <w:spacing w:after="0"/>
              <w:rPr>
                <w:sz w:val="20"/>
                <w:szCs w:val="20"/>
                <w:color w:val="auto"/>
              </w:rPr>
            </w:pPr>
            <w:r>
              <w:rPr>
                <w:rFonts w:ascii="Arial" w:cs="Arial" w:eastAsia="Arial" w:hAnsi="Arial"/>
                <w:sz w:val="21"/>
                <w:szCs w:val="21"/>
                <w:color w:val="auto"/>
                <w:w w:val="98"/>
              </w:rPr>
              <w:t>SECTION 4.01.</w:t>
            </w:r>
          </w:p>
        </w:tc>
        <w:tc>
          <w:tcPr>
            <w:tcW w:w="2460" w:type="dxa"/>
            <w:vAlign w:val="bottom"/>
            <w:gridSpan w:val="17"/>
          </w:tcPr>
          <w:p>
            <w:pPr>
              <w:ind w:left="100"/>
              <w:spacing w:after="0"/>
              <w:rPr>
                <w:sz w:val="20"/>
                <w:szCs w:val="20"/>
                <w:color w:val="auto"/>
              </w:rPr>
            </w:pPr>
            <w:r>
              <w:rPr>
                <w:rFonts w:ascii="Arial" w:cs="Arial" w:eastAsia="Arial" w:hAnsi="Arial"/>
                <w:sz w:val="21"/>
                <w:szCs w:val="21"/>
                <w:color w:val="auto"/>
                <w:w w:val="92"/>
              </w:rPr>
              <w:t>Conditions to Effectiveness</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gridSpan w:val="3"/>
          </w:tcPr>
          <w:p>
            <w:pPr>
              <w:jc w:val="right"/>
              <w:spacing w:after="0"/>
              <w:rPr>
                <w:sz w:val="20"/>
                <w:szCs w:val="20"/>
                <w:color w:val="auto"/>
              </w:rPr>
            </w:pPr>
            <w:r>
              <w:rPr>
                <w:rFonts w:ascii="Arial" w:cs="Arial" w:eastAsia="Arial" w:hAnsi="Arial"/>
                <w:sz w:val="21"/>
                <w:szCs w:val="21"/>
                <w:b w:val="1"/>
                <w:bCs w:val="1"/>
                <w:color w:val="FF0000"/>
                <w:strike w:val="1"/>
              </w:rPr>
              <w:t>91</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1"/>
                <w:szCs w:val="21"/>
                <w:b w:val="1"/>
                <w:bCs w:val="1"/>
                <w:color w:val="0000FF"/>
                <w:w w:val="76"/>
              </w:rPr>
              <w:t>90</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2"/>
        </w:trPr>
        <w:tc>
          <w:tcPr>
            <w:tcW w:w="1620" w:type="dxa"/>
            <w:vAlign w:val="bottom"/>
          </w:tcPr>
          <w:p>
            <w:pPr>
              <w:ind w:left="160"/>
              <w:spacing w:after="0"/>
              <w:rPr>
                <w:sz w:val="20"/>
                <w:szCs w:val="20"/>
                <w:color w:val="auto"/>
              </w:rPr>
            </w:pPr>
            <w:r>
              <w:rPr>
                <w:rFonts w:ascii="Arial" w:cs="Arial" w:eastAsia="Arial" w:hAnsi="Arial"/>
                <w:sz w:val="21"/>
                <w:szCs w:val="21"/>
                <w:color w:val="auto"/>
                <w:w w:val="98"/>
              </w:rPr>
              <w:t>SECTION 4.02.</w:t>
            </w:r>
          </w:p>
        </w:tc>
        <w:tc>
          <w:tcPr>
            <w:tcW w:w="3260" w:type="dxa"/>
            <w:vAlign w:val="bottom"/>
            <w:gridSpan w:val="24"/>
          </w:tcPr>
          <w:p>
            <w:pPr>
              <w:ind w:left="100"/>
              <w:spacing w:after="0"/>
              <w:rPr>
                <w:sz w:val="20"/>
                <w:szCs w:val="20"/>
                <w:color w:val="auto"/>
              </w:rPr>
            </w:pPr>
            <w:r>
              <w:rPr>
                <w:rFonts w:ascii="Arial" w:cs="Arial" w:eastAsia="Arial" w:hAnsi="Arial"/>
                <w:sz w:val="21"/>
                <w:szCs w:val="21"/>
                <w:color w:val="auto"/>
                <w:w w:val="98"/>
              </w:rPr>
              <w:t>Conditions to all Credit Extensions</w:t>
            </w:r>
          </w:p>
        </w:tc>
        <w:tc>
          <w:tcPr>
            <w:tcW w:w="240" w:type="dxa"/>
            <w:vAlign w:val="bottom"/>
          </w:tcPr>
          <w:p>
            <w:pPr>
              <w:jc w:val="right"/>
              <w:spacing w:after="0"/>
              <w:rPr>
                <w:sz w:val="20"/>
                <w:szCs w:val="20"/>
                <w:color w:val="auto"/>
              </w:rPr>
            </w:pPr>
            <w:r>
              <w:rPr>
                <w:rFonts w:ascii="Arial" w:cs="Arial" w:eastAsia="Arial" w:hAnsi="Arial"/>
                <w:sz w:val="21"/>
                <w:szCs w:val="21"/>
                <w:color w:val="auto"/>
                <w:w w:val="93"/>
              </w:rPr>
              <w:t>92</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120" w:type="dxa"/>
            <w:vAlign w:val="bottom"/>
            <w:gridSpan w:val="26"/>
          </w:tcPr>
          <w:p>
            <w:pPr>
              <w:spacing w:after="0"/>
              <w:rPr>
                <w:sz w:val="20"/>
                <w:szCs w:val="20"/>
                <w:color w:val="auto"/>
              </w:rPr>
            </w:pPr>
            <w:r>
              <w:rPr>
                <w:rFonts w:ascii="Arial" w:cs="Arial" w:eastAsia="Arial" w:hAnsi="Arial"/>
                <w:sz w:val="21"/>
                <w:szCs w:val="21"/>
                <w:color w:val="auto"/>
                <w:w w:val="98"/>
              </w:rPr>
              <w:t>ARTICLE V REPRESENTATIONS AND WARRANTIES</w:t>
            </w:r>
          </w:p>
        </w:tc>
        <w:tc>
          <w:tcPr>
            <w:tcW w:w="360" w:type="dxa"/>
            <w:vAlign w:val="bottom"/>
            <w:gridSpan w:val="2"/>
          </w:tcPr>
          <w:p>
            <w:pPr>
              <w:jc w:val="right"/>
              <w:spacing w:after="0"/>
              <w:rPr>
                <w:sz w:val="20"/>
                <w:szCs w:val="20"/>
                <w:color w:val="auto"/>
              </w:rPr>
            </w:pPr>
            <w:r>
              <w:rPr>
                <w:rFonts w:ascii="Arial" w:cs="Arial" w:eastAsia="Arial" w:hAnsi="Arial"/>
                <w:sz w:val="21"/>
                <w:szCs w:val="21"/>
                <w:color w:val="auto"/>
              </w:rPr>
              <w:t>93</w:t>
            </w: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1620" w:type="dxa"/>
            <w:vAlign w:val="bottom"/>
          </w:tcPr>
          <w:p>
            <w:pPr>
              <w:ind w:left="160"/>
              <w:spacing w:after="0"/>
              <w:rPr>
                <w:sz w:val="20"/>
                <w:szCs w:val="20"/>
                <w:color w:val="auto"/>
              </w:rPr>
            </w:pPr>
            <w:r>
              <w:rPr>
                <w:rFonts w:ascii="Arial" w:cs="Arial" w:eastAsia="Arial" w:hAnsi="Arial"/>
                <w:sz w:val="21"/>
                <w:szCs w:val="21"/>
                <w:color w:val="auto"/>
                <w:w w:val="98"/>
              </w:rPr>
              <w:t>SECTION 5.01.</w:t>
            </w:r>
          </w:p>
        </w:tc>
        <w:tc>
          <w:tcPr>
            <w:tcW w:w="3260" w:type="dxa"/>
            <w:vAlign w:val="bottom"/>
            <w:gridSpan w:val="24"/>
          </w:tcPr>
          <w:p>
            <w:pPr>
              <w:ind w:left="100"/>
              <w:spacing w:after="0"/>
              <w:rPr>
                <w:sz w:val="20"/>
                <w:szCs w:val="20"/>
                <w:color w:val="auto"/>
              </w:rPr>
            </w:pPr>
            <w:r>
              <w:rPr>
                <w:rFonts w:ascii="Arial" w:cs="Arial" w:eastAsia="Arial" w:hAnsi="Arial"/>
                <w:sz w:val="21"/>
                <w:szCs w:val="21"/>
                <w:color w:val="auto"/>
                <w:w w:val="96"/>
              </w:rPr>
              <w:t>Existence, Qualification and Power</w:t>
            </w:r>
          </w:p>
        </w:tc>
        <w:tc>
          <w:tcPr>
            <w:tcW w:w="380" w:type="dxa"/>
            <w:vAlign w:val="bottom"/>
            <w:gridSpan w:val="2"/>
          </w:tcPr>
          <w:p>
            <w:pPr>
              <w:jc w:val="right"/>
              <w:ind w:right="14"/>
              <w:spacing w:after="0"/>
              <w:rPr>
                <w:sz w:val="20"/>
                <w:szCs w:val="20"/>
                <w:color w:val="auto"/>
              </w:rPr>
            </w:pPr>
            <w:r>
              <w:rPr>
                <w:rFonts w:ascii="Arial" w:cs="Arial" w:eastAsia="Arial" w:hAnsi="Arial"/>
                <w:sz w:val="21"/>
                <w:szCs w:val="21"/>
                <w:color w:val="auto"/>
              </w:rPr>
              <w:t>93</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620" w:type="dxa"/>
            <w:vAlign w:val="bottom"/>
          </w:tcPr>
          <w:p>
            <w:pPr>
              <w:ind w:left="160"/>
              <w:spacing w:after="0"/>
              <w:rPr>
                <w:sz w:val="20"/>
                <w:szCs w:val="20"/>
                <w:color w:val="auto"/>
              </w:rPr>
            </w:pPr>
            <w:r>
              <w:rPr>
                <w:rFonts w:ascii="Arial" w:cs="Arial" w:eastAsia="Arial" w:hAnsi="Arial"/>
                <w:sz w:val="21"/>
                <w:szCs w:val="21"/>
                <w:color w:val="auto"/>
                <w:w w:val="98"/>
              </w:rPr>
              <w:t>SECTION 5.02.</w:t>
            </w:r>
          </w:p>
        </w:tc>
        <w:tc>
          <w:tcPr>
            <w:tcW w:w="3500" w:type="dxa"/>
            <w:vAlign w:val="bottom"/>
            <w:gridSpan w:val="25"/>
          </w:tcPr>
          <w:p>
            <w:pPr>
              <w:ind w:left="100"/>
              <w:spacing w:after="0"/>
              <w:rPr>
                <w:sz w:val="20"/>
                <w:szCs w:val="20"/>
                <w:color w:val="auto"/>
              </w:rPr>
            </w:pPr>
            <w:r>
              <w:rPr>
                <w:rFonts w:ascii="Arial" w:cs="Arial" w:eastAsia="Arial" w:hAnsi="Arial"/>
                <w:sz w:val="21"/>
                <w:szCs w:val="21"/>
                <w:color w:val="auto"/>
              </w:rPr>
              <w:t>Authorization; No Contravention  93</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620" w:type="dxa"/>
            <w:vAlign w:val="bottom"/>
          </w:tcPr>
          <w:p>
            <w:pPr>
              <w:ind w:left="160"/>
              <w:spacing w:after="0"/>
              <w:rPr>
                <w:sz w:val="20"/>
                <w:szCs w:val="20"/>
                <w:color w:val="auto"/>
              </w:rPr>
            </w:pPr>
            <w:r>
              <w:rPr>
                <w:rFonts w:ascii="Arial" w:cs="Arial" w:eastAsia="Arial" w:hAnsi="Arial"/>
                <w:sz w:val="21"/>
                <w:szCs w:val="21"/>
                <w:color w:val="auto"/>
                <w:w w:val="98"/>
              </w:rPr>
              <w:t>SECTION 5.03.</w:t>
            </w:r>
          </w:p>
        </w:tc>
        <w:tc>
          <w:tcPr>
            <w:tcW w:w="3500" w:type="dxa"/>
            <w:vAlign w:val="bottom"/>
            <w:gridSpan w:val="25"/>
          </w:tcPr>
          <w:p>
            <w:pPr>
              <w:ind w:left="100"/>
              <w:spacing w:after="0"/>
              <w:rPr>
                <w:sz w:val="20"/>
                <w:szCs w:val="20"/>
                <w:color w:val="auto"/>
              </w:rPr>
            </w:pPr>
            <w:r>
              <w:rPr>
                <w:rFonts w:ascii="Arial" w:cs="Arial" w:eastAsia="Arial" w:hAnsi="Arial"/>
                <w:sz w:val="21"/>
                <w:szCs w:val="21"/>
                <w:color w:val="auto"/>
                <w:w w:val="99"/>
              </w:rPr>
              <w:t>Material Governmental Authorization</w:t>
            </w:r>
          </w:p>
        </w:tc>
        <w:tc>
          <w:tcPr>
            <w:tcW w:w="360" w:type="dxa"/>
            <w:vAlign w:val="bottom"/>
            <w:gridSpan w:val="2"/>
          </w:tcPr>
          <w:p>
            <w:pPr>
              <w:jc w:val="right"/>
              <w:ind w:right="34"/>
              <w:spacing w:after="0"/>
              <w:rPr>
                <w:sz w:val="20"/>
                <w:szCs w:val="20"/>
                <w:color w:val="auto"/>
              </w:rPr>
            </w:pPr>
            <w:r>
              <w:rPr>
                <w:rFonts w:ascii="Arial" w:cs="Arial" w:eastAsia="Arial" w:hAnsi="Arial"/>
                <w:sz w:val="21"/>
                <w:szCs w:val="21"/>
                <w:color w:val="auto"/>
                <w:w w:val="85"/>
              </w:rPr>
              <w:t>93</w:t>
            </w: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620" w:type="dxa"/>
            <w:vAlign w:val="bottom"/>
          </w:tcPr>
          <w:p>
            <w:pPr>
              <w:ind w:left="160"/>
              <w:spacing w:after="0"/>
              <w:rPr>
                <w:sz w:val="20"/>
                <w:szCs w:val="20"/>
                <w:color w:val="auto"/>
              </w:rPr>
            </w:pPr>
            <w:r>
              <w:rPr>
                <w:rFonts w:ascii="Arial" w:cs="Arial" w:eastAsia="Arial" w:hAnsi="Arial"/>
                <w:sz w:val="21"/>
                <w:szCs w:val="21"/>
                <w:color w:val="auto"/>
                <w:w w:val="98"/>
              </w:rPr>
              <w:t>SECTION 5.04.</w:t>
            </w:r>
          </w:p>
        </w:tc>
        <w:tc>
          <w:tcPr>
            <w:tcW w:w="1560" w:type="dxa"/>
            <w:vAlign w:val="bottom"/>
            <w:gridSpan w:val="10"/>
          </w:tcPr>
          <w:p>
            <w:pPr>
              <w:ind w:left="100"/>
              <w:spacing w:after="0"/>
              <w:rPr>
                <w:sz w:val="20"/>
                <w:szCs w:val="20"/>
                <w:color w:val="auto"/>
              </w:rPr>
            </w:pPr>
            <w:r>
              <w:rPr>
                <w:rFonts w:ascii="Arial" w:cs="Arial" w:eastAsia="Arial" w:hAnsi="Arial"/>
                <w:sz w:val="21"/>
                <w:szCs w:val="21"/>
                <w:color w:val="auto"/>
              </w:rPr>
              <w:t>Binding Effect</w:t>
            </w:r>
          </w:p>
        </w:tc>
        <w:tc>
          <w:tcPr>
            <w:tcW w:w="200" w:type="dxa"/>
            <w:vAlign w:val="bottom"/>
            <w:gridSpan w:val="3"/>
          </w:tcPr>
          <w:p>
            <w:pPr>
              <w:jc w:val="right"/>
              <w:spacing w:after="0"/>
              <w:rPr>
                <w:sz w:val="20"/>
                <w:szCs w:val="20"/>
                <w:color w:val="auto"/>
              </w:rPr>
            </w:pPr>
            <w:r>
              <w:rPr>
                <w:rFonts w:ascii="Arial" w:cs="Arial" w:eastAsia="Arial" w:hAnsi="Arial"/>
                <w:sz w:val="21"/>
                <w:szCs w:val="21"/>
                <w:b w:val="1"/>
                <w:bCs w:val="1"/>
                <w:color w:val="FF0000"/>
                <w:strike w:val="1"/>
                <w:w w:val="76"/>
              </w:rPr>
              <w:t>94</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1"/>
                <w:szCs w:val="21"/>
                <w:b w:val="1"/>
                <w:bCs w:val="1"/>
                <w:color w:val="0000FF"/>
                <w:w w:val="85"/>
              </w:rPr>
              <w:t>93</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2"/>
        </w:trPr>
        <w:tc>
          <w:tcPr>
            <w:tcW w:w="1620" w:type="dxa"/>
            <w:vAlign w:val="bottom"/>
          </w:tcPr>
          <w:p>
            <w:pPr>
              <w:ind w:left="160"/>
              <w:spacing w:after="0"/>
              <w:rPr>
                <w:sz w:val="20"/>
                <w:szCs w:val="20"/>
                <w:color w:val="auto"/>
              </w:rPr>
            </w:pPr>
            <w:r>
              <w:rPr>
                <w:rFonts w:ascii="Arial" w:cs="Arial" w:eastAsia="Arial" w:hAnsi="Arial"/>
                <w:sz w:val="21"/>
                <w:szCs w:val="21"/>
                <w:color w:val="auto"/>
                <w:w w:val="98"/>
              </w:rPr>
              <w:t>SECTION 5.05.</w:t>
            </w:r>
          </w:p>
        </w:tc>
        <w:tc>
          <w:tcPr>
            <w:tcW w:w="4500" w:type="dxa"/>
            <w:vAlign w:val="bottom"/>
            <w:gridSpan w:val="28"/>
          </w:tcPr>
          <w:p>
            <w:pPr>
              <w:ind w:left="100"/>
              <w:spacing w:after="0"/>
              <w:rPr>
                <w:sz w:val="20"/>
                <w:szCs w:val="20"/>
                <w:color w:val="auto"/>
              </w:rPr>
            </w:pPr>
            <w:r>
              <w:rPr>
                <w:rFonts w:ascii="Arial" w:cs="Arial" w:eastAsia="Arial" w:hAnsi="Arial"/>
                <w:sz w:val="21"/>
                <w:szCs w:val="21"/>
                <w:color w:val="auto"/>
                <w:w w:val="95"/>
              </w:rPr>
              <w:t>Financial Statements; No Material Adverse Effect</w:t>
            </w:r>
          </w:p>
        </w:tc>
        <w:tc>
          <w:tcPr>
            <w:tcW w:w="320" w:type="dxa"/>
            <w:vAlign w:val="bottom"/>
          </w:tcPr>
          <w:p>
            <w:pPr>
              <w:jc w:val="right"/>
              <w:spacing w:after="0"/>
              <w:rPr>
                <w:sz w:val="20"/>
                <w:szCs w:val="20"/>
                <w:color w:val="auto"/>
              </w:rPr>
            </w:pPr>
            <w:r>
              <w:rPr>
                <w:rFonts w:ascii="Arial" w:cs="Arial" w:eastAsia="Arial" w:hAnsi="Arial"/>
                <w:sz w:val="21"/>
                <w:szCs w:val="21"/>
                <w:color w:val="auto"/>
                <w:w w:val="93"/>
              </w:rPr>
              <w:t>94</w:t>
            </w:r>
          </w:p>
        </w:tc>
        <w:tc>
          <w:tcPr>
            <w:tcW w:w="0" w:type="dxa"/>
            <w:vAlign w:val="bottom"/>
          </w:tcPr>
          <w:p>
            <w:pPr>
              <w:spacing w:after="0"/>
              <w:rPr>
                <w:sz w:val="1"/>
                <w:szCs w:val="1"/>
                <w:color w:val="auto"/>
              </w:rPr>
            </w:pPr>
          </w:p>
        </w:tc>
      </w:tr>
      <w:tr>
        <w:trPr>
          <w:trHeight w:val="318"/>
        </w:trPr>
        <w:tc>
          <w:tcPr>
            <w:tcW w:w="1620" w:type="dxa"/>
            <w:vAlign w:val="bottom"/>
          </w:tcPr>
          <w:p>
            <w:pPr>
              <w:ind w:left="160"/>
              <w:spacing w:after="0"/>
              <w:rPr>
                <w:sz w:val="20"/>
                <w:szCs w:val="20"/>
                <w:color w:val="auto"/>
              </w:rPr>
            </w:pPr>
            <w:r>
              <w:rPr>
                <w:rFonts w:ascii="Arial" w:cs="Arial" w:eastAsia="Arial" w:hAnsi="Arial"/>
                <w:sz w:val="21"/>
                <w:szCs w:val="21"/>
                <w:color w:val="auto"/>
                <w:w w:val="98"/>
              </w:rPr>
              <w:t>SECTION 5.06.</w:t>
            </w:r>
          </w:p>
        </w:tc>
        <w:tc>
          <w:tcPr>
            <w:tcW w:w="1020" w:type="dxa"/>
            <w:vAlign w:val="bottom"/>
            <w:gridSpan w:val="2"/>
          </w:tcPr>
          <w:p>
            <w:pPr>
              <w:ind w:left="100"/>
              <w:spacing w:after="0"/>
              <w:rPr>
                <w:sz w:val="20"/>
                <w:szCs w:val="20"/>
                <w:color w:val="auto"/>
              </w:rPr>
            </w:pPr>
            <w:r>
              <w:rPr>
                <w:rFonts w:ascii="Arial" w:cs="Arial" w:eastAsia="Arial" w:hAnsi="Arial"/>
                <w:sz w:val="21"/>
                <w:szCs w:val="21"/>
                <w:color w:val="auto"/>
              </w:rPr>
              <w:t>Litigation</w:t>
            </w:r>
          </w:p>
        </w:tc>
        <w:tc>
          <w:tcPr>
            <w:tcW w:w="340" w:type="dxa"/>
            <w:vAlign w:val="bottom"/>
            <w:gridSpan w:val="5"/>
          </w:tcPr>
          <w:p>
            <w:pPr>
              <w:jc w:val="right"/>
              <w:spacing w:after="0"/>
              <w:rPr>
                <w:sz w:val="20"/>
                <w:szCs w:val="20"/>
                <w:color w:val="auto"/>
              </w:rPr>
            </w:pPr>
            <w:r>
              <w:rPr>
                <w:rFonts w:ascii="Arial" w:cs="Arial" w:eastAsia="Arial" w:hAnsi="Arial"/>
                <w:sz w:val="21"/>
                <w:szCs w:val="21"/>
                <w:color w:val="auto"/>
              </w:rPr>
              <w:t>94</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620" w:type="dxa"/>
            <w:vAlign w:val="bottom"/>
          </w:tcPr>
          <w:p>
            <w:pPr>
              <w:ind w:left="160"/>
              <w:spacing w:after="0"/>
              <w:rPr>
                <w:sz w:val="20"/>
                <w:szCs w:val="20"/>
                <w:color w:val="auto"/>
              </w:rPr>
            </w:pPr>
            <w:r>
              <w:rPr>
                <w:rFonts w:ascii="Arial" w:cs="Arial" w:eastAsia="Arial" w:hAnsi="Arial"/>
                <w:sz w:val="21"/>
                <w:szCs w:val="21"/>
                <w:color w:val="auto"/>
                <w:w w:val="98"/>
              </w:rPr>
              <w:t>SECTION 5.07.</w:t>
            </w:r>
          </w:p>
        </w:tc>
        <w:tc>
          <w:tcPr>
            <w:tcW w:w="3260" w:type="dxa"/>
            <w:vAlign w:val="bottom"/>
            <w:gridSpan w:val="24"/>
          </w:tcPr>
          <w:p>
            <w:pPr>
              <w:ind w:left="100"/>
              <w:spacing w:after="0"/>
              <w:rPr>
                <w:sz w:val="20"/>
                <w:szCs w:val="20"/>
                <w:color w:val="auto"/>
              </w:rPr>
            </w:pPr>
            <w:r>
              <w:rPr>
                <w:rFonts w:ascii="Arial" w:cs="Arial" w:eastAsia="Arial" w:hAnsi="Arial"/>
                <w:sz w:val="21"/>
                <w:szCs w:val="21"/>
                <w:color w:val="auto"/>
                <w:w w:val="93"/>
              </w:rPr>
              <w:t>Anti-Corruption Laws and Sanctions</w:t>
            </w:r>
          </w:p>
        </w:tc>
        <w:tc>
          <w:tcPr>
            <w:tcW w:w="380" w:type="dxa"/>
            <w:vAlign w:val="bottom"/>
            <w:gridSpan w:val="2"/>
          </w:tcPr>
          <w:p>
            <w:pPr>
              <w:jc w:val="right"/>
              <w:spacing w:after="0"/>
              <w:rPr>
                <w:sz w:val="20"/>
                <w:szCs w:val="20"/>
                <w:color w:val="auto"/>
              </w:rPr>
            </w:pPr>
            <w:r>
              <w:rPr>
                <w:rFonts w:ascii="Arial" w:cs="Arial" w:eastAsia="Arial" w:hAnsi="Arial"/>
                <w:sz w:val="21"/>
                <w:szCs w:val="21"/>
                <w:b w:val="1"/>
                <w:bCs w:val="1"/>
                <w:color w:val="FF0000"/>
                <w:strike w:val="1"/>
              </w:rPr>
              <w:t>95</w:t>
            </w:r>
          </w:p>
        </w:tc>
        <w:tc>
          <w:tcPr>
            <w:tcW w:w="220" w:type="dxa"/>
            <w:vAlign w:val="bottom"/>
            <w:tcBorders>
              <w:bottom w:val="single" w:sz="8" w:color="0000FF"/>
            </w:tcBorders>
          </w:tcPr>
          <w:p>
            <w:pPr>
              <w:jc w:val="right"/>
              <w:spacing w:after="0"/>
              <w:rPr>
                <w:sz w:val="20"/>
                <w:szCs w:val="20"/>
                <w:color w:val="auto"/>
              </w:rPr>
            </w:pPr>
            <w:r>
              <w:rPr>
                <w:rFonts w:ascii="Arial" w:cs="Arial" w:eastAsia="Arial" w:hAnsi="Arial"/>
                <w:sz w:val="21"/>
                <w:szCs w:val="21"/>
                <w:b w:val="1"/>
                <w:bCs w:val="1"/>
                <w:color w:val="0000FF"/>
                <w:w w:val="85"/>
              </w:rPr>
              <w:t>94</w:t>
            </w: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2"/>
        </w:trPr>
        <w:tc>
          <w:tcPr>
            <w:tcW w:w="1620" w:type="dxa"/>
            <w:vAlign w:val="bottom"/>
          </w:tcPr>
          <w:p>
            <w:pPr>
              <w:ind w:left="160"/>
              <w:spacing w:after="0"/>
              <w:rPr>
                <w:sz w:val="20"/>
                <w:szCs w:val="20"/>
                <w:color w:val="auto"/>
              </w:rPr>
            </w:pPr>
            <w:r>
              <w:rPr>
                <w:rFonts w:ascii="Arial" w:cs="Arial" w:eastAsia="Arial" w:hAnsi="Arial"/>
                <w:sz w:val="21"/>
                <w:szCs w:val="21"/>
                <w:color w:val="auto"/>
                <w:w w:val="98"/>
              </w:rPr>
              <w:t>SECTION 5.08.</w:t>
            </w:r>
          </w:p>
        </w:tc>
        <w:tc>
          <w:tcPr>
            <w:tcW w:w="4500" w:type="dxa"/>
            <w:vAlign w:val="bottom"/>
            <w:gridSpan w:val="28"/>
          </w:tcPr>
          <w:p>
            <w:pPr>
              <w:ind w:left="100"/>
              <w:spacing w:after="0"/>
              <w:rPr>
                <w:sz w:val="20"/>
                <w:szCs w:val="20"/>
                <w:color w:val="auto"/>
              </w:rPr>
            </w:pPr>
            <w:r>
              <w:rPr>
                <w:rFonts w:ascii="Arial" w:cs="Arial" w:eastAsia="Arial" w:hAnsi="Arial"/>
                <w:sz w:val="21"/>
                <w:szCs w:val="21"/>
                <w:color w:val="auto"/>
                <w:w w:val="94"/>
              </w:rPr>
              <w:t>Margin Regulations; Investment Company Act  95</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620" w:type="dxa"/>
            <w:vAlign w:val="bottom"/>
          </w:tcPr>
          <w:p>
            <w:pPr>
              <w:ind w:left="160"/>
              <w:spacing w:after="0"/>
              <w:rPr>
                <w:sz w:val="20"/>
                <w:szCs w:val="20"/>
                <w:color w:val="auto"/>
              </w:rPr>
            </w:pPr>
            <w:r>
              <w:rPr>
                <w:rFonts w:ascii="Arial" w:cs="Arial" w:eastAsia="Arial" w:hAnsi="Arial"/>
                <w:sz w:val="21"/>
                <w:szCs w:val="21"/>
                <w:color w:val="auto"/>
                <w:w w:val="98"/>
              </w:rPr>
              <w:t>SECTION 5.09.</w:t>
            </w:r>
          </w:p>
        </w:tc>
        <w:tc>
          <w:tcPr>
            <w:tcW w:w="1020" w:type="dxa"/>
            <w:vAlign w:val="bottom"/>
            <w:gridSpan w:val="2"/>
          </w:tcPr>
          <w:p>
            <w:pPr>
              <w:ind w:left="100"/>
              <w:spacing w:after="0"/>
              <w:rPr>
                <w:sz w:val="20"/>
                <w:szCs w:val="20"/>
                <w:color w:val="auto"/>
              </w:rPr>
            </w:pPr>
            <w:r>
              <w:rPr>
                <w:rFonts w:ascii="Arial" w:cs="Arial" w:eastAsia="Arial" w:hAnsi="Arial"/>
                <w:sz w:val="21"/>
                <w:szCs w:val="21"/>
                <w:color w:val="auto"/>
                <w:w w:val="91"/>
              </w:rPr>
              <w:t>Disclosure</w:t>
            </w:r>
          </w:p>
        </w:tc>
        <w:tc>
          <w:tcPr>
            <w:tcW w:w="420" w:type="dxa"/>
            <w:vAlign w:val="bottom"/>
            <w:gridSpan w:val="6"/>
          </w:tcPr>
          <w:p>
            <w:pPr>
              <w:jc w:val="right"/>
              <w:spacing w:after="0"/>
              <w:rPr>
                <w:sz w:val="20"/>
                <w:szCs w:val="20"/>
                <w:color w:val="auto"/>
              </w:rPr>
            </w:pPr>
            <w:r>
              <w:rPr>
                <w:rFonts w:ascii="Arial" w:cs="Arial" w:eastAsia="Arial" w:hAnsi="Arial"/>
                <w:sz w:val="21"/>
                <w:szCs w:val="21"/>
                <w:color w:val="auto"/>
              </w:rPr>
              <w:t>95</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620" w:type="dxa"/>
            <w:vAlign w:val="bottom"/>
          </w:tcPr>
          <w:p>
            <w:pPr>
              <w:ind w:left="160"/>
              <w:spacing w:after="0"/>
              <w:rPr>
                <w:sz w:val="20"/>
                <w:szCs w:val="20"/>
                <w:color w:val="auto"/>
              </w:rPr>
            </w:pPr>
            <w:r>
              <w:rPr>
                <w:rFonts w:ascii="Arial" w:cs="Arial" w:eastAsia="Arial" w:hAnsi="Arial"/>
                <w:sz w:val="21"/>
                <w:szCs w:val="21"/>
                <w:color w:val="auto"/>
                <w:w w:val="98"/>
              </w:rPr>
              <w:t>SECTION 5.10.</w:t>
            </w:r>
          </w:p>
        </w:tc>
        <w:tc>
          <w:tcPr>
            <w:tcW w:w="2180" w:type="dxa"/>
            <w:vAlign w:val="bottom"/>
            <w:gridSpan w:val="15"/>
          </w:tcPr>
          <w:p>
            <w:pPr>
              <w:ind w:left="100"/>
              <w:spacing w:after="0"/>
              <w:rPr>
                <w:sz w:val="20"/>
                <w:szCs w:val="20"/>
                <w:color w:val="auto"/>
              </w:rPr>
            </w:pPr>
            <w:r>
              <w:rPr>
                <w:rFonts w:ascii="Arial" w:cs="Arial" w:eastAsia="Arial" w:hAnsi="Arial"/>
                <w:sz w:val="21"/>
                <w:szCs w:val="21"/>
                <w:color w:val="auto"/>
                <w:w w:val="98"/>
              </w:rPr>
              <w:t>Compliance with Laws</w:t>
            </w:r>
          </w:p>
        </w:tc>
        <w:tc>
          <w:tcPr>
            <w:tcW w:w="400" w:type="dxa"/>
            <w:vAlign w:val="bottom"/>
            <w:gridSpan w:val="4"/>
          </w:tcPr>
          <w:p>
            <w:pPr>
              <w:jc w:val="right"/>
              <w:spacing w:after="0"/>
              <w:rPr>
                <w:sz w:val="20"/>
                <w:szCs w:val="20"/>
                <w:color w:val="auto"/>
              </w:rPr>
            </w:pPr>
            <w:r>
              <w:rPr>
                <w:rFonts w:ascii="Arial" w:cs="Arial" w:eastAsia="Arial" w:hAnsi="Arial"/>
                <w:sz w:val="21"/>
                <w:szCs w:val="21"/>
                <w:color w:val="auto"/>
              </w:rPr>
              <w:t>95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620" w:type="dxa"/>
            <w:vAlign w:val="bottom"/>
          </w:tcPr>
          <w:p>
            <w:pPr>
              <w:ind w:left="160"/>
              <w:spacing w:after="0"/>
              <w:rPr>
                <w:sz w:val="20"/>
                <w:szCs w:val="20"/>
                <w:color w:val="auto"/>
              </w:rPr>
            </w:pPr>
            <w:r>
              <w:rPr>
                <w:rFonts w:ascii="Arial" w:cs="Arial" w:eastAsia="Arial" w:hAnsi="Arial"/>
                <w:sz w:val="21"/>
                <w:szCs w:val="21"/>
                <w:color w:val="auto"/>
                <w:w w:val="98"/>
              </w:rPr>
              <w:t>SECTION 5.11.</w:t>
            </w:r>
          </w:p>
        </w:tc>
        <w:tc>
          <w:tcPr>
            <w:tcW w:w="1020" w:type="dxa"/>
            <w:vAlign w:val="bottom"/>
            <w:gridSpan w:val="2"/>
          </w:tcPr>
          <w:p>
            <w:pPr>
              <w:ind w:left="80"/>
              <w:spacing w:after="0"/>
              <w:rPr>
                <w:sz w:val="20"/>
                <w:szCs w:val="20"/>
                <w:color w:val="auto"/>
              </w:rPr>
            </w:pPr>
            <w:r>
              <w:rPr>
                <w:rFonts w:ascii="Arial" w:cs="Arial" w:eastAsia="Arial" w:hAnsi="Arial"/>
                <w:sz w:val="21"/>
                <w:szCs w:val="21"/>
                <w:color w:val="auto"/>
                <w:w w:val="96"/>
              </w:rPr>
              <w:t>Properties</w:t>
            </w:r>
          </w:p>
        </w:tc>
        <w:tc>
          <w:tcPr>
            <w:tcW w:w="80" w:type="dxa"/>
            <w:vAlign w:val="bottom"/>
          </w:tcPr>
          <w:p>
            <w:pPr>
              <w:spacing w:after="0"/>
              <w:rPr>
                <w:sz w:val="24"/>
                <w:szCs w:val="24"/>
                <w:color w:val="auto"/>
              </w:rPr>
            </w:pPr>
          </w:p>
        </w:tc>
        <w:tc>
          <w:tcPr>
            <w:tcW w:w="260" w:type="dxa"/>
            <w:vAlign w:val="bottom"/>
            <w:gridSpan w:val="4"/>
          </w:tcPr>
          <w:p>
            <w:pPr>
              <w:jc w:val="right"/>
              <w:spacing w:after="0"/>
              <w:rPr>
                <w:sz w:val="20"/>
                <w:szCs w:val="20"/>
                <w:color w:val="auto"/>
              </w:rPr>
            </w:pPr>
            <w:r>
              <w:rPr>
                <w:rFonts w:ascii="Arial" w:cs="Arial" w:eastAsia="Arial" w:hAnsi="Arial"/>
                <w:sz w:val="21"/>
                <w:szCs w:val="21"/>
                <w:b w:val="1"/>
                <w:bCs w:val="1"/>
                <w:color w:val="FF0000"/>
                <w:strike w:val="1"/>
              </w:rPr>
              <w:t>96</w:t>
            </w:r>
          </w:p>
        </w:tc>
        <w:tc>
          <w:tcPr>
            <w:tcW w:w="220" w:type="dxa"/>
            <w:vAlign w:val="bottom"/>
            <w:tcBorders>
              <w:bottom w:val="single" w:sz="8" w:color="0000FF"/>
            </w:tcBorders>
            <w:gridSpan w:val="4"/>
          </w:tcPr>
          <w:p>
            <w:pPr>
              <w:jc w:val="right"/>
              <w:spacing w:after="0"/>
              <w:rPr>
                <w:sz w:val="20"/>
                <w:szCs w:val="20"/>
                <w:color w:val="auto"/>
              </w:rPr>
            </w:pPr>
            <w:r>
              <w:rPr>
                <w:rFonts w:ascii="Arial" w:cs="Arial" w:eastAsia="Arial" w:hAnsi="Arial"/>
                <w:sz w:val="21"/>
                <w:szCs w:val="21"/>
                <w:b w:val="1"/>
                <w:bCs w:val="1"/>
                <w:color w:val="0000FF"/>
                <w:w w:val="85"/>
              </w:rPr>
              <w:t>95</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4080" w:type="dxa"/>
            <w:vAlign w:val="bottom"/>
            <w:gridSpan w:val="18"/>
          </w:tcPr>
          <w:p>
            <w:pPr>
              <w:spacing w:after="0"/>
              <w:rPr>
                <w:sz w:val="20"/>
                <w:szCs w:val="20"/>
                <w:color w:val="auto"/>
              </w:rPr>
            </w:pPr>
            <w:r>
              <w:rPr>
                <w:rFonts w:ascii="Arial" w:cs="Arial" w:eastAsia="Arial" w:hAnsi="Arial"/>
                <w:sz w:val="21"/>
                <w:szCs w:val="21"/>
                <w:color w:val="auto"/>
              </w:rPr>
              <w:t>ARTICLE VI AFFIRMATIVE COVENANTS</w:t>
            </w:r>
          </w:p>
        </w:tc>
        <w:tc>
          <w:tcPr>
            <w:tcW w:w="340" w:type="dxa"/>
            <w:vAlign w:val="bottom"/>
            <w:gridSpan w:val="4"/>
          </w:tcPr>
          <w:p>
            <w:pPr>
              <w:jc w:val="right"/>
              <w:ind w:right="60"/>
              <w:spacing w:after="0"/>
              <w:rPr>
                <w:sz w:val="20"/>
                <w:szCs w:val="20"/>
                <w:color w:val="auto"/>
              </w:rPr>
            </w:pPr>
            <w:r>
              <w:rPr>
                <w:rFonts w:ascii="Arial" w:cs="Arial" w:eastAsia="Arial" w:hAnsi="Arial"/>
                <w:sz w:val="21"/>
                <w:szCs w:val="21"/>
                <w:color w:val="auto"/>
              </w:rPr>
              <w:t>96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1620" w:type="dxa"/>
            <w:vAlign w:val="bottom"/>
          </w:tcPr>
          <w:p>
            <w:pPr>
              <w:ind w:left="160"/>
              <w:spacing w:after="0"/>
              <w:rPr>
                <w:sz w:val="20"/>
                <w:szCs w:val="20"/>
                <w:color w:val="auto"/>
              </w:rPr>
            </w:pPr>
            <w:r>
              <w:rPr>
                <w:rFonts w:ascii="Arial" w:cs="Arial" w:eastAsia="Arial" w:hAnsi="Arial"/>
                <w:sz w:val="21"/>
                <w:szCs w:val="21"/>
                <w:color w:val="auto"/>
                <w:w w:val="98"/>
              </w:rPr>
              <w:t>SECTION 6.01.</w:t>
            </w:r>
          </w:p>
        </w:tc>
        <w:tc>
          <w:tcPr>
            <w:tcW w:w="2460" w:type="dxa"/>
            <w:vAlign w:val="bottom"/>
            <w:gridSpan w:val="17"/>
          </w:tcPr>
          <w:p>
            <w:pPr>
              <w:ind w:left="100"/>
              <w:spacing w:after="0"/>
              <w:rPr>
                <w:sz w:val="20"/>
                <w:szCs w:val="20"/>
                <w:color w:val="auto"/>
              </w:rPr>
            </w:pPr>
            <w:r>
              <w:rPr>
                <w:rFonts w:ascii="Arial" w:cs="Arial" w:eastAsia="Arial" w:hAnsi="Arial"/>
                <w:sz w:val="21"/>
                <w:szCs w:val="21"/>
                <w:color w:val="auto"/>
              </w:rPr>
              <w:t>Financial Statements  96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620" w:type="dxa"/>
            <w:vAlign w:val="bottom"/>
          </w:tcPr>
          <w:p>
            <w:pPr>
              <w:ind w:left="160"/>
              <w:spacing w:after="0"/>
              <w:rPr>
                <w:sz w:val="20"/>
                <w:szCs w:val="20"/>
                <w:color w:val="auto"/>
              </w:rPr>
            </w:pPr>
            <w:r>
              <w:rPr>
                <w:rFonts w:ascii="Arial" w:cs="Arial" w:eastAsia="Arial" w:hAnsi="Arial"/>
                <w:sz w:val="21"/>
                <w:szCs w:val="21"/>
                <w:color w:val="auto"/>
                <w:w w:val="98"/>
              </w:rPr>
              <w:t>SECTION 6.02.</w:t>
            </w:r>
          </w:p>
        </w:tc>
        <w:tc>
          <w:tcPr>
            <w:tcW w:w="4500" w:type="dxa"/>
            <w:vAlign w:val="bottom"/>
            <w:gridSpan w:val="28"/>
          </w:tcPr>
          <w:p>
            <w:pPr>
              <w:ind w:left="100"/>
              <w:spacing w:after="0"/>
              <w:rPr>
                <w:sz w:val="20"/>
                <w:szCs w:val="20"/>
                <w:color w:val="auto"/>
              </w:rPr>
            </w:pPr>
            <w:r>
              <w:rPr>
                <w:rFonts w:ascii="Arial" w:cs="Arial" w:eastAsia="Arial" w:hAnsi="Arial"/>
                <w:sz w:val="21"/>
                <w:szCs w:val="21"/>
                <w:color w:val="auto"/>
                <w:w w:val="97"/>
              </w:rPr>
              <w:t>Certificates; Notice of Default; Other Information</w:t>
            </w:r>
          </w:p>
        </w:tc>
        <w:tc>
          <w:tcPr>
            <w:tcW w:w="320" w:type="dxa"/>
            <w:vAlign w:val="bottom"/>
          </w:tcPr>
          <w:p>
            <w:pPr>
              <w:jc w:val="right"/>
              <w:spacing w:after="0"/>
              <w:rPr>
                <w:sz w:val="20"/>
                <w:szCs w:val="20"/>
                <w:color w:val="auto"/>
              </w:rPr>
            </w:pPr>
            <w:r>
              <w:rPr>
                <w:rFonts w:ascii="Arial" w:cs="Arial" w:eastAsia="Arial" w:hAnsi="Arial"/>
                <w:sz w:val="21"/>
                <w:szCs w:val="21"/>
                <w:color w:val="auto"/>
              </w:rPr>
              <w:t>97</w:t>
            </w:r>
          </w:p>
        </w:tc>
        <w:tc>
          <w:tcPr>
            <w:tcW w:w="0" w:type="dxa"/>
            <w:vAlign w:val="bottom"/>
          </w:tcPr>
          <w:p>
            <w:pPr>
              <w:spacing w:after="0"/>
              <w:rPr>
                <w:sz w:val="1"/>
                <w:szCs w:val="1"/>
                <w:color w:val="auto"/>
              </w:rPr>
            </w:pPr>
          </w:p>
        </w:tc>
      </w:tr>
      <w:tr>
        <w:trPr>
          <w:trHeight w:val="318"/>
        </w:trPr>
        <w:tc>
          <w:tcPr>
            <w:tcW w:w="1620" w:type="dxa"/>
            <w:vAlign w:val="bottom"/>
          </w:tcPr>
          <w:p>
            <w:pPr>
              <w:ind w:left="160"/>
              <w:spacing w:after="0"/>
              <w:rPr>
                <w:sz w:val="20"/>
                <w:szCs w:val="20"/>
                <w:color w:val="auto"/>
              </w:rPr>
            </w:pPr>
            <w:r>
              <w:rPr>
                <w:rFonts w:ascii="Arial" w:cs="Arial" w:eastAsia="Arial" w:hAnsi="Arial"/>
                <w:sz w:val="21"/>
                <w:szCs w:val="21"/>
                <w:color w:val="auto"/>
                <w:w w:val="98"/>
              </w:rPr>
              <w:t>SECTION 6.03.</w:t>
            </w:r>
          </w:p>
        </w:tc>
        <w:tc>
          <w:tcPr>
            <w:tcW w:w="1640" w:type="dxa"/>
            <w:vAlign w:val="bottom"/>
            <w:gridSpan w:val="12"/>
          </w:tcPr>
          <w:p>
            <w:pPr>
              <w:ind w:left="100"/>
              <w:spacing w:after="0"/>
              <w:rPr>
                <w:sz w:val="20"/>
                <w:szCs w:val="20"/>
                <w:color w:val="auto"/>
              </w:rPr>
            </w:pPr>
            <w:r>
              <w:rPr>
                <w:rFonts w:ascii="Arial" w:cs="Arial" w:eastAsia="Arial" w:hAnsi="Arial"/>
                <w:sz w:val="21"/>
                <w:szCs w:val="21"/>
                <w:color w:val="auto"/>
                <w:w w:val="89"/>
              </w:rPr>
              <w:t>Payment of Taxes</w:t>
            </w:r>
          </w:p>
        </w:tc>
        <w:tc>
          <w:tcPr>
            <w:tcW w:w="540" w:type="dxa"/>
            <w:vAlign w:val="bottom"/>
            <w:gridSpan w:val="3"/>
          </w:tcPr>
          <w:p>
            <w:pPr>
              <w:jc w:val="right"/>
              <w:ind w:right="160"/>
              <w:spacing w:after="0"/>
              <w:rPr>
                <w:sz w:val="20"/>
                <w:szCs w:val="20"/>
                <w:color w:val="auto"/>
              </w:rPr>
            </w:pPr>
            <w:r>
              <w:rPr>
                <w:rFonts w:ascii="Arial" w:cs="Arial" w:eastAsia="Arial" w:hAnsi="Arial"/>
                <w:sz w:val="21"/>
                <w:szCs w:val="21"/>
                <w:color w:val="auto"/>
              </w:rPr>
              <w:t>98</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620" w:type="dxa"/>
            <w:vAlign w:val="bottom"/>
          </w:tcPr>
          <w:p>
            <w:pPr>
              <w:ind w:left="160"/>
              <w:spacing w:after="0"/>
              <w:rPr>
                <w:sz w:val="20"/>
                <w:szCs w:val="20"/>
                <w:color w:val="auto"/>
              </w:rPr>
            </w:pPr>
            <w:r>
              <w:rPr>
                <w:rFonts w:ascii="Arial" w:cs="Arial" w:eastAsia="Arial" w:hAnsi="Arial"/>
                <w:sz w:val="21"/>
                <w:szCs w:val="21"/>
                <w:color w:val="auto"/>
                <w:w w:val="98"/>
              </w:rPr>
              <w:t>SECTION 6.04.</w:t>
            </w:r>
          </w:p>
        </w:tc>
        <w:tc>
          <w:tcPr>
            <w:tcW w:w="3260" w:type="dxa"/>
            <w:vAlign w:val="bottom"/>
            <w:gridSpan w:val="24"/>
          </w:tcPr>
          <w:p>
            <w:pPr>
              <w:ind w:left="100"/>
              <w:spacing w:after="0"/>
              <w:rPr>
                <w:sz w:val="20"/>
                <w:szCs w:val="20"/>
                <w:color w:val="auto"/>
              </w:rPr>
            </w:pPr>
            <w:r>
              <w:rPr>
                <w:rFonts w:ascii="Arial" w:cs="Arial" w:eastAsia="Arial" w:hAnsi="Arial"/>
                <w:sz w:val="21"/>
                <w:szCs w:val="21"/>
                <w:color w:val="auto"/>
                <w:w w:val="99"/>
              </w:rPr>
              <w:t>Preservation of Existence, Etc  98</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620" w:type="dxa"/>
            <w:vAlign w:val="bottom"/>
          </w:tcPr>
          <w:p>
            <w:pPr>
              <w:ind w:left="160"/>
              <w:spacing w:after="0"/>
              <w:rPr>
                <w:sz w:val="20"/>
                <w:szCs w:val="20"/>
                <w:color w:val="auto"/>
              </w:rPr>
            </w:pPr>
            <w:r>
              <w:rPr>
                <w:rFonts w:ascii="Arial" w:cs="Arial" w:eastAsia="Arial" w:hAnsi="Arial"/>
                <w:sz w:val="21"/>
                <w:szCs w:val="21"/>
                <w:color w:val="auto"/>
                <w:w w:val="98"/>
              </w:rPr>
              <w:t>SECTION 6.05.</w:t>
            </w:r>
          </w:p>
        </w:tc>
        <w:tc>
          <w:tcPr>
            <w:tcW w:w="2180" w:type="dxa"/>
            <w:vAlign w:val="bottom"/>
            <w:gridSpan w:val="15"/>
          </w:tcPr>
          <w:p>
            <w:pPr>
              <w:ind w:left="100"/>
              <w:spacing w:after="0"/>
              <w:rPr>
                <w:sz w:val="20"/>
                <w:szCs w:val="20"/>
                <w:color w:val="auto"/>
              </w:rPr>
            </w:pPr>
            <w:r>
              <w:rPr>
                <w:rFonts w:ascii="Arial" w:cs="Arial" w:eastAsia="Arial" w:hAnsi="Arial"/>
                <w:sz w:val="21"/>
                <w:szCs w:val="21"/>
                <w:color w:val="auto"/>
                <w:w w:val="98"/>
              </w:rPr>
              <w:t>Compliance with Laws</w:t>
            </w:r>
          </w:p>
        </w:tc>
        <w:tc>
          <w:tcPr>
            <w:tcW w:w="300" w:type="dxa"/>
            <w:vAlign w:val="bottom"/>
            <w:gridSpan w:val="3"/>
          </w:tcPr>
          <w:p>
            <w:pPr>
              <w:jc w:val="right"/>
              <w:spacing w:after="0"/>
              <w:rPr>
                <w:sz w:val="20"/>
                <w:szCs w:val="20"/>
                <w:color w:val="auto"/>
              </w:rPr>
            </w:pPr>
            <w:r>
              <w:rPr>
                <w:rFonts w:ascii="Arial" w:cs="Arial" w:eastAsia="Arial" w:hAnsi="Arial"/>
                <w:sz w:val="21"/>
                <w:szCs w:val="21"/>
                <w:b w:val="1"/>
                <w:bCs w:val="1"/>
                <w:color w:val="FF0000"/>
                <w:strike w:val="1"/>
              </w:rPr>
              <w:t>99</w:t>
            </w:r>
          </w:p>
        </w:tc>
        <w:tc>
          <w:tcPr>
            <w:tcW w:w="320" w:type="dxa"/>
            <w:vAlign w:val="bottom"/>
            <w:gridSpan w:val="3"/>
          </w:tcPr>
          <w:p>
            <w:pPr>
              <w:jc w:val="right"/>
              <w:ind w:right="100"/>
              <w:spacing w:after="0"/>
              <w:rPr>
                <w:sz w:val="20"/>
                <w:szCs w:val="20"/>
                <w:color w:val="auto"/>
              </w:rPr>
            </w:pPr>
            <w:r>
              <w:rPr>
                <w:rFonts w:ascii="Arial" w:cs="Arial" w:eastAsia="Arial" w:hAnsi="Arial"/>
                <w:sz w:val="21"/>
                <w:szCs w:val="21"/>
                <w:b w:val="1"/>
                <w:bCs w:val="1"/>
                <w:color w:val="0000FF"/>
                <w:w w:val="85"/>
              </w:rPr>
              <w:t>98</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9"/>
        </w:trPr>
        <w:tc>
          <w:tcPr>
            <w:tcW w:w="1620" w:type="dxa"/>
            <w:vAlign w:val="bottom"/>
          </w:tcPr>
          <w:p>
            <w:pPr>
              <w:ind w:left="160"/>
              <w:spacing w:after="0"/>
              <w:rPr>
                <w:sz w:val="20"/>
                <w:szCs w:val="20"/>
                <w:color w:val="auto"/>
              </w:rPr>
            </w:pPr>
            <w:r>
              <w:rPr>
                <w:rFonts w:ascii="Arial" w:cs="Arial" w:eastAsia="Arial" w:hAnsi="Arial"/>
                <w:sz w:val="21"/>
                <w:szCs w:val="21"/>
                <w:color w:val="auto"/>
                <w:w w:val="98"/>
              </w:rPr>
              <w:t>SECTION 6.06.</w:t>
            </w:r>
          </w:p>
        </w:tc>
        <w:tc>
          <w:tcPr>
            <w:tcW w:w="1640" w:type="dxa"/>
            <w:vAlign w:val="bottom"/>
            <w:gridSpan w:val="12"/>
          </w:tcPr>
          <w:p>
            <w:pPr>
              <w:ind w:left="100"/>
              <w:spacing w:after="0"/>
              <w:rPr>
                <w:sz w:val="20"/>
                <w:szCs w:val="20"/>
                <w:color w:val="auto"/>
              </w:rPr>
            </w:pPr>
            <w:r>
              <w:rPr>
                <w:rFonts w:ascii="Arial" w:cs="Arial" w:eastAsia="Arial" w:hAnsi="Arial"/>
                <w:sz w:val="21"/>
                <w:szCs w:val="21"/>
                <w:color w:val="auto"/>
                <w:w w:val="97"/>
              </w:rPr>
              <w:t>Use of Proceeds</w:t>
            </w:r>
          </w:p>
        </w:tc>
        <w:tc>
          <w:tcPr>
            <w:tcW w:w="340" w:type="dxa"/>
            <w:vAlign w:val="bottom"/>
            <w:gridSpan w:val="2"/>
          </w:tcPr>
          <w:p>
            <w:pPr>
              <w:jc w:val="right"/>
              <w:spacing w:after="0"/>
              <w:rPr>
                <w:sz w:val="20"/>
                <w:szCs w:val="20"/>
                <w:color w:val="auto"/>
              </w:rPr>
            </w:pPr>
            <w:r>
              <w:rPr>
                <w:rFonts w:ascii="Arial" w:cs="Arial" w:eastAsia="Arial" w:hAnsi="Arial"/>
                <w:sz w:val="21"/>
                <w:szCs w:val="21"/>
                <w:color w:val="auto"/>
              </w:rPr>
              <w:t>99</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620" w:type="dxa"/>
            <w:vAlign w:val="bottom"/>
          </w:tcPr>
          <w:p>
            <w:pPr>
              <w:ind w:left="160"/>
              <w:spacing w:after="0"/>
              <w:rPr>
                <w:sz w:val="20"/>
                <w:szCs w:val="20"/>
                <w:color w:val="auto"/>
              </w:rPr>
            </w:pPr>
            <w:r>
              <w:rPr>
                <w:rFonts w:ascii="Arial" w:cs="Arial" w:eastAsia="Arial" w:hAnsi="Arial"/>
                <w:sz w:val="21"/>
                <w:szCs w:val="21"/>
                <w:color w:val="auto"/>
                <w:w w:val="98"/>
              </w:rPr>
              <w:t>SECTION 6.07.</w:t>
            </w:r>
          </w:p>
        </w:tc>
        <w:tc>
          <w:tcPr>
            <w:tcW w:w="3500" w:type="dxa"/>
            <w:vAlign w:val="bottom"/>
            <w:gridSpan w:val="25"/>
          </w:tcPr>
          <w:p>
            <w:pPr>
              <w:ind w:left="100"/>
              <w:spacing w:after="0"/>
              <w:rPr>
                <w:sz w:val="20"/>
                <w:szCs w:val="20"/>
                <w:color w:val="auto"/>
              </w:rPr>
            </w:pPr>
            <w:r>
              <w:rPr>
                <w:rFonts w:ascii="Arial" w:cs="Arial" w:eastAsia="Arial" w:hAnsi="Arial"/>
                <w:sz w:val="21"/>
                <w:szCs w:val="21"/>
                <w:color w:val="auto"/>
                <w:w w:val="91"/>
              </w:rPr>
              <w:t>Maintenance of Property and Insurance</w:t>
            </w:r>
          </w:p>
        </w:tc>
        <w:tc>
          <w:tcPr>
            <w:tcW w:w="1000" w:type="dxa"/>
            <w:vAlign w:val="bottom"/>
            <w:gridSpan w:val="3"/>
          </w:tcPr>
          <w:p>
            <w:pPr>
              <w:jc w:val="right"/>
              <w:ind w:right="640"/>
              <w:spacing w:after="0"/>
              <w:rPr>
                <w:sz w:val="20"/>
                <w:szCs w:val="20"/>
                <w:color w:val="auto"/>
              </w:rPr>
            </w:pPr>
            <w:r>
              <w:rPr>
                <w:rFonts w:ascii="Arial" w:cs="Arial" w:eastAsia="Arial" w:hAnsi="Arial"/>
                <w:sz w:val="21"/>
                <w:szCs w:val="21"/>
                <w:color w:val="auto"/>
              </w:rPr>
              <w:t>99</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800" w:type="dxa"/>
            <w:vAlign w:val="bottom"/>
            <w:gridSpan w:val="16"/>
          </w:tcPr>
          <w:p>
            <w:pPr>
              <w:spacing w:after="0"/>
              <w:rPr>
                <w:sz w:val="20"/>
                <w:szCs w:val="20"/>
                <w:color w:val="auto"/>
              </w:rPr>
            </w:pPr>
            <w:r>
              <w:rPr>
                <w:rFonts w:ascii="Arial" w:cs="Arial" w:eastAsia="Arial" w:hAnsi="Arial"/>
                <w:sz w:val="21"/>
                <w:szCs w:val="21"/>
                <w:color w:val="auto"/>
              </w:rPr>
              <w:t>ARTICLE VII NEGATIVE COVENANTS</w:t>
            </w:r>
          </w:p>
        </w:tc>
        <w:tc>
          <w:tcPr>
            <w:tcW w:w="280" w:type="dxa"/>
            <w:vAlign w:val="bottom"/>
            <w:gridSpan w:val="2"/>
          </w:tcPr>
          <w:p>
            <w:pPr>
              <w:jc w:val="right"/>
              <w:spacing w:after="0"/>
              <w:rPr>
                <w:sz w:val="20"/>
                <w:szCs w:val="20"/>
                <w:color w:val="auto"/>
              </w:rPr>
            </w:pPr>
            <w:r>
              <w:rPr>
                <w:rFonts w:ascii="Arial" w:cs="Arial" w:eastAsia="Arial" w:hAnsi="Arial"/>
                <w:sz w:val="21"/>
                <w:szCs w:val="21"/>
                <w:color w:val="auto"/>
              </w:rPr>
              <w:t>99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620" w:type="dxa"/>
            <w:vAlign w:val="bottom"/>
          </w:tcPr>
          <w:p>
            <w:pPr>
              <w:ind w:left="160"/>
              <w:spacing w:after="0"/>
              <w:rPr>
                <w:sz w:val="20"/>
                <w:szCs w:val="20"/>
                <w:color w:val="auto"/>
              </w:rPr>
            </w:pPr>
            <w:r>
              <w:rPr>
                <w:rFonts w:ascii="Arial" w:cs="Arial" w:eastAsia="Arial" w:hAnsi="Arial"/>
                <w:sz w:val="21"/>
                <w:szCs w:val="21"/>
                <w:color w:val="auto"/>
                <w:w w:val="98"/>
              </w:rPr>
              <w:t>SECTION 7.01.</w:t>
            </w:r>
          </w:p>
        </w:tc>
        <w:tc>
          <w:tcPr>
            <w:tcW w:w="780" w:type="dxa"/>
            <w:vAlign w:val="bottom"/>
          </w:tcPr>
          <w:p>
            <w:pPr>
              <w:ind w:left="100"/>
              <w:spacing w:after="0"/>
              <w:rPr>
                <w:sz w:val="20"/>
                <w:szCs w:val="20"/>
                <w:color w:val="auto"/>
              </w:rPr>
            </w:pPr>
            <w:r>
              <w:rPr>
                <w:rFonts w:ascii="Arial" w:cs="Arial" w:eastAsia="Arial" w:hAnsi="Arial"/>
                <w:sz w:val="21"/>
                <w:szCs w:val="21"/>
                <w:color w:val="auto"/>
              </w:rPr>
              <w:t>Liens</w:t>
            </w:r>
          </w:p>
        </w:tc>
        <w:tc>
          <w:tcPr>
            <w:tcW w:w="320" w:type="dxa"/>
            <w:vAlign w:val="bottom"/>
            <w:gridSpan w:val="2"/>
          </w:tcPr>
          <w:p>
            <w:pPr>
              <w:jc w:val="right"/>
              <w:spacing w:after="0"/>
              <w:rPr>
                <w:sz w:val="20"/>
                <w:szCs w:val="20"/>
                <w:color w:val="auto"/>
              </w:rPr>
            </w:pPr>
            <w:r>
              <w:rPr>
                <w:rFonts w:ascii="Arial" w:cs="Arial" w:eastAsia="Arial" w:hAnsi="Arial"/>
                <w:sz w:val="21"/>
                <w:szCs w:val="21"/>
                <w:b w:val="1"/>
                <w:bCs w:val="1"/>
                <w:color w:val="FF0000"/>
                <w:strike w:val="1"/>
                <w:w w:val="85"/>
              </w:rPr>
              <w:t>100</w:t>
            </w:r>
          </w:p>
        </w:tc>
        <w:tc>
          <w:tcPr>
            <w:tcW w:w="460" w:type="dxa"/>
            <w:vAlign w:val="bottom"/>
            <w:gridSpan w:val="7"/>
          </w:tcPr>
          <w:p>
            <w:pPr>
              <w:jc w:val="right"/>
              <w:ind w:right="260"/>
              <w:spacing w:after="0"/>
              <w:rPr>
                <w:sz w:val="20"/>
                <w:szCs w:val="20"/>
                <w:color w:val="auto"/>
              </w:rPr>
            </w:pPr>
            <w:r>
              <w:rPr>
                <w:rFonts w:ascii="Arial" w:cs="Arial" w:eastAsia="Arial" w:hAnsi="Arial"/>
                <w:sz w:val="21"/>
                <w:szCs w:val="21"/>
                <w:b w:val="1"/>
                <w:bCs w:val="1"/>
                <w:color w:val="0000FF"/>
                <w:w w:val="76"/>
              </w:rPr>
              <w:t>99</w:t>
            </w:r>
          </w:p>
        </w:tc>
        <w:tc>
          <w:tcPr>
            <w:tcW w:w="8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1620" w:type="dxa"/>
            <w:vAlign w:val="bottom"/>
          </w:tcPr>
          <w:p>
            <w:pPr>
              <w:ind w:left="160"/>
              <w:spacing w:after="0"/>
              <w:rPr>
                <w:sz w:val="20"/>
                <w:szCs w:val="20"/>
                <w:color w:val="auto"/>
              </w:rPr>
            </w:pPr>
            <w:r>
              <w:rPr>
                <w:rFonts w:ascii="Arial" w:cs="Arial" w:eastAsia="Arial" w:hAnsi="Arial"/>
                <w:sz w:val="21"/>
                <w:szCs w:val="21"/>
                <w:color w:val="auto"/>
                <w:w w:val="98"/>
              </w:rPr>
              <w:t>SECTION 7.02.</w:t>
            </w:r>
          </w:p>
        </w:tc>
        <w:tc>
          <w:tcPr>
            <w:tcW w:w="2180" w:type="dxa"/>
            <w:vAlign w:val="bottom"/>
            <w:gridSpan w:val="15"/>
          </w:tcPr>
          <w:p>
            <w:pPr>
              <w:ind w:left="100"/>
              <w:spacing w:after="0"/>
              <w:rPr>
                <w:sz w:val="20"/>
                <w:szCs w:val="20"/>
                <w:color w:val="auto"/>
              </w:rPr>
            </w:pPr>
            <w:r>
              <w:rPr>
                <w:rFonts w:ascii="Arial" w:cs="Arial" w:eastAsia="Arial" w:hAnsi="Arial"/>
                <w:sz w:val="21"/>
                <w:szCs w:val="21"/>
                <w:color w:val="auto"/>
                <w:w w:val="89"/>
              </w:rPr>
              <w:t>Subsidiary Indebtedness</w:t>
            </w:r>
          </w:p>
        </w:tc>
        <w:tc>
          <w:tcPr>
            <w:tcW w:w="520" w:type="dxa"/>
            <w:vAlign w:val="bottom"/>
            <w:gridSpan w:val="5"/>
          </w:tcPr>
          <w:p>
            <w:pPr>
              <w:jc w:val="right"/>
              <w:spacing w:after="0"/>
              <w:rPr>
                <w:sz w:val="20"/>
                <w:szCs w:val="20"/>
                <w:color w:val="auto"/>
              </w:rPr>
            </w:pPr>
            <w:r>
              <w:rPr>
                <w:rFonts w:ascii="Arial" w:cs="Arial" w:eastAsia="Arial" w:hAnsi="Arial"/>
                <w:sz w:val="21"/>
                <w:szCs w:val="21"/>
                <w:color w:val="auto"/>
              </w:rPr>
              <w:t>102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620" w:type="dxa"/>
            <w:vAlign w:val="bottom"/>
          </w:tcPr>
          <w:p>
            <w:pPr>
              <w:ind w:left="160"/>
              <w:spacing w:after="0"/>
              <w:rPr>
                <w:sz w:val="20"/>
                <w:szCs w:val="20"/>
                <w:color w:val="auto"/>
              </w:rPr>
            </w:pPr>
            <w:r>
              <w:rPr>
                <w:rFonts w:ascii="Arial" w:cs="Arial" w:eastAsia="Arial" w:hAnsi="Arial"/>
                <w:sz w:val="21"/>
                <w:szCs w:val="21"/>
                <w:color w:val="auto"/>
                <w:w w:val="98"/>
              </w:rPr>
              <w:t>SECTION 7.03.</w:t>
            </w:r>
          </w:p>
        </w:tc>
        <w:tc>
          <w:tcPr>
            <w:tcW w:w="2180" w:type="dxa"/>
            <w:vAlign w:val="bottom"/>
            <w:gridSpan w:val="15"/>
          </w:tcPr>
          <w:p>
            <w:pPr>
              <w:ind w:left="100"/>
              <w:spacing w:after="0"/>
              <w:rPr>
                <w:sz w:val="20"/>
                <w:szCs w:val="20"/>
                <w:color w:val="auto"/>
              </w:rPr>
            </w:pPr>
            <w:r>
              <w:rPr>
                <w:rFonts w:ascii="Arial" w:cs="Arial" w:eastAsia="Arial" w:hAnsi="Arial"/>
                <w:sz w:val="21"/>
                <w:szCs w:val="21"/>
                <w:color w:val="auto"/>
                <w:w w:val="96"/>
              </w:rPr>
              <w:t>Fundamental Changes</w:t>
            </w:r>
          </w:p>
        </w:tc>
        <w:tc>
          <w:tcPr>
            <w:tcW w:w="400" w:type="dxa"/>
            <w:vAlign w:val="bottom"/>
            <w:gridSpan w:val="4"/>
          </w:tcPr>
          <w:p>
            <w:pPr>
              <w:jc w:val="right"/>
              <w:spacing w:after="0"/>
              <w:rPr>
                <w:sz w:val="20"/>
                <w:szCs w:val="20"/>
                <w:color w:val="auto"/>
              </w:rPr>
            </w:pPr>
            <w:r>
              <w:rPr>
                <w:rFonts w:ascii="Arial" w:cs="Arial" w:eastAsia="Arial" w:hAnsi="Arial"/>
                <w:sz w:val="21"/>
                <w:szCs w:val="21"/>
                <w:color w:val="auto"/>
                <w:w w:val="91"/>
              </w:rPr>
              <w:t>104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540"/>
        <w:spacing w:after="0"/>
        <w:rPr>
          <w:sz w:val="20"/>
          <w:szCs w:val="20"/>
          <w:color w:val="auto"/>
        </w:rPr>
      </w:pPr>
      <w:r>
        <w:rPr>
          <w:rFonts w:ascii="Arial" w:cs="Arial" w:eastAsia="Arial" w:hAnsi="Arial"/>
          <w:sz w:val="21"/>
          <w:szCs w:val="21"/>
          <w:color w:val="auto"/>
        </w:rPr>
        <w:t>iv</w:t>
      </w:r>
    </w:p>
    <w:p>
      <w:pPr>
        <w:sectPr>
          <w:pgSz w:w="11900" w:h="16838" w:orient="portrait"/>
          <w:cols w:equalWidth="0" w:num="1">
            <w:col w:w="10139"/>
          </w:cols>
          <w:pgMar w:left="320" w:top="1440" w:right="1440" w:bottom="1440" w:gutter="0" w:footer="0" w:header="0"/>
          <w:type w:val="continuous"/>
        </w:sectPr>
      </w:pPr>
    </w:p>
    <w:bookmarkStart w:id="136" w:name="page137"/>
    <w:bookmarkEnd w:id="136"/>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1680" w:type="dxa"/>
            <w:vAlign w:val="bottom"/>
          </w:tcPr>
          <w:p>
            <w:pPr>
              <w:ind w:left="160"/>
              <w:spacing w:after="0"/>
              <w:rPr>
                <w:sz w:val="20"/>
                <w:szCs w:val="20"/>
                <w:color w:val="auto"/>
              </w:rPr>
            </w:pPr>
            <w:r>
              <w:rPr>
                <w:rFonts w:ascii="Arial" w:cs="Arial" w:eastAsia="Arial" w:hAnsi="Arial"/>
                <w:sz w:val="21"/>
                <w:szCs w:val="21"/>
                <w:color w:val="auto"/>
              </w:rPr>
              <w:t>SECTION 7.04.</w:t>
            </w:r>
          </w:p>
        </w:tc>
        <w:tc>
          <w:tcPr>
            <w:tcW w:w="6420" w:type="dxa"/>
            <w:vAlign w:val="bottom"/>
            <w:gridSpan w:val="66"/>
          </w:tcPr>
          <w:p>
            <w:pPr>
              <w:ind w:left="40"/>
              <w:spacing w:after="0"/>
              <w:rPr>
                <w:sz w:val="20"/>
                <w:szCs w:val="20"/>
                <w:color w:val="auto"/>
              </w:rPr>
            </w:pPr>
            <w:r>
              <w:rPr>
                <w:rFonts w:ascii="Arial" w:cs="Arial" w:eastAsia="Arial" w:hAnsi="Arial"/>
                <w:sz w:val="21"/>
                <w:szCs w:val="21"/>
                <w:color w:val="auto"/>
              </w:rPr>
              <w:t>Dispositions  104</w:t>
            </w:r>
          </w:p>
        </w:tc>
        <w:tc>
          <w:tcPr>
            <w:tcW w:w="0" w:type="dxa"/>
            <w:vAlign w:val="bottom"/>
          </w:tcPr>
          <w:p>
            <w:pPr>
              <w:spacing w:after="0"/>
              <w:rPr>
                <w:sz w:val="1"/>
                <w:szCs w:val="1"/>
                <w:color w:val="auto"/>
              </w:rPr>
            </w:pPr>
          </w:p>
        </w:tc>
      </w:tr>
      <w:tr>
        <w:trPr>
          <w:trHeight w:val="267"/>
        </w:trPr>
        <w:tc>
          <w:tcPr>
            <w:tcW w:w="1680" w:type="dxa"/>
            <w:vAlign w:val="bottom"/>
          </w:tcPr>
          <w:p>
            <w:pPr>
              <w:ind w:left="160"/>
              <w:spacing w:after="0"/>
              <w:rPr>
                <w:sz w:val="20"/>
                <w:szCs w:val="20"/>
                <w:color w:val="auto"/>
              </w:rPr>
            </w:pPr>
            <w:r>
              <w:rPr>
                <w:rFonts w:ascii="Arial" w:cs="Arial" w:eastAsia="Arial" w:hAnsi="Arial"/>
                <w:sz w:val="21"/>
                <w:szCs w:val="21"/>
                <w:color w:val="auto"/>
              </w:rPr>
              <w:t>SECTION 7.05.</w:t>
            </w:r>
          </w:p>
        </w:tc>
        <w:tc>
          <w:tcPr>
            <w:tcW w:w="1860" w:type="dxa"/>
            <w:vAlign w:val="bottom"/>
            <w:gridSpan w:val="10"/>
          </w:tcPr>
          <w:p>
            <w:pPr>
              <w:ind w:left="40"/>
              <w:spacing w:after="0"/>
              <w:rPr>
                <w:sz w:val="20"/>
                <w:szCs w:val="20"/>
                <w:color w:val="auto"/>
              </w:rPr>
            </w:pPr>
            <w:r>
              <w:rPr>
                <w:rFonts w:ascii="Arial" w:cs="Arial" w:eastAsia="Arial" w:hAnsi="Arial"/>
                <w:sz w:val="21"/>
                <w:szCs w:val="21"/>
                <w:color w:val="auto"/>
                <w:w w:val="92"/>
              </w:rPr>
              <w:t>Restricted Payments</w:t>
            </w:r>
          </w:p>
        </w:tc>
        <w:tc>
          <w:tcPr>
            <w:tcW w:w="60" w:type="dxa"/>
            <w:vAlign w:val="bottom"/>
          </w:tcPr>
          <w:p>
            <w:pPr>
              <w:spacing w:after="0"/>
              <w:rPr>
                <w:sz w:val="23"/>
                <w:szCs w:val="23"/>
                <w:color w:val="auto"/>
              </w:rPr>
            </w:pPr>
          </w:p>
        </w:tc>
        <w:tc>
          <w:tcPr>
            <w:tcW w:w="380" w:type="dxa"/>
            <w:vAlign w:val="bottom"/>
            <w:gridSpan w:val="8"/>
          </w:tcPr>
          <w:p>
            <w:pPr>
              <w:jc w:val="right"/>
              <w:spacing w:after="0"/>
              <w:rPr>
                <w:sz w:val="20"/>
                <w:szCs w:val="20"/>
                <w:color w:val="auto"/>
              </w:rPr>
            </w:pPr>
            <w:r>
              <w:rPr>
                <w:rFonts w:ascii="Arial" w:cs="Arial" w:eastAsia="Arial" w:hAnsi="Arial"/>
                <w:sz w:val="21"/>
                <w:szCs w:val="21"/>
                <w:b w:val="1"/>
                <w:bCs w:val="1"/>
                <w:color w:val="FF0000"/>
                <w:strike w:val="1"/>
              </w:rPr>
              <w:t>105</w:t>
            </w:r>
          </w:p>
        </w:tc>
        <w:tc>
          <w:tcPr>
            <w:tcW w:w="320" w:type="dxa"/>
            <w:vAlign w:val="bottom"/>
            <w:tcBorders>
              <w:bottom w:val="single" w:sz="8" w:color="0000FF"/>
            </w:tcBorders>
            <w:gridSpan w:val="8"/>
          </w:tcPr>
          <w:p>
            <w:pPr>
              <w:jc w:val="right"/>
              <w:spacing w:after="0"/>
              <w:rPr>
                <w:sz w:val="20"/>
                <w:szCs w:val="20"/>
                <w:color w:val="auto"/>
              </w:rPr>
            </w:pPr>
            <w:r>
              <w:rPr>
                <w:rFonts w:ascii="Arial" w:cs="Arial" w:eastAsia="Arial" w:hAnsi="Arial"/>
                <w:sz w:val="21"/>
                <w:szCs w:val="21"/>
                <w:b w:val="1"/>
                <w:bCs w:val="1"/>
                <w:color w:val="0000FF"/>
                <w:w w:val="85"/>
              </w:rPr>
              <w:t>106</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gridSpan w:val="2"/>
            <w:vMerge w:val="restart"/>
          </w:tcPr>
          <w:p>
            <w:pPr>
              <w:spacing w:after="0"/>
              <w:rPr>
                <w:sz w:val="20"/>
                <w:szCs w:val="20"/>
                <w:color w:val="auto"/>
              </w:rPr>
            </w:pPr>
            <w:r>
              <w:rPr>
                <w:rFonts w:ascii="Arial" w:cs="Arial" w:eastAsia="Arial" w:hAnsi="Arial"/>
                <w:sz w:val="17"/>
                <w:szCs w:val="17"/>
                <w:b w:val="1"/>
                <w:bCs w:val="1"/>
                <w:color w:val="FF0000"/>
                <w:strike w:val="1"/>
                <w:w w:val="70"/>
              </w:rPr>
              <w:t>106</w:t>
            </w:r>
          </w:p>
        </w:tc>
        <w:tc>
          <w:tcPr>
            <w:tcW w:w="320" w:type="dxa"/>
            <w:vAlign w:val="bottom"/>
            <w:gridSpan w:val="5"/>
            <w:vMerge w:val="restart"/>
          </w:tcPr>
          <w:p>
            <w:pPr>
              <w:jc w:val="right"/>
              <w:spacing w:after="0"/>
              <w:rPr>
                <w:sz w:val="20"/>
                <w:szCs w:val="20"/>
                <w:color w:val="auto"/>
              </w:rPr>
            </w:pPr>
            <w:r>
              <w:rPr>
                <w:rFonts w:ascii="Arial" w:cs="Arial" w:eastAsia="Arial" w:hAnsi="Arial"/>
                <w:sz w:val="21"/>
                <w:szCs w:val="21"/>
                <w:b w:val="1"/>
                <w:bCs w:val="1"/>
                <w:color w:val="0000FF"/>
                <w:w w:val="85"/>
              </w:rPr>
              <w:t>107</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1680" w:type="dxa"/>
            <w:vAlign w:val="bottom"/>
          </w:tcPr>
          <w:p>
            <w:pPr>
              <w:ind w:left="160"/>
              <w:spacing w:after="0"/>
              <w:rPr>
                <w:sz w:val="20"/>
                <w:szCs w:val="20"/>
                <w:color w:val="auto"/>
              </w:rPr>
            </w:pPr>
            <w:r>
              <w:rPr>
                <w:rFonts w:ascii="Arial" w:cs="Arial" w:eastAsia="Arial" w:hAnsi="Arial"/>
                <w:sz w:val="21"/>
                <w:szCs w:val="21"/>
                <w:color w:val="auto"/>
              </w:rPr>
              <w:t>SECTION 7.06.</w:t>
            </w:r>
          </w:p>
        </w:tc>
        <w:tc>
          <w:tcPr>
            <w:tcW w:w="2500" w:type="dxa"/>
            <w:vAlign w:val="bottom"/>
            <w:gridSpan w:val="25"/>
          </w:tcPr>
          <w:p>
            <w:pPr>
              <w:ind w:left="40"/>
              <w:spacing w:after="0"/>
              <w:rPr>
                <w:sz w:val="20"/>
                <w:szCs w:val="20"/>
                <w:color w:val="auto"/>
              </w:rPr>
            </w:pPr>
            <w:r>
              <w:rPr>
                <w:rFonts w:ascii="Arial" w:cs="Arial" w:eastAsia="Arial" w:hAnsi="Arial"/>
                <w:sz w:val="21"/>
                <w:szCs w:val="21"/>
                <w:color w:val="auto"/>
                <w:w w:val="90"/>
              </w:rPr>
              <w:t>Consolidated Leverage Ratio</w:t>
            </w:r>
          </w:p>
        </w:tc>
        <w:tc>
          <w:tcPr>
            <w:tcW w:w="6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gridSpan w:val="2"/>
            <w:vMerge w:val="continue"/>
          </w:tcPr>
          <w:p>
            <w:pPr>
              <w:spacing w:after="0"/>
              <w:rPr>
                <w:sz w:val="24"/>
                <w:szCs w:val="24"/>
                <w:color w:val="auto"/>
              </w:rPr>
            </w:pPr>
          </w:p>
        </w:tc>
        <w:tc>
          <w:tcPr>
            <w:tcW w:w="320" w:type="dxa"/>
            <w:vAlign w:val="bottom"/>
            <w:tcBorders>
              <w:bottom w:val="single" w:sz="8" w:color="0000FF"/>
            </w:tcBorders>
            <w:gridSpan w:val="5"/>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gridSpan w:val="6"/>
            <w:vMerge w:val="restart"/>
          </w:tcPr>
          <w:p>
            <w:pPr>
              <w:jc w:val="right"/>
              <w:spacing w:after="0"/>
              <w:rPr>
                <w:sz w:val="20"/>
                <w:szCs w:val="20"/>
                <w:color w:val="auto"/>
              </w:rPr>
            </w:pPr>
            <w:r>
              <w:rPr>
                <w:rFonts w:ascii="Arial" w:cs="Arial" w:eastAsia="Arial" w:hAnsi="Arial"/>
                <w:sz w:val="21"/>
                <w:szCs w:val="21"/>
                <w:b w:val="1"/>
                <w:bCs w:val="1"/>
                <w:color w:val="FF0000"/>
                <w:strike w:val="1"/>
                <w:w w:val="85"/>
              </w:rPr>
              <w:t>106</w:t>
            </w:r>
          </w:p>
        </w:tc>
        <w:tc>
          <w:tcPr>
            <w:tcW w:w="320" w:type="dxa"/>
            <w:vAlign w:val="bottom"/>
            <w:gridSpan w:val="3"/>
            <w:vMerge w:val="restart"/>
          </w:tcPr>
          <w:p>
            <w:pPr>
              <w:jc w:val="right"/>
              <w:spacing w:after="0"/>
              <w:rPr>
                <w:sz w:val="20"/>
                <w:szCs w:val="20"/>
                <w:color w:val="auto"/>
              </w:rPr>
            </w:pPr>
            <w:r>
              <w:rPr>
                <w:rFonts w:ascii="Arial" w:cs="Arial" w:eastAsia="Arial" w:hAnsi="Arial"/>
                <w:sz w:val="21"/>
                <w:szCs w:val="21"/>
                <w:b w:val="1"/>
                <w:bCs w:val="1"/>
                <w:color w:val="0000FF"/>
                <w:w w:val="85"/>
              </w:rPr>
              <w:t>107</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5160" w:type="dxa"/>
            <w:vAlign w:val="bottom"/>
            <w:gridSpan w:val="40"/>
          </w:tcPr>
          <w:p>
            <w:pPr>
              <w:spacing w:after="0"/>
              <w:rPr>
                <w:sz w:val="20"/>
                <w:szCs w:val="20"/>
                <w:color w:val="auto"/>
              </w:rPr>
            </w:pPr>
            <w:r>
              <w:rPr>
                <w:rFonts w:ascii="Arial" w:cs="Arial" w:eastAsia="Arial" w:hAnsi="Arial"/>
                <w:sz w:val="21"/>
                <w:szCs w:val="21"/>
                <w:color w:val="auto"/>
                <w:w w:val="99"/>
              </w:rPr>
              <w:t>ARTICLE VIII EVENTS OF DEFAULT AND REMEDIES</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gridSpan w:val="6"/>
            <w:vMerge w:val="continue"/>
          </w:tcPr>
          <w:p>
            <w:pPr>
              <w:spacing w:after="0"/>
              <w:rPr>
                <w:sz w:val="24"/>
                <w:szCs w:val="24"/>
                <w:color w:val="auto"/>
              </w:rPr>
            </w:pPr>
          </w:p>
        </w:tc>
        <w:tc>
          <w:tcPr>
            <w:tcW w:w="320" w:type="dxa"/>
            <w:vAlign w:val="bottom"/>
            <w:tcBorders>
              <w:bottom w:val="single" w:sz="8" w:color="0000FF"/>
            </w:tcBorders>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1680" w:type="dxa"/>
            <w:vAlign w:val="bottom"/>
          </w:tcPr>
          <w:p>
            <w:pPr>
              <w:ind w:left="160"/>
              <w:spacing w:after="0"/>
              <w:rPr>
                <w:sz w:val="20"/>
                <w:szCs w:val="20"/>
                <w:color w:val="auto"/>
              </w:rPr>
            </w:pPr>
            <w:r>
              <w:rPr>
                <w:rFonts w:ascii="Arial" w:cs="Arial" w:eastAsia="Arial" w:hAnsi="Arial"/>
                <w:sz w:val="21"/>
                <w:szCs w:val="21"/>
                <w:color w:val="auto"/>
              </w:rPr>
              <w:t>SECTION 8.01.</w:t>
            </w:r>
          </w:p>
        </w:tc>
        <w:tc>
          <w:tcPr>
            <w:tcW w:w="1740" w:type="dxa"/>
            <w:vAlign w:val="bottom"/>
            <w:gridSpan w:val="7"/>
          </w:tcPr>
          <w:p>
            <w:pPr>
              <w:ind w:left="40"/>
              <w:spacing w:after="0"/>
              <w:rPr>
                <w:sz w:val="20"/>
                <w:szCs w:val="20"/>
                <w:color w:val="auto"/>
              </w:rPr>
            </w:pPr>
            <w:r>
              <w:rPr>
                <w:rFonts w:ascii="Arial" w:cs="Arial" w:eastAsia="Arial" w:hAnsi="Arial"/>
                <w:sz w:val="21"/>
                <w:szCs w:val="21"/>
                <w:color w:val="auto"/>
              </w:rPr>
              <w:t>Events of Default</w:t>
            </w:r>
          </w:p>
        </w:tc>
        <w:tc>
          <w:tcPr>
            <w:tcW w:w="320" w:type="dxa"/>
            <w:vAlign w:val="bottom"/>
            <w:gridSpan w:val="5"/>
          </w:tcPr>
          <w:p>
            <w:pPr>
              <w:jc w:val="right"/>
              <w:spacing w:after="0"/>
              <w:rPr>
                <w:sz w:val="20"/>
                <w:szCs w:val="20"/>
                <w:color w:val="auto"/>
              </w:rPr>
            </w:pPr>
            <w:r>
              <w:rPr>
                <w:rFonts w:ascii="Arial" w:cs="Arial" w:eastAsia="Arial" w:hAnsi="Arial"/>
                <w:sz w:val="21"/>
                <w:szCs w:val="21"/>
                <w:b w:val="1"/>
                <w:bCs w:val="1"/>
                <w:color w:val="FF0000"/>
                <w:strike w:val="1"/>
                <w:w w:val="85"/>
              </w:rPr>
              <w:t>106</w:t>
            </w:r>
          </w:p>
        </w:tc>
        <w:tc>
          <w:tcPr>
            <w:tcW w:w="320" w:type="dxa"/>
            <w:vAlign w:val="bottom"/>
            <w:tcBorders>
              <w:bottom w:val="single" w:sz="8" w:color="0000FF"/>
            </w:tcBorders>
            <w:gridSpan w:val="9"/>
          </w:tcPr>
          <w:p>
            <w:pPr>
              <w:jc w:val="right"/>
              <w:spacing w:after="0"/>
              <w:rPr>
                <w:sz w:val="20"/>
                <w:szCs w:val="20"/>
                <w:color w:val="auto"/>
              </w:rPr>
            </w:pPr>
            <w:r>
              <w:rPr>
                <w:rFonts w:ascii="Arial" w:cs="Arial" w:eastAsia="Arial" w:hAnsi="Arial"/>
                <w:sz w:val="21"/>
                <w:szCs w:val="21"/>
                <w:b w:val="1"/>
                <w:bCs w:val="1"/>
                <w:color w:val="0000FF"/>
                <w:w w:val="85"/>
              </w:rPr>
              <w:t>107</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gridSpan w:val="4"/>
            <w:vMerge w:val="restart"/>
          </w:tcPr>
          <w:p>
            <w:pPr>
              <w:jc w:val="right"/>
              <w:spacing w:after="0"/>
              <w:rPr>
                <w:sz w:val="20"/>
                <w:szCs w:val="20"/>
                <w:color w:val="auto"/>
              </w:rPr>
            </w:pPr>
            <w:r>
              <w:rPr>
                <w:rFonts w:ascii="Arial" w:cs="Arial" w:eastAsia="Arial" w:hAnsi="Arial"/>
                <w:sz w:val="21"/>
                <w:szCs w:val="21"/>
                <w:b w:val="1"/>
                <w:bCs w:val="1"/>
                <w:color w:val="FF0000"/>
                <w:strike w:val="1"/>
                <w:w w:val="79"/>
              </w:rPr>
              <w:t>108</w:t>
            </w:r>
          </w:p>
        </w:tc>
        <w:tc>
          <w:tcPr>
            <w:tcW w:w="380" w:type="dxa"/>
            <w:vAlign w:val="bottom"/>
            <w:gridSpan w:val="7"/>
            <w:vMerge w:val="restart"/>
          </w:tcPr>
          <w:p>
            <w:pPr>
              <w:jc w:val="right"/>
              <w:ind w:right="60"/>
              <w:spacing w:after="0"/>
              <w:rPr>
                <w:sz w:val="20"/>
                <w:szCs w:val="20"/>
                <w:color w:val="auto"/>
              </w:rPr>
            </w:pPr>
            <w:r>
              <w:rPr>
                <w:rFonts w:ascii="Arial" w:cs="Arial" w:eastAsia="Arial" w:hAnsi="Arial"/>
                <w:sz w:val="21"/>
                <w:szCs w:val="21"/>
                <w:b w:val="1"/>
                <w:bCs w:val="1"/>
                <w:color w:val="0000FF"/>
                <w:w w:val="85"/>
              </w:rPr>
              <w:t>109</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1"/>
        </w:trPr>
        <w:tc>
          <w:tcPr>
            <w:tcW w:w="1680" w:type="dxa"/>
            <w:vAlign w:val="bottom"/>
          </w:tcPr>
          <w:p>
            <w:pPr>
              <w:ind w:left="160"/>
              <w:spacing w:after="0"/>
              <w:rPr>
                <w:sz w:val="20"/>
                <w:szCs w:val="20"/>
                <w:color w:val="auto"/>
              </w:rPr>
            </w:pPr>
            <w:r>
              <w:rPr>
                <w:rFonts w:ascii="Arial" w:cs="Arial" w:eastAsia="Arial" w:hAnsi="Arial"/>
                <w:sz w:val="21"/>
                <w:szCs w:val="21"/>
                <w:color w:val="auto"/>
              </w:rPr>
              <w:t>SECTION 8.02.</w:t>
            </w:r>
          </w:p>
        </w:tc>
        <w:tc>
          <w:tcPr>
            <w:tcW w:w="3080" w:type="dxa"/>
            <w:vAlign w:val="bottom"/>
            <w:gridSpan w:val="34"/>
          </w:tcPr>
          <w:p>
            <w:pPr>
              <w:ind w:left="40"/>
              <w:spacing w:after="0"/>
              <w:rPr>
                <w:sz w:val="20"/>
                <w:szCs w:val="20"/>
                <w:color w:val="auto"/>
              </w:rPr>
            </w:pPr>
            <w:r>
              <w:rPr>
                <w:rFonts w:ascii="Arial" w:cs="Arial" w:eastAsia="Arial" w:hAnsi="Arial"/>
                <w:sz w:val="21"/>
                <w:szCs w:val="21"/>
                <w:color w:val="auto"/>
                <w:w w:val="98"/>
              </w:rPr>
              <w:t>Remedies Upon Event of Default</w:t>
            </w:r>
          </w:p>
        </w:tc>
        <w:tc>
          <w:tcPr>
            <w:tcW w:w="300" w:type="dxa"/>
            <w:vAlign w:val="bottom"/>
            <w:gridSpan w:val="4"/>
            <w:vMerge w:val="continue"/>
          </w:tcPr>
          <w:p>
            <w:pPr>
              <w:spacing w:after="0"/>
              <w:rPr>
                <w:sz w:val="24"/>
                <w:szCs w:val="24"/>
                <w:color w:val="auto"/>
              </w:rPr>
            </w:pPr>
          </w:p>
        </w:tc>
        <w:tc>
          <w:tcPr>
            <w:tcW w:w="380" w:type="dxa"/>
            <w:vAlign w:val="bottom"/>
            <w:gridSpan w:val="7"/>
            <w:vMerge w:val="continue"/>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680" w:type="dxa"/>
            <w:vAlign w:val="bottom"/>
          </w:tcPr>
          <w:p>
            <w:pPr>
              <w:ind w:left="160"/>
              <w:spacing w:after="0"/>
              <w:rPr>
                <w:sz w:val="20"/>
                <w:szCs w:val="20"/>
                <w:color w:val="auto"/>
              </w:rPr>
            </w:pPr>
            <w:r>
              <w:rPr>
                <w:rFonts w:ascii="Arial" w:cs="Arial" w:eastAsia="Arial" w:hAnsi="Arial"/>
                <w:sz w:val="21"/>
                <w:szCs w:val="21"/>
                <w:color w:val="auto"/>
              </w:rPr>
              <w:t>SECTION 8.03.</w:t>
            </w:r>
          </w:p>
        </w:tc>
        <w:tc>
          <w:tcPr>
            <w:tcW w:w="1860" w:type="dxa"/>
            <w:vAlign w:val="bottom"/>
            <w:gridSpan w:val="10"/>
          </w:tcPr>
          <w:p>
            <w:pPr>
              <w:ind w:left="40"/>
              <w:spacing w:after="0"/>
              <w:rPr>
                <w:sz w:val="20"/>
                <w:szCs w:val="20"/>
                <w:color w:val="auto"/>
              </w:rPr>
            </w:pPr>
            <w:r>
              <w:rPr>
                <w:rFonts w:ascii="Arial" w:cs="Arial" w:eastAsia="Arial" w:hAnsi="Arial"/>
                <w:sz w:val="21"/>
                <w:szCs w:val="21"/>
                <w:color w:val="auto"/>
                <w:w w:val="94"/>
              </w:rPr>
              <w:t>Application of Funds</w:t>
            </w:r>
          </w:p>
        </w:tc>
        <w:tc>
          <w:tcPr>
            <w:tcW w:w="60" w:type="dxa"/>
            <w:vAlign w:val="bottom"/>
          </w:tcPr>
          <w:p>
            <w:pPr>
              <w:spacing w:after="0"/>
              <w:rPr>
                <w:sz w:val="24"/>
                <w:szCs w:val="24"/>
                <w:color w:val="auto"/>
              </w:rPr>
            </w:pPr>
          </w:p>
        </w:tc>
        <w:tc>
          <w:tcPr>
            <w:tcW w:w="440" w:type="dxa"/>
            <w:vAlign w:val="bottom"/>
            <w:gridSpan w:val="9"/>
          </w:tcPr>
          <w:p>
            <w:pPr>
              <w:jc w:val="right"/>
              <w:spacing w:after="0"/>
              <w:rPr>
                <w:sz w:val="20"/>
                <w:szCs w:val="20"/>
                <w:color w:val="auto"/>
              </w:rPr>
            </w:pPr>
            <w:r>
              <w:rPr>
                <w:rFonts w:ascii="Arial" w:cs="Arial" w:eastAsia="Arial" w:hAnsi="Arial"/>
                <w:sz w:val="21"/>
                <w:szCs w:val="21"/>
                <w:b w:val="1"/>
                <w:bCs w:val="1"/>
                <w:color w:val="FF0000"/>
                <w:strike w:val="1"/>
              </w:rPr>
              <w:t>109</w:t>
            </w:r>
          </w:p>
        </w:tc>
        <w:tc>
          <w:tcPr>
            <w:tcW w:w="320" w:type="dxa"/>
            <w:vAlign w:val="bottom"/>
            <w:tcBorders>
              <w:bottom w:val="single" w:sz="8" w:color="0000FF"/>
            </w:tcBorders>
            <w:gridSpan w:val="9"/>
          </w:tcPr>
          <w:p>
            <w:pPr>
              <w:jc w:val="right"/>
              <w:spacing w:after="0"/>
              <w:rPr>
                <w:sz w:val="20"/>
                <w:szCs w:val="20"/>
                <w:color w:val="auto"/>
              </w:rPr>
            </w:pPr>
            <w:r>
              <w:rPr>
                <w:rFonts w:ascii="Arial" w:cs="Arial" w:eastAsia="Arial" w:hAnsi="Arial"/>
                <w:sz w:val="21"/>
                <w:szCs w:val="21"/>
                <w:b w:val="1"/>
                <w:bCs w:val="1"/>
                <w:color w:val="0000FF"/>
                <w:w w:val="85"/>
              </w:rPr>
              <w:t>110</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680" w:type="dxa"/>
            <w:vAlign w:val="bottom"/>
          </w:tcPr>
          <w:p>
            <w:pPr>
              <w:ind w:left="160"/>
              <w:spacing w:after="0"/>
              <w:rPr>
                <w:sz w:val="20"/>
                <w:szCs w:val="20"/>
                <w:color w:val="auto"/>
              </w:rPr>
            </w:pPr>
            <w:r>
              <w:rPr>
                <w:rFonts w:ascii="Arial" w:cs="Arial" w:eastAsia="Arial" w:hAnsi="Arial"/>
                <w:sz w:val="21"/>
                <w:szCs w:val="21"/>
                <w:color w:val="auto"/>
              </w:rPr>
              <w:t>SECTION 8.04.</w:t>
            </w:r>
          </w:p>
        </w:tc>
        <w:tc>
          <w:tcPr>
            <w:tcW w:w="1460" w:type="dxa"/>
            <w:vAlign w:val="bottom"/>
            <w:gridSpan w:val="4"/>
          </w:tcPr>
          <w:p>
            <w:pPr>
              <w:ind w:left="40"/>
              <w:spacing w:after="0"/>
              <w:rPr>
                <w:sz w:val="20"/>
                <w:szCs w:val="20"/>
                <w:color w:val="auto"/>
              </w:rPr>
            </w:pPr>
            <w:r>
              <w:rPr>
                <w:rFonts w:ascii="Arial" w:cs="Arial" w:eastAsia="Arial" w:hAnsi="Arial"/>
                <w:sz w:val="21"/>
                <w:szCs w:val="21"/>
                <w:color w:val="auto"/>
                <w:w w:val="96"/>
              </w:rPr>
              <w:t>Cleanup Period</w:t>
            </w:r>
          </w:p>
        </w:tc>
        <w:tc>
          <w:tcPr>
            <w:tcW w:w="400" w:type="dxa"/>
            <w:vAlign w:val="bottom"/>
            <w:gridSpan w:val="6"/>
          </w:tcPr>
          <w:p>
            <w:pPr>
              <w:jc w:val="right"/>
              <w:spacing w:after="0"/>
              <w:rPr>
                <w:sz w:val="20"/>
                <w:szCs w:val="20"/>
                <w:color w:val="auto"/>
              </w:rPr>
            </w:pPr>
            <w:r>
              <w:rPr>
                <w:rFonts w:ascii="Arial" w:cs="Arial" w:eastAsia="Arial" w:hAnsi="Arial"/>
                <w:sz w:val="21"/>
                <w:szCs w:val="21"/>
                <w:b w:val="1"/>
                <w:bCs w:val="1"/>
                <w:color w:val="FF0000"/>
                <w:strike w:val="1"/>
              </w:rPr>
              <w:t>110</w:t>
            </w:r>
          </w:p>
        </w:tc>
        <w:tc>
          <w:tcPr>
            <w:tcW w:w="320" w:type="dxa"/>
            <w:vAlign w:val="bottom"/>
            <w:gridSpan w:val="6"/>
          </w:tcPr>
          <w:p>
            <w:pPr>
              <w:spacing w:after="0"/>
              <w:rPr>
                <w:sz w:val="20"/>
                <w:szCs w:val="20"/>
                <w:color w:val="auto"/>
              </w:rPr>
            </w:pPr>
            <w:r>
              <w:rPr>
                <w:rFonts w:ascii="Arial" w:cs="Arial" w:eastAsia="Arial" w:hAnsi="Arial"/>
                <w:sz w:val="21"/>
                <w:szCs w:val="21"/>
                <w:b w:val="1"/>
                <w:bCs w:val="1"/>
                <w:color w:val="0000FF"/>
                <w:w w:val="85"/>
              </w:rPr>
              <w:t>111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720" w:type="dxa"/>
            <w:vAlign w:val="bottom"/>
            <w:gridSpan w:val="2"/>
          </w:tcPr>
          <w:p>
            <w:pPr>
              <w:spacing w:after="0"/>
              <w:rPr>
                <w:sz w:val="20"/>
                <w:szCs w:val="20"/>
                <w:color w:val="auto"/>
              </w:rPr>
            </w:pPr>
            <w:r>
              <w:rPr>
                <w:rFonts w:ascii="Arial" w:cs="Arial" w:eastAsia="Arial" w:hAnsi="Arial"/>
                <w:sz w:val="21"/>
                <w:szCs w:val="21"/>
                <w:color w:val="auto"/>
              </w:rPr>
              <w:t>ARTICLE IX GUARANTEE</w:t>
            </w:r>
          </w:p>
        </w:tc>
        <w:tc>
          <w:tcPr>
            <w:tcW w:w="300" w:type="dxa"/>
            <w:vAlign w:val="bottom"/>
          </w:tcPr>
          <w:p>
            <w:pPr>
              <w:spacing w:after="0"/>
              <w:rPr>
                <w:sz w:val="20"/>
                <w:szCs w:val="20"/>
                <w:color w:val="auto"/>
              </w:rPr>
            </w:pPr>
            <w:r>
              <w:rPr>
                <w:rFonts w:ascii="Arial" w:cs="Arial" w:eastAsia="Arial" w:hAnsi="Arial"/>
                <w:sz w:val="21"/>
                <w:szCs w:val="21"/>
                <w:b w:val="1"/>
                <w:bCs w:val="1"/>
                <w:color w:val="FF0000"/>
                <w:strike w:val="1"/>
                <w:w w:val="79"/>
              </w:rPr>
              <w:t>110</w:t>
            </w:r>
          </w:p>
        </w:tc>
        <w:tc>
          <w:tcPr>
            <w:tcW w:w="300" w:type="dxa"/>
            <w:vAlign w:val="bottom"/>
            <w:tcBorders>
              <w:bottom w:val="single" w:sz="8" w:color="0000FF"/>
            </w:tcBorders>
            <w:gridSpan w:val="3"/>
          </w:tcPr>
          <w:p>
            <w:pPr>
              <w:jc w:val="right"/>
              <w:spacing w:after="0"/>
              <w:rPr>
                <w:sz w:val="20"/>
                <w:szCs w:val="20"/>
                <w:color w:val="auto"/>
              </w:rPr>
            </w:pPr>
            <w:r>
              <w:rPr>
                <w:rFonts w:ascii="Arial" w:cs="Arial" w:eastAsia="Arial" w:hAnsi="Arial"/>
                <w:sz w:val="21"/>
                <w:szCs w:val="21"/>
                <w:b w:val="1"/>
                <w:bCs w:val="1"/>
                <w:color w:val="0000FF"/>
                <w:w w:val="79"/>
              </w:rPr>
              <w:t>111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gridSpan w:val="9"/>
            <w:vMerge w:val="restart"/>
          </w:tcPr>
          <w:p>
            <w:pPr>
              <w:jc w:val="right"/>
              <w:ind w:right="120"/>
              <w:spacing w:after="0"/>
              <w:rPr>
                <w:sz w:val="20"/>
                <w:szCs w:val="20"/>
                <w:color w:val="auto"/>
              </w:rPr>
            </w:pPr>
            <w:r>
              <w:rPr>
                <w:rFonts w:ascii="Arial" w:cs="Arial" w:eastAsia="Arial" w:hAnsi="Arial"/>
                <w:sz w:val="21"/>
                <w:szCs w:val="21"/>
                <w:b w:val="1"/>
                <w:bCs w:val="1"/>
                <w:color w:val="FF0000"/>
                <w:strike w:val="1"/>
                <w:w w:val="85"/>
              </w:rPr>
              <w:t>110</w:t>
            </w:r>
          </w:p>
        </w:tc>
        <w:tc>
          <w:tcPr>
            <w:tcW w:w="240" w:type="dxa"/>
            <w:vAlign w:val="bottom"/>
            <w:gridSpan w:val="3"/>
            <w:vMerge w:val="restart"/>
          </w:tcPr>
          <w:p>
            <w:pPr>
              <w:spacing w:after="0"/>
              <w:rPr>
                <w:sz w:val="20"/>
                <w:szCs w:val="20"/>
                <w:color w:val="auto"/>
              </w:rPr>
            </w:pPr>
            <w:r>
              <w:rPr>
                <w:rFonts w:ascii="Arial" w:cs="Arial" w:eastAsia="Arial" w:hAnsi="Arial"/>
                <w:sz w:val="18"/>
                <w:szCs w:val="18"/>
                <w:b w:val="1"/>
                <w:bCs w:val="1"/>
                <w:color w:val="0000FF"/>
                <w:w w:val="73"/>
              </w:rPr>
              <w:t>111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1680" w:type="dxa"/>
            <w:vAlign w:val="bottom"/>
          </w:tcPr>
          <w:p>
            <w:pPr>
              <w:ind w:left="160"/>
              <w:spacing w:after="0"/>
              <w:rPr>
                <w:sz w:val="20"/>
                <w:szCs w:val="20"/>
                <w:color w:val="auto"/>
              </w:rPr>
            </w:pPr>
            <w:r>
              <w:rPr>
                <w:rFonts w:ascii="Arial" w:cs="Arial" w:eastAsia="Arial" w:hAnsi="Arial"/>
                <w:sz w:val="21"/>
                <w:szCs w:val="21"/>
                <w:color w:val="auto"/>
              </w:rPr>
              <w:t>SECTION 9.01.</w:t>
            </w:r>
          </w:p>
        </w:tc>
        <w:tc>
          <w:tcPr>
            <w:tcW w:w="2380" w:type="dxa"/>
            <w:vAlign w:val="bottom"/>
            <w:gridSpan w:val="21"/>
          </w:tcPr>
          <w:p>
            <w:pPr>
              <w:ind w:left="40"/>
              <w:spacing w:after="0"/>
              <w:rPr>
                <w:sz w:val="20"/>
                <w:szCs w:val="20"/>
                <w:color w:val="auto"/>
              </w:rPr>
            </w:pPr>
            <w:r>
              <w:rPr>
                <w:rFonts w:ascii="Arial" w:cs="Arial" w:eastAsia="Arial" w:hAnsi="Arial"/>
                <w:sz w:val="21"/>
                <w:szCs w:val="21"/>
                <w:color w:val="auto"/>
                <w:w w:val="99"/>
              </w:rPr>
              <w:t>Guarantee of Obligations</w:t>
            </w:r>
          </w:p>
        </w:tc>
        <w:tc>
          <w:tcPr>
            <w:tcW w:w="440" w:type="dxa"/>
            <w:vAlign w:val="bottom"/>
            <w:gridSpan w:val="9"/>
            <w:vMerge w:val="continue"/>
          </w:tcPr>
          <w:p>
            <w:pPr>
              <w:spacing w:after="0"/>
              <w:rPr>
                <w:sz w:val="23"/>
                <w:szCs w:val="23"/>
                <w:color w:val="auto"/>
              </w:rPr>
            </w:pPr>
          </w:p>
        </w:tc>
        <w:tc>
          <w:tcPr>
            <w:tcW w:w="240" w:type="dxa"/>
            <w:vAlign w:val="bottom"/>
            <w:gridSpan w:val="3"/>
            <w:vMerge w:val="continue"/>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gridSpan w:val="6"/>
            <w:vMerge w:val="restart"/>
          </w:tcPr>
          <w:p>
            <w:pPr>
              <w:jc w:val="right"/>
              <w:spacing w:after="0"/>
              <w:rPr>
                <w:sz w:val="20"/>
                <w:szCs w:val="20"/>
                <w:color w:val="auto"/>
              </w:rPr>
            </w:pPr>
            <w:r>
              <w:rPr>
                <w:rFonts w:ascii="Arial" w:cs="Arial" w:eastAsia="Arial" w:hAnsi="Arial"/>
                <w:sz w:val="21"/>
                <w:szCs w:val="21"/>
                <w:b w:val="1"/>
                <w:bCs w:val="1"/>
                <w:color w:val="FF0000"/>
                <w:strike w:val="1"/>
                <w:w w:val="74"/>
              </w:rPr>
              <w:t>111</w:t>
            </w:r>
          </w:p>
        </w:tc>
        <w:tc>
          <w:tcPr>
            <w:tcW w:w="300" w:type="dxa"/>
            <w:vAlign w:val="bottom"/>
            <w:gridSpan w:val="4"/>
            <w:vMerge w:val="restart"/>
          </w:tcPr>
          <w:p>
            <w:pPr>
              <w:jc w:val="right"/>
              <w:spacing w:after="0"/>
              <w:rPr>
                <w:sz w:val="20"/>
                <w:szCs w:val="20"/>
                <w:color w:val="auto"/>
              </w:rPr>
            </w:pPr>
            <w:r>
              <w:rPr>
                <w:rFonts w:ascii="Arial" w:cs="Arial" w:eastAsia="Arial" w:hAnsi="Arial"/>
                <w:sz w:val="21"/>
                <w:szCs w:val="21"/>
                <w:b w:val="1"/>
                <w:bCs w:val="1"/>
                <w:color w:val="0000FF"/>
                <w:w w:val="79"/>
              </w:rPr>
              <w:t>112</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Borders>
              <w:right w:val="single" w:sz="8" w:color="0000FF"/>
            </w:tcBorders>
            <w:gridSpan w:val="2"/>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6"/>
            <w:vMerge w:val="continue"/>
          </w:tcPr>
          <w:p>
            <w:pPr>
              <w:spacing w:after="0" w:line="20" w:lineRule="exact"/>
              <w:rPr>
                <w:sz w:val="1"/>
                <w:szCs w:val="1"/>
                <w:color w:val="auto"/>
              </w:rPr>
            </w:pPr>
          </w:p>
        </w:tc>
        <w:tc>
          <w:tcPr>
            <w:tcW w:w="300" w:type="dxa"/>
            <w:vAlign w:val="bottom"/>
            <w:gridSpan w:val="4"/>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680" w:type="dxa"/>
            <w:vAlign w:val="bottom"/>
          </w:tcPr>
          <w:p>
            <w:pPr>
              <w:ind w:left="160"/>
              <w:spacing w:after="0"/>
              <w:rPr>
                <w:sz w:val="20"/>
                <w:szCs w:val="20"/>
                <w:color w:val="auto"/>
              </w:rPr>
            </w:pPr>
            <w:r>
              <w:rPr>
                <w:rFonts w:ascii="Arial" w:cs="Arial" w:eastAsia="Arial" w:hAnsi="Arial"/>
                <w:sz w:val="21"/>
                <w:szCs w:val="21"/>
                <w:color w:val="auto"/>
              </w:rPr>
              <w:t>SECTION 9.02.</w:t>
            </w:r>
          </w:p>
        </w:tc>
        <w:tc>
          <w:tcPr>
            <w:tcW w:w="3480" w:type="dxa"/>
            <w:vAlign w:val="bottom"/>
            <w:gridSpan w:val="39"/>
          </w:tcPr>
          <w:p>
            <w:pPr>
              <w:ind w:left="40"/>
              <w:spacing w:after="0"/>
              <w:rPr>
                <w:sz w:val="20"/>
                <w:szCs w:val="20"/>
                <w:color w:val="auto"/>
              </w:rPr>
            </w:pPr>
            <w:r>
              <w:rPr>
                <w:rFonts w:ascii="Arial" w:cs="Arial" w:eastAsia="Arial" w:hAnsi="Arial"/>
                <w:sz w:val="21"/>
                <w:szCs w:val="21"/>
                <w:color w:val="auto"/>
                <w:w w:val="98"/>
              </w:rPr>
              <w:t>Limitation on Obligations Guaranteed</w:t>
            </w:r>
          </w:p>
        </w:tc>
        <w:tc>
          <w:tcPr>
            <w:tcW w:w="280" w:type="dxa"/>
            <w:vAlign w:val="bottom"/>
            <w:gridSpan w:val="6"/>
            <w:vMerge w:val="continue"/>
          </w:tcPr>
          <w:p>
            <w:pPr>
              <w:spacing w:after="0"/>
              <w:rPr>
                <w:sz w:val="24"/>
                <w:szCs w:val="24"/>
                <w:color w:val="auto"/>
              </w:rPr>
            </w:pPr>
          </w:p>
        </w:tc>
        <w:tc>
          <w:tcPr>
            <w:tcW w:w="300" w:type="dxa"/>
            <w:vAlign w:val="bottom"/>
            <w:tcBorders>
              <w:bottom w:val="single" w:sz="8" w:color="0000FF"/>
            </w:tcBorders>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gridSpan w:val="2"/>
            <w:vMerge w:val="restart"/>
          </w:tcPr>
          <w:p>
            <w:pPr>
              <w:jc w:val="right"/>
              <w:spacing w:after="0"/>
              <w:rPr>
                <w:sz w:val="20"/>
                <w:szCs w:val="20"/>
                <w:color w:val="auto"/>
              </w:rPr>
            </w:pPr>
            <w:r>
              <w:rPr>
                <w:rFonts w:ascii="Arial" w:cs="Arial" w:eastAsia="Arial" w:hAnsi="Arial"/>
                <w:sz w:val="21"/>
                <w:szCs w:val="21"/>
                <w:b w:val="1"/>
                <w:bCs w:val="1"/>
                <w:color w:val="FF0000"/>
                <w:strike w:val="1"/>
                <w:w w:val="74"/>
              </w:rPr>
              <w:t>111</w:t>
            </w:r>
          </w:p>
        </w:tc>
        <w:tc>
          <w:tcPr>
            <w:tcW w:w="320" w:type="dxa"/>
            <w:vAlign w:val="bottom"/>
            <w:gridSpan w:val="2"/>
            <w:vMerge w:val="restart"/>
          </w:tcPr>
          <w:p>
            <w:pPr>
              <w:jc w:val="right"/>
              <w:spacing w:after="0"/>
              <w:rPr>
                <w:sz w:val="20"/>
                <w:szCs w:val="20"/>
                <w:color w:val="auto"/>
              </w:rPr>
            </w:pPr>
            <w:r>
              <w:rPr>
                <w:rFonts w:ascii="Arial" w:cs="Arial" w:eastAsia="Arial" w:hAnsi="Arial"/>
                <w:sz w:val="21"/>
                <w:szCs w:val="21"/>
                <w:b w:val="1"/>
                <w:bCs w:val="1"/>
                <w:color w:val="0000FF"/>
                <w:w w:val="85"/>
              </w:rPr>
              <w:t>112</w:t>
            </w:r>
          </w:p>
        </w:tc>
        <w:tc>
          <w:tcPr>
            <w:tcW w:w="0" w:type="dxa"/>
            <w:vAlign w:val="bottom"/>
          </w:tcPr>
          <w:p>
            <w:pPr>
              <w:spacing w:after="0"/>
              <w:rPr>
                <w:sz w:val="1"/>
                <w:szCs w:val="1"/>
                <w:color w:val="auto"/>
              </w:rPr>
            </w:pPr>
          </w:p>
        </w:tc>
      </w:tr>
      <w:tr>
        <w:trPr>
          <w:trHeight w:val="303"/>
        </w:trPr>
        <w:tc>
          <w:tcPr>
            <w:tcW w:w="1680" w:type="dxa"/>
            <w:vAlign w:val="bottom"/>
          </w:tcPr>
          <w:p>
            <w:pPr>
              <w:ind w:left="160"/>
              <w:spacing w:after="0"/>
              <w:rPr>
                <w:sz w:val="20"/>
                <w:szCs w:val="20"/>
                <w:color w:val="auto"/>
              </w:rPr>
            </w:pPr>
            <w:r>
              <w:rPr>
                <w:rFonts w:ascii="Arial" w:cs="Arial" w:eastAsia="Arial" w:hAnsi="Arial"/>
                <w:sz w:val="21"/>
                <w:szCs w:val="21"/>
                <w:color w:val="auto"/>
              </w:rPr>
              <w:t>SECTION 9.03.</w:t>
            </w:r>
          </w:p>
        </w:tc>
        <w:tc>
          <w:tcPr>
            <w:tcW w:w="5820" w:type="dxa"/>
            <w:vAlign w:val="bottom"/>
            <w:gridSpan w:val="62"/>
          </w:tcPr>
          <w:p>
            <w:pPr>
              <w:ind w:left="40"/>
              <w:spacing w:after="0"/>
              <w:rPr>
                <w:sz w:val="20"/>
                <w:szCs w:val="20"/>
                <w:color w:val="auto"/>
              </w:rPr>
            </w:pPr>
            <w:r>
              <w:rPr>
                <w:rFonts w:ascii="Arial" w:cs="Arial" w:eastAsia="Arial" w:hAnsi="Arial"/>
                <w:sz w:val="21"/>
                <w:szCs w:val="21"/>
                <w:color w:val="auto"/>
                <w:w w:val="93"/>
              </w:rPr>
              <w:t>Nature of Guarantee; Continuing Guarantee; Waivers of Defenses</w:t>
            </w:r>
          </w:p>
        </w:tc>
        <w:tc>
          <w:tcPr>
            <w:tcW w:w="280" w:type="dxa"/>
            <w:vAlign w:val="bottom"/>
            <w:gridSpan w:val="2"/>
            <w:vMerge w:val="continue"/>
          </w:tcPr>
          <w:p>
            <w:pPr>
              <w:spacing w:after="0"/>
              <w:rPr>
                <w:sz w:val="24"/>
                <w:szCs w:val="24"/>
                <w:color w:val="auto"/>
              </w:rPr>
            </w:pPr>
          </w:p>
        </w:tc>
        <w:tc>
          <w:tcPr>
            <w:tcW w:w="320" w:type="dxa"/>
            <w:vAlign w:val="bottom"/>
            <w:tcBorders>
              <w:bottom w:val="single" w:sz="8" w:color="0000FF"/>
            </w:tcBorders>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680" w:type="dxa"/>
            <w:vAlign w:val="bottom"/>
          </w:tcPr>
          <w:p>
            <w:pPr>
              <w:ind w:left="160"/>
              <w:spacing w:after="0"/>
              <w:rPr>
                <w:sz w:val="20"/>
                <w:szCs w:val="20"/>
                <w:color w:val="auto"/>
              </w:rPr>
            </w:pPr>
            <w:r>
              <w:rPr>
                <w:rFonts w:ascii="Arial" w:cs="Arial" w:eastAsia="Arial" w:hAnsi="Arial"/>
                <w:sz w:val="21"/>
                <w:szCs w:val="21"/>
                <w:color w:val="auto"/>
              </w:rPr>
              <w:t>SECTION 9.04.</w:t>
            </w:r>
          </w:p>
        </w:tc>
        <w:tc>
          <w:tcPr>
            <w:tcW w:w="5060" w:type="dxa"/>
            <w:vAlign w:val="bottom"/>
            <w:gridSpan w:val="55"/>
          </w:tcPr>
          <w:p>
            <w:pPr>
              <w:ind w:left="40"/>
              <w:spacing w:after="0"/>
              <w:rPr>
                <w:sz w:val="20"/>
                <w:szCs w:val="20"/>
                <w:color w:val="auto"/>
              </w:rPr>
            </w:pPr>
            <w:r>
              <w:rPr>
                <w:rFonts w:ascii="Arial" w:cs="Arial" w:eastAsia="Arial" w:hAnsi="Arial"/>
                <w:sz w:val="21"/>
                <w:szCs w:val="21"/>
                <w:color w:val="auto"/>
                <w:w w:val="95"/>
              </w:rPr>
              <w:t>Rights of Reimbursement, Contribution and Subrogation</w:t>
            </w:r>
          </w:p>
        </w:tc>
        <w:tc>
          <w:tcPr>
            <w:tcW w:w="300" w:type="dxa"/>
            <w:vAlign w:val="bottom"/>
            <w:gridSpan w:val="2"/>
          </w:tcPr>
          <w:p>
            <w:pPr>
              <w:jc w:val="right"/>
              <w:spacing w:after="0"/>
              <w:rPr>
                <w:sz w:val="20"/>
                <w:szCs w:val="20"/>
                <w:color w:val="auto"/>
              </w:rPr>
            </w:pPr>
            <w:r>
              <w:rPr>
                <w:rFonts w:ascii="Arial" w:cs="Arial" w:eastAsia="Arial" w:hAnsi="Arial"/>
                <w:sz w:val="21"/>
                <w:szCs w:val="21"/>
                <w:b w:val="1"/>
                <w:bCs w:val="1"/>
                <w:color w:val="FF0000"/>
                <w:strike w:val="1"/>
                <w:w w:val="79"/>
              </w:rPr>
              <w:t>113</w:t>
            </w:r>
          </w:p>
        </w:tc>
        <w:tc>
          <w:tcPr>
            <w:tcW w:w="320" w:type="dxa"/>
            <w:vAlign w:val="bottom"/>
            <w:tcBorders>
              <w:bottom w:val="single" w:sz="8" w:color="0000FF"/>
            </w:tcBorders>
            <w:gridSpan w:val="3"/>
          </w:tcPr>
          <w:p>
            <w:pPr>
              <w:jc w:val="right"/>
              <w:spacing w:after="0"/>
              <w:rPr>
                <w:sz w:val="20"/>
                <w:szCs w:val="20"/>
                <w:color w:val="auto"/>
              </w:rPr>
            </w:pPr>
            <w:r>
              <w:rPr>
                <w:rFonts w:ascii="Arial" w:cs="Arial" w:eastAsia="Arial" w:hAnsi="Arial"/>
                <w:sz w:val="21"/>
                <w:szCs w:val="21"/>
                <w:b w:val="1"/>
                <w:bCs w:val="1"/>
                <w:color w:val="0000FF"/>
                <w:w w:val="85"/>
              </w:rPr>
              <w:t>114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680" w:type="dxa"/>
            <w:vAlign w:val="bottom"/>
          </w:tcPr>
          <w:p>
            <w:pPr>
              <w:ind w:left="160"/>
              <w:spacing w:after="0"/>
              <w:rPr>
                <w:sz w:val="20"/>
                <w:szCs w:val="20"/>
                <w:color w:val="auto"/>
              </w:rPr>
            </w:pPr>
            <w:r>
              <w:rPr>
                <w:rFonts w:ascii="Arial" w:cs="Arial" w:eastAsia="Arial" w:hAnsi="Arial"/>
                <w:sz w:val="21"/>
                <w:szCs w:val="21"/>
                <w:color w:val="auto"/>
              </w:rPr>
              <w:t>SECTION 9.05.</w:t>
            </w:r>
          </w:p>
        </w:tc>
        <w:tc>
          <w:tcPr>
            <w:tcW w:w="1040" w:type="dxa"/>
            <w:vAlign w:val="bottom"/>
          </w:tcPr>
          <w:p>
            <w:pPr>
              <w:ind w:left="40"/>
              <w:spacing w:after="0"/>
              <w:rPr>
                <w:sz w:val="20"/>
                <w:szCs w:val="20"/>
                <w:color w:val="auto"/>
              </w:rPr>
            </w:pPr>
            <w:r>
              <w:rPr>
                <w:rFonts w:ascii="Arial" w:cs="Arial" w:eastAsia="Arial" w:hAnsi="Arial"/>
                <w:sz w:val="21"/>
                <w:szCs w:val="21"/>
                <w:color w:val="auto"/>
              </w:rPr>
              <w:t>Payments</w:t>
            </w:r>
          </w:p>
        </w:tc>
        <w:tc>
          <w:tcPr>
            <w:tcW w:w="340" w:type="dxa"/>
            <w:vAlign w:val="bottom"/>
            <w:gridSpan w:val="2"/>
          </w:tcPr>
          <w:p>
            <w:pPr>
              <w:ind w:left="20"/>
              <w:spacing w:after="0"/>
              <w:rPr>
                <w:sz w:val="20"/>
                <w:szCs w:val="20"/>
                <w:color w:val="auto"/>
              </w:rPr>
            </w:pPr>
            <w:r>
              <w:rPr>
                <w:rFonts w:ascii="Arial" w:cs="Arial" w:eastAsia="Arial" w:hAnsi="Arial"/>
                <w:sz w:val="21"/>
                <w:szCs w:val="21"/>
                <w:b w:val="1"/>
                <w:bCs w:val="1"/>
                <w:color w:val="FF0000"/>
                <w:strike w:val="1"/>
                <w:w w:val="85"/>
              </w:rPr>
              <w:t>114</w:t>
            </w:r>
          </w:p>
        </w:tc>
        <w:tc>
          <w:tcPr>
            <w:tcW w:w="300" w:type="dxa"/>
            <w:vAlign w:val="bottom"/>
            <w:tcBorders>
              <w:bottom w:val="single" w:sz="8" w:color="0000FF"/>
            </w:tcBorders>
            <w:gridSpan w:val="3"/>
          </w:tcPr>
          <w:p>
            <w:pPr>
              <w:jc w:val="right"/>
              <w:spacing w:after="0"/>
              <w:rPr>
                <w:sz w:val="20"/>
                <w:szCs w:val="20"/>
                <w:color w:val="auto"/>
              </w:rPr>
            </w:pPr>
            <w:r>
              <w:rPr>
                <w:rFonts w:ascii="Arial" w:cs="Arial" w:eastAsia="Arial" w:hAnsi="Arial"/>
                <w:sz w:val="21"/>
                <w:szCs w:val="21"/>
                <w:b w:val="1"/>
                <w:bCs w:val="1"/>
                <w:color w:val="0000FF"/>
                <w:w w:val="79"/>
              </w:rPr>
              <w:t>115</w:t>
            </w:r>
          </w:p>
        </w:tc>
        <w:tc>
          <w:tcPr>
            <w:tcW w:w="1580" w:type="dxa"/>
            <w:vAlign w:val="bottom"/>
            <w:gridSpan w:val="30"/>
          </w:tcPr>
          <w:p>
            <w:pPr>
              <w:spacing w:after="0"/>
              <w:rPr>
                <w:sz w:val="24"/>
                <w:szCs w:val="24"/>
                <w:color w:val="auto"/>
              </w:rPr>
            </w:pPr>
          </w:p>
        </w:tc>
        <w:tc>
          <w:tcPr>
            <w:tcW w:w="300" w:type="dxa"/>
            <w:vAlign w:val="bottom"/>
            <w:gridSpan w:val="4"/>
            <w:vMerge w:val="restart"/>
          </w:tcPr>
          <w:p>
            <w:pPr>
              <w:jc w:val="right"/>
              <w:spacing w:after="0"/>
              <w:rPr>
                <w:sz w:val="20"/>
                <w:szCs w:val="20"/>
                <w:color w:val="auto"/>
              </w:rPr>
            </w:pPr>
            <w:r>
              <w:rPr>
                <w:rFonts w:ascii="Arial" w:cs="Arial" w:eastAsia="Arial" w:hAnsi="Arial"/>
                <w:sz w:val="21"/>
                <w:szCs w:val="21"/>
                <w:b w:val="1"/>
                <w:bCs w:val="1"/>
                <w:color w:val="FF0000"/>
                <w:strike w:val="1"/>
                <w:w w:val="79"/>
              </w:rPr>
              <w:t>114</w:t>
            </w:r>
          </w:p>
        </w:tc>
        <w:tc>
          <w:tcPr>
            <w:tcW w:w="300" w:type="dxa"/>
            <w:vAlign w:val="bottom"/>
            <w:gridSpan w:val="6"/>
            <w:vMerge w:val="restart"/>
          </w:tcPr>
          <w:p>
            <w:pPr>
              <w:jc w:val="right"/>
              <w:spacing w:after="0"/>
              <w:rPr>
                <w:sz w:val="20"/>
                <w:szCs w:val="20"/>
                <w:color w:val="auto"/>
              </w:rPr>
            </w:pPr>
            <w:r>
              <w:rPr>
                <w:rFonts w:ascii="Arial" w:cs="Arial" w:eastAsia="Arial" w:hAnsi="Arial"/>
                <w:sz w:val="21"/>
                <w:szCs w:val="21"/>
                <w:b w:val="1"/>
                <w:bCs w:val="1"/>
                <w:color w:val="0000FF"/>
                <w:w w:val="79"/>
              </w:rPr>
              <w:t>115</w:t>
            </w:r>
          </w:p>
        </w:tc>
        <w:tc>
          <w:tcPr>
            <w:tcW w:w="256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1680" w:type="dxa"/>
            <w:vAlign w:val="bottom"/>
          </w:tcPr>
          <w:p>
            <w:pPr>
              <w:ind w:left="160"/>
              <w:spacing w:after="0"/>
              <w:rPr>
                <w:sz w:val="20"/>
                <w:szCs w:val="20"/>
                <w:color w:val="auto"/>
              </w:rPr>
            </w:pPr>
            <w:r>
              <w:rPr>
                <w:rFonts w:ascii="Arial" w:cs="Arial" w:eastAsia="Arial" w:hAnsi="Arial"/>
                <w:sz w:val="21"/>
                <w:szCs w:val="21"/>
                <w:color w:val="auto"/>
              </w:rPr>
              <w:t>SECTION 9.06.</w:t>
            </w:r>
          </w:p>
        </w:tc>
        <w:tc>
          <w:tcPr>
            <w:tcW w:w="3080" w:type="dxa"/>
            <w:vAlign w:val="bottom"/>
            <w:gridSpan w:val="34"/>
          </w:tcPr>
          <w:p>
            <w:pPr>
              <w:ind w:left="40"/>
              <w:spacing w:after="0"/>
              <w:rPr>
                <w:sz w:val="20"/>
                <w:szCs w:val="20"/>
                <w:color w:val="auto"/>
              </w:rPr>
            </w:pPr>
            <w:r>
              <w:rPr>
                <w:rFonts w:ascii="Arial" w:cs="Arial" w:eastAsia="Arial" w:hAnsi="Arial"/>
                <w:sz w:val="21"/>
                <w:szCs w:val="21"/>
                <w:color w:val="auto"/>
                <w:w w:val="93"/>
              </w:rPr>
              <w:t>Subordination of Other Obligations</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gridSpan w:val="4"/>
            <w:vMerge w:val="continue"/>
          </w:tcPr>
          <w:p>
            <w:pPr>
              <w:spacing w:after="0"/>
              <w:rPr>
                <w:sz w:val="24"/>
                <w:szCs w:val="24"/>
                <w:color w:val="auto"/>
              </w:rPr>
            </w:pPr>
          </w:p>
        </w:tc>
        <w:tc>
          <w:tcPr>
            <w:tcW w:w="300" w:type="dxa"/>
            <w:vAlign w:val="bottom"/>
            <w:tcBorders>
              <w:bottom w:val="single" w:sz="8" w:color="0000FF"/>
            </w:tcBorders>
            <w:gridSpan w:val="6"/>
            <w:vMerge w:val="continue"/>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gridSpan w:val="2"/>
            <w:vMerge w:val="restart"/>
          </w:tcPr>
          <w:p>
            <w:pPr>
              <w:jc w:val="right"/>
              <w:spacing w:after="0"/>
              <w:rPr>
                <w:sz w:val="20"/>
                <w:szCs w:val="20"/>
                <w:color w:val="auto"/>
              </w:rPr>
            </w:pPr>
            <w:r>
              <w:rPr>
                <w:rFonts w:ascii="Arial" w:cs="Arial" w:eastAsia="Arial" w:hAnsi="Arial"/>
                <w:sz w:val="21"/>
                <w:szCs w:val="21"/>
                <w:b w:val="1"/>
                <w:bCs w:val="1"/>
                <w:color w:val="FF0000"/>
                <w:strike w:val="1"/>
                <w:w w:val="85"/>
              </w:rPr>
              <w:t>114</w:t>
            </w:r>
          </w:p>
        </w:tc>
        <w:tc>
          <w:tcPr>
            <w:tcW w:w="300" w:type="dxa"/>
            <w:vAlign w:val="bottom"/>
            <w:gridSpan w:val="3"/>
            <w:vMerge w:val="restart"/>
          </w:tcPr>
          <w:p>
            <w:pPr>
              <w:jc w:val="right"/>
              <w:spacing w:after="0"/>
              <w:rPr>
                <w:sz w:val="20"/>
                <w:szCs w:val="20"/>
                <w:color w:val="auto"/>
              </w:rPr>
            </w:pPr>
            <w:r>
              <w:rPr>
                <w:rFonts w:ascii="Arial" w:cs="Arial" w:eastAsia="Arial" w:hAnsi="Arial"/>
                <w:sz w:val="21"/>
                <w:szCs w:val="21"/>
                <w:b w:val="1"/>
                <w:bCs w:val="1"/>
                <w:color w:val="0000FF"/>
                <w:w w:val="79"/>
              </w:rPr>
              <w:t>115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680" w:type="dxa"/>
            <w:vAlign w:val="bottom"/>
          </w:tcPr>
          <w:p>
            <w:pPr>
              <w:ind w:left="160"/>
              <w:spacing w:after="0"/>
              <w:rPr>
                <w:sz w:val="20"/>
                <w:szCs w:val="20"/>
                <w:color w:val="auto"/>
              </w:rPr>
            </w:pPr>
            <w:r>
              <w:rPr>
                <w:rFonts w:ascii="Arial" w:cs="Arial" w:eastAsia="Arial" w:hAnsi="Arial"/>
                <w:sz w:val="21"/>
                <w:szCs w:val="21"/>
                <w:color w:val="auto"/>
              </w:rPr>
              <w:t>SECTION 9.07.</w:t>
            </w:r>
          </w:p>
        </w:tc>
        <w:tc>
          <w:tcPr>
            <w:tcW w:w="5060" w:type="dxa"/>
            <w:vAlign w:val="bottom"/>
            <w:gridSpan w:val="55"/>
          </w:tcPr>
          <w:p>
            <w:pPr>
              <w:ind w:left="40"/>
              <w:spacing w:after="0"/>
              <w:rPr>
                <w:sz w:val="20"/>
                <w:szCs w:val="20"/>
                <w:color w:val="auto"/>
              </w:rPr>
            </w:pPr>
            <w:r>
              <w:rPr>
                <w:rFonts w:ascii="Arial" w:cs="Arial" w:eastAsia="Arial" w:hAnsi="Arial"/>
                <w:sz w:val="21"/>
                <w:szCs w:val="21"/>
                <w:color w:val="auto"/>
                <w:w w:val="93"/>
              </w:rPr>
              <w:t>Financial Condition of the Borrower and other Guarantors</w:t>
            </w:r>
          </w:p>
        </w:tc>
        <w:tc>
          <w:tcPr>
            <w:tcW w:w="120" w:type="dxa"/>
            <w:vAlign w:val="bottom"/>
          </w:tcPr>
          <w:p>
            <w:pPr>
              <w:spacing w:after="0"/>
              <w:rPr>
                <w:sz w:val="24"/>
                <w:szCs w:val="24"/>
                <w:color w:val="auto"/>
              </w:rPr>
            </w:pPr>
          </w:p>
        </w:tc>
        <w:tc>
          <w:tcPr>
            <w:tcW w:w="320" w:type="dxa"/>
            <w:vAlign w:val="bottom"/>
            <w:gridSpan w:val="2"/>
            <w:vMerge w:val="continue"/>
          </w:tcPr>
          <w:p>
            <w:pPr>
              <w:spacing w:after="0"/>
              <w:rPr>
                <w:sz w:val="24"/>
                <w:szCs w:val="24"/>
                <w:color w:val="auto"/>
              </w:rPr>
            </w:pPr>
          </w:p>
        </w:tc>
        <w:tc>
          <w:tcPr>
            <w:tcW w:w="300" w:type="dxa"/>
            <w:vAlign w:val="bottom"/>
            <w:tcBorders>
              <w:bottom w:val="single" w:sz="8" w:color="0000FF"/>
            </w:tcBorders>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680" w:type="dxa"/>
            <w:vAlign w:val="bottom"/>
          </w:tcPr>
          <w:p>
            <w:pPr>
              <w:ind w:left="160"/>
              <w:spacing w:after="0"/>
              <w:rPr>
                <w:sz w:val="20"/>
                <w:szCs w:val="20"/>
                <w:color w:val="auto"/>
              </w:rPr>
            </w:pPr>
            <w:r>
              <w:rPr>
                <w:rFonts w:ascii="Arial" w:cs="Arial" w:eastAsia="Arial" w:hAnsi="Arial"/>
                <w:sz w:val="21"/>
                <w:szCs w:val="21"/>
                <w:color w:val="auto"/>
              </w:rPr>
              <w:t>SECTION 9.08.</w:t>
            </w:r>
          </w:p>
        </w:tc>
        <w:tc>
          <w:tcPr>
            <w:tcW w:w="1460" w:type="dxa"/>
            <w:vAlign w:val="bottom"/>
            <w:gridSpan w:val="4"/>
          </w:tcPr>
          <w:p>
            <w:pPr>
              <w:ind w:left="40"/>
              <w:spacing w:after="0"/>
              <w:rPr>
                <w:sz w:val="20"/>
                <w:szCs w:val="20"/>
                <w:color w:val="auto"/>
              </w:rPr>
            </w:pPr>
            <w:r>
              <w:rPr>
                <w:rFonts w:ascii="Arial" w:cs="Arial" w:eastAsia="Arial" w:hAnsi="Arial"/>
                <w:sz w:val="21"/>
                <w:szCs w:val="21"/>
                <w:color w:val="auto"/>
                <w:w w:val="95"/>
              </w:rPr>
              <w:t>Bankruptcy, Etc</w:t>
            </w:r>
          </w:p>
        </w:tc>
        <w:tc>
          <w:tcPr>
            <w:tcW w:w="460" w:type="dxa"/>
            <w:vAlign w:val="bottom"/>
            <w:gridSpan w:val="7"/>
          </w:tcPr>
          <w:p>
            <w:pPr>
              <w:jc w:val="right"/>
              <w:spacing w:after="0"/>
              <w:rPr>
                <w:sz w:val="20"/>
                <w:szCs w:val="20"/>
                <w:color w:val="auto"/>
              </w:rPr>
            </w:pPr>
            <w:r>
              <w:rPr>
                <w:rFonts w:ascii="Arial" w:cs="Arial" w:eastAsia="Arial" w:hAnsi="Arial"/>
                <w:sz w:val="21"/>
                <w:szCs w:val="21"/>
                <w:b w:val="1"/>
                <w:bCs w:val="1"/>
                <w:color w:val="FF0000"/>
                <w:strike w:val="1"/>
              </w:rPr>
              <w:t>115</w:t>
            </w:r>
          </w:p>
        </w:tc>
        <w:tc>
          <w:tcPr>
            <w:tcW w:w="300" w:type="dxa"/>
            <w:vAlign w:val="bottom"/>
            <w:tcBorders>
              <w:bottom w:val="single" w:sz="8" w:color="0000FF"/>
            </w:tcBorders>
            <w:gridSpan w:val="6"/>
          </w:tcPr>
          <w:p>
            <w:pPr>
              <w:spacing w:after="0"/>
              <w:rPr>
                <w:sz w:val="20"/>
                <w:szCs w:val="20"/>
                <w:color w:val="auto"/>
              </w:rPr>
            </w:pPr>
            <w:r>
              <w:rPr>
                <w:rFonts w:ascii="Arial" w:cs="Arial" w:eastAsia="Arial" w:hAnsi="Arial"/>
                <w:sz w:val="21"/>
                <w:szCs w:val="21"/>
                <w:b w:val="1"/>
                <w:bCs w:val="1"/>
                <w:color w:val="0000FF"/>
                <w:w w:val="79"/>
              </w:rPr>
              <w:t>116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680" w:type="dxa"/>
            <w:vAlign w:val="bottom"/>
          </w:tcPr>
          <w:p>
            <w:pPr>
              <w:ind w:left="160"/>
              <w:spacing w:after="0"/>
              <w:rPr>
                <w:sz w:val="20"/>
                <w:szCs w:val="20"/>
                <w:color w:val="auto"/>
              </w:rPr>
            </w:pPr>
            <w:r>
              <w:rPr>
                <w:rFonts w:ascii="Arial" w:cs="Arial" w:eastAsia="Arial" w:hAnsi="Arial"/>
                <w:sz w:val="21"/>
                <w:szCs w:val="21"/>
                <w:color w:val="auto"/>
              </w:rPr>
              <w:t>SECTION 9.09.</w:t>
            </w:r>
          </w:p>
        </w:tc>
        <w:tc>
          <w:tcPr>
            <w:tcW w:w="2140" w:type="dxa"/>
            <w:vAlign w:val="bottom"/>
            <w:gridSpan w:val="14"/>
          </w:tcPr>
          <w:p>
            <w:pPr>
              <w:ind w:left="40"/>
              <w:spacing w:after="0"/>
              <w:rPr>
                <w:sz w:val="20"/>
                <w:szCs w:val="20"/>
                <w:color w:val="auto"/>
              </w:rPr>
            </w:pPr>
            <w:r>
              <w:rPr>
                <w:rFonts w:ascii="Arial" w:cs="Arial" w:eastAsia="Arial" w:hAnsi="Arial"/>
                <w:sz w:val="21"/>
                <w:szCs w:val="21"/>
                <w:color w:val="auto"/>
              </w:rPr>
              <w:t>Duration of Guarantee</w:t>
            </w:r>
          </w:p>
        </w:tc>
        <w:tc>
          <w:tcPr>
            <w:tcW w:w="320" w:type="dxa"/>
            <w:vAlign w:val="bottom"/>
            <w:gridSpan w:val="9"/>
          </w:tcPr>
          <w:p>
            <w:pPr>
              <w:jc w:val="right"/>
              <w:spacing w:after="0"/>
              <w:rPr>
                <w:sz w:val="20"/>
                <w:szCs w:val="20"/>
                <w:color w:val="auto"/>
              </w:rPr>
            </w:pPr>
            <w:r>
              <w:rPr>
                <w:rFonts w:ascii="Arial" w:cs="Arial" w:eastAsia="Arial" w:hAnsi="Arial"/>
                <w:sz w:val="21"/>
                <w:szCs w:val="21"/>
                <w:b w:val="1"/>
                <w:bCs w:val="1"/>
                <w:color w:val="FF0000"/>
                <w:strike w:val="1"/>
                <w:w w:val="85"/>
              </w:rPr>
              <w:t>115</w:t>
            </w:r>
          </w:p>
        </w:tc>
        <w:tc>
          <w:tcPr>
            <w:tcW w:w="360" w:type="dxa"/>
            <w:vAlign w:val="bottom"/>
            <w:tcBorders>
              <w:bottom w:val="single" w:sz="8" w:color="0000FF"/>
            </w:tcBorders>
            <w:gridSpan w:val="7"/>
          </w:tcPr>
          <w:p>
            <w:pPr>
              <w:jc w:val="right"/>
              <w:ind w:right="60"/>
              <w:spacing w:after="0"/>
              <w:rPr>
                <w:sz w:val="20"/>
                <w:szCs w:val="20"/>
                <w:color w:val="auto"/>
              </w:rPr>
            </w:pPr>
            <w:r>
              <w:rPr>
                <w:rFonts w:ascii="Arial" w:cs="Arial" w:eastAsia="Arial" w:hAnsi="Arial"/>
                <w:sz w:val="21"/>
                <w:szCs w:val="21"/>
                <w:b w:val="1"/>
                <w:bCs w:val="1"/>
                <w:color w:val="0000FF"/>
                <w:w w:val="79"/>
              </w:rPr>
              <w:t>116</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680" w:type="dxa"/>
            <w:vAlign w:val="bottom"/>
          </w:tcPr>
          <w:p>
            <w:pPr>
              <w:ind w:left="160"/>
              <w:spacing w:after="0"/>
              <w:rPr>
                <w:sz w:val="20"/>
                <w:szCs w:val="20"/>
                <w:color w:val="auto"/>
              </w:rPr>
            </w:pPr>
            <w:r>
              <w:rPr>
                <w:rFonts w:ascii="Arial" w:cs="Arial" w:eastAsia="Arial" w:hAnsi="Arial"/>
                <w:sz w:val="21"/>
                <w:szCs w:val="21"/>
                <w:color w:val="auto"/>
              </w:rPr>
              <w:t>SECTION 9.10.</w:t>
            </w:r>
          </w:p>
        </w:tc>
        <w:tc>
          <w:tcPr>
            <w:tcW w:w="1460" w:type="dxa"/>
            <w:vAlign w:val="bottom"/>
            <w:gridSpan w:val="4"/>
          </w:tcPr>
          <w:p>
            <w:pPr>
              <w:ind w:left="40"/>
              <w:spacing w:after="0"/>
              <w:rPr>
                <w:sz w:val="20"/>
                <w:szCs w:val="20"/>
                <w:color w:val="auto"/>
              </w:rPr>
            </w:pPr>
            <w:r>
              <w:rPr>
                <w:rFonts w:ascii="Arial" w:cs="Arial" w:eastAsia="Arial" w:hAnsi="Arial"/>
                <w:sz w:val="21"/>
                <w:szCs w:val="21"/>
                <w:color w:val="auto"/>
              </w:rPr>
              <w:t>Reinstatement</w:t>
            </w:r>
          </w:p>
        </w:tc>
        <w:tc>
          <w:tcPr>
            <w:tcW w:w="300" w:type="dxa"/>
            <w:vAlign w:val="bottom"/>
            <w:gridSpan w:val="4"/>
          </w:tcPr>
          <w:p>
            <w:pPr>
              <w:jc w:val="right"/>
              <w:spacing w:after="0"/>
              <w:rPr>
                <w:sz w:val="20"/>
                <w:szCs w:val="20"/>
                <w:color w:val="auto"/>
              </w:rPr>
            </w:pPr>
            <w:r>
              <w:rPr>
                <w:rFonts w:ascii="Arial" w:cs="Arial" w:eastAsia="Arial" w:hAnsi="Arial"/>
                <w:sz w:val="21"/>
                <w:szCs w:val="21"/>
                <w:b w:val="1"/>
                <w:bCs w:val="1"/>
                <w:color w:val="FF0000"/>
                <w:strike w:val="1"/>
                <w:w w:val="79"/>
              </w:rPr>
              <w:t>115</w:t>
            </w:r>
          </w:p>
        </w:tc>
        <w:tc>
          <w:tcPr>
            <w:tcW w:w="320" w:type="dxa"/>
            <w:vAlign w:val="bottom"/>
            <w:tcBorders>
              <w:bottom w:val="single" w:sz="8" w:color="0000FF"/>
            </w:tcBorders>
            <w:gridSpan w:val="5"/>
          </w:tcPr>
          <w:p>
            <w:pPr>
              <w:jc w:val="right"/>
              <w:spacing w:after="0"/>
              <w:rPr>
                <w:sz w:val="20"/>
                <w:szCs w:val="20"/>
                <w:color w:val="auto"/>
              </w:rPr>
            </w:pPr>
            <w:r>
              <w:rPr>
                <w:rFonts w:ascii="Arial" w:cs="Arial" w:eastAsia="Arial" w:hAnsi="Arial"/>
                <w:sz w:val="21"/>
                <w:szCs w:val="21"/>
                <w:b w:val="1"/>
                <w:bCs w:val="1"/>
                <w:color w:val="0000FF"/>
                <w:w w:val="85"/>
              </w:rPr>
              <w:t>116</w:t>
            </w:r>
          </w:p>
        </w:tc>
        <w:tc>
          <w:tcPr>
            <w:tcW w:w="60" w:type="dxa"/>
            <w:vAlign w:val="bottom"/>
          </w:tcPr>
          <w:p>
            <w:pPr>
              <w:spacing w:after="0"/>
              <w:rPr>
                <w:sz w:val="24"/>
                <w:szCs w:val="24"/>
                <w:color w:val="auto"/>
              </w:rPr>
            </w:pPr>
          </w:p>
        </w:tc>
        <w:tc>
          <w:tcPr>
            <w:tcW w:w="300" w:type="dxa"/>
            <w:vAlign w:val="bottom"/>
            <w:gridSpan w:val="8"/>
            <w:vMerge w:val="restart"/>
          </w:tcPr>
          <w:p>
            <w:pPr>
              <w:jc w:val="right"/>
              <w:spacing w:after="0"/>
              <w:rPr>
                <w:sz w:val="20"/>
                <w:szCs w:val="20"/>
                <w:color w:val="auto"/>
              </w:rPr>
            </w:pPr>
            <w:r>
              <w:rPr>
                <w:rFonts w:ascii="Arial" w:cs="Arial" w:eastAsia="Arial" w:hAnsi="Arial"/>
                <w:sz w:val="21"/>
                <w:szCs w:val="21"/>
                <w:b w:val="1"/>
                <w:bCs w:val="1"/>
                <w:color w:val="FF0000"/>
                <w:strike w:val="1"/>
                <w:w w:val="79"/>
              </w:rPr>
              <w:t>115</w:t>
            </w:r>
          </w:p>
        </w:tc>
        <w:tc>
          <w:tcPr>
            <w:tcW w:w="380" w:type="dxa"/>
            <w:vAlign w:val="bottom"/>
            <w:gridSpan w:val="8"/>
            <w:vMerge w:val="restart"/>
          </w:tcPr>
          <w:p>
            <w:pPr>
              <w:jc w:val="right"/>
              <w:ind w:right="60"/>
              <w:spacing w:after="0"/>
              <w:rPr>
                <w:sz w:val="20"/>
                <w:szCs w:val="20"/>
                <w:color w:val="auto"/>
              </w:rPr>
            </w:pPr>
            <w:r>
              <w:rPr>
                <w:rFonts w:ascii="Arial" w:cs="Arial" w:eastAsia="Arial" w:hAnsi="Arial"/>
                <w:sz w:val="21"/>
                <w:szCs w:val="21"/>
                <w:b w:val="1"/>
                <w:bCs w:val="1"/>
                <w:color w:val="0000FF"/>
                <w:w w:val="85"/>
              </w:rPr>
              <w:t>117</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680" w:type="dxa"/>
            <w:vAlign w:val="bottom"/>
          </w:tcPr>
          <w:p>
            <w:pPr>
              <w:ind w:left="160"/>
              <w:spacing w:after="0"/>
              <w:rPr>
                <w:sz w:val="20"/>
                <w:szCs w:val="20"/>
                <w:color w:val="auto"/>
              </w:rPr>
            </w:pPr>
            <w:r>
              <w:rPr>
                <w:rFonts w:ascii="Arial" w:cs="Arial" w:eastAsia="Arial" w:hAnsi="Arial"/>
                <w:sz w:val="21"/>
                <w:szCs w:val="21"/>
                <w:color w:val="auto"/>
              </w:rPr>
              <w:t>SECTION 9.11.</w:t>
            </w:r>
          </w:p>
        </w:tc>
        <w:tc>
          <w:tcPr>
            <w:tcW w:w="2140" w:type="dxa"/>
            <w:vAlign w:val="bottom"/>
            <w:gridSpan w:val="14"/>
          </w:tcPr>
          <w:p>
            <w:pPr>
              <w:ind w:left="20"/>
              <w:spacing w:after="0"/>
              <w:rPr>
                <w:sz w:val="20"/>
                <w:szCs w:val="20"/>
                <w:color w:val="auto"/>
              </w:rPr>
            </w:pPr>
            <w:r>
              <w:rPr>
                <w:rFonts w:ascii="Arial" w:cs="Arial" w:eastAsia="Arial" w:hAnsi="Arial"/>
                <w:sz w:val="21"/>
                <w:szCs w:val="21"/>
                <w:color w:val="auto"/>
              </w:rPr>
              <w:t>Additional Guarantors</w:t>
            </w:r>
          </w:p>
        </w:tc>
        <w:tc>
          <w:tcPr>
            <w:tcW w:w="300" w:type="dxa"/>
            <w:vAlign w:val="bottom"/>
            <w:gridSpan w:val="8"/>
            <w:vMerge w:val="continue"/>
          </w:tcPr>
          <w:p>
            <w:pPr>
              <w:spacing w:after="0"/>
              <w:rPr>
                <w:sz w:val="24"/>
                <w:szCs w:val="24"/>
                <w:color w:val="auto"/>
              </w:rPr>
            </w:pPr>
          </w:p>
        </w:tc>
        <w:tc>
          <w:tcPr>
            <w:tcW w:w="380" w:type="dxa"/>
            <w:vAlign w:val="bottom"/>
            <w:tcBorders>
              <w:bottom w:val="single" w:sz="8" w:color="0000FF"/>
            </w:tcBorders>
            <w:gridSpan w:val="8"/>
            <w:vMerge w:val="continue"/>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540" w:type="dxa"/>
            <w:vAlign w:val="bottom"/>
            <w:gridSpan w:val="11"/>
          </w:tcPr>
          <w:p>
            <w:pPr>
              <w:spacing w:after="0"/>
              <w:rPr>
                <w:sz w:val="20"/>
                <w:szCs w:val="20"/>
                <w:color w:val="auto"/>
              </w:rPr>
            </w:pPr>
            <w:r>
              <w:rPr>
                <w:rFonts w:ascii="Arial" w:cs="Arial" w:eastAsia="Arial" w:hAnsi="Arial"/>
                <w:sz w:val="21"/>
                <w:szCs w:val="21"/>
                <w:color w:val="auto"/>
              </w:rPr>
              <w:t>ARTICLE X The Administrative Agent</w:t>
            </w:r>
          </w:p>
        </w:tc>
        <w:tc>
          <w:tcPr>
            <w:tcW w:w="320" w:type="dxa"/>
            <w:vAlign w:val="bottom"/>
            <w:gridSpan w:val="6"/>
          </w:tcPr>
          <w:p>
            <w:pPr>
              <w:spacing w:after="0"/>
              <w:rPr>
                <w:sz w:val="20"/>
                <w:szCs w:val="20"/>
                <w:color w:val="auto"/>
              </w:rPr>
            </w:pPr>
            <w:r>
              <w:rPr>
                <w:rFonts w:ascii="Arial" w:cs="Arial" w:eastAsia="Arial" w:hAnsi="Arial"/>
                <w:sz w:val="21"/>
                <w:szCs w:val="21"/>
                <w:b w:val="1"/>
                <w:bCs w:val="1"/>
                <w:color w:val="FF0000"/>
                <w:strike w:val="1"/>
                <w:w w:val="85"/>
              </w:rPr>
              <w:t>116</w:t>
            </w:r>
          </w:p>
        </w:tc>
        <w:tc>
          <w:tcPr>
            <w:tcW w:w="300" w:type="dxa"/>
            <w:vAlign w:val="bottom"/>
            <w:tcBorders>
              <w:bottom w:val="single" w:sz="8" w:color="0000FF"/>
            </w:tcBorders>
            <w:gridSpan w:val="8"/>
          </w:tcPr>
          <w:p>
            <w:pPr>
              <w:spacing w:after="0"/>
              <w:rPr>
                <w:sz w:val="20"/>
                <w:szCs w:val="20"/>
                <w:color w:val="auto"/>
              </w:rPr>
            </w:pPr>
            <w:r>
              <w:rPr>
                <w:rFonts w:ascii="Arial" w:cs="Arial" w:eastAsia="Arial" w:hAnsi="Arial"/>
                <w:sz w:val="21"/>
                <w:szCs w:val="21"/>
                <w:b w:val="1"/>
                <w:bCs w:val="1"/>
                <w:color w:val="0000FF"/>
                <w:w w:val="79"/>
              </w:rPr>
              <w:t>117</w:t>
            </w:r>
          </w:p>
        </w:tc>
        <w:tc>
          <w:tcPr>
            <w:tcW w:w="20" w:type="dxa"/>
            <w:vAlign w:val="bottom"/>
          </w:tcPr>
          <w:p>
            <w:pPr>
              <w:spacing w:after="0"/>
              <w:rPr>
                <w:sz w:val="24"/>
                <w:szCs w:val="24"/>
                <w:color w:val="auto"/>
              </w:rPr>
            </w:pPr>
          </w:p>
        </w:tc>
        <w:tc>
          <w:tcPr>
            <w:tcW w:w="320" w:type="dxa"/>
            <w:vAlign w:val="bottom"/>
            <w:gridSpan w:val="5"/>
            <w:vMerge w:val="restart"/>
          </w:tcPr>
          <w:p>
            <w:pPr>
              <w:jc w:val="right"/>
              <w:spacing w:after="0"/>
              <w:rPr>
                <w:sz w:val="20"/>
                <w:szCs w:val="20"/>
                <w:color w:val="auto"/>
              </w:rPr>
            </w:pPr>
            <w:r>
              <w:rPr>
                <w:rFonts w:ascii="Arial" w:cs="Arial" w:eastAsia="Arial" w:hAnsi="Arial"/>
                <w:sz w:val="21"/>
                <w:szCs w:val="21"/>
                <w:b w:val="1"/>
                <w:bCs w:val="1"/>
                <w:color w:val="FF0000"/>
                <w:strike w:val="1"/>
                <w:w w:val="85"/>
              </w:rPr>
              <w:t>116</w:t>
            </w:r>
          </w:p>
        </w:tc>
        <w:tc>
          <w:tcPr>
            <w:tcW w:w="300" w:type="dxa"/>
            <w:vAlign w:val="bottom"/>
            <w:gridSpan w:val="5"/>
            <w:vMerge w:val="restart"/>
          </w:tcPr>
          <w:p>
            <w:pPr>
              <w:jc w:val="right"/>
              <w:spacing w:after="0"/>
              <w:rPr>
                <w:sz w:val="20"/>
                <w:szCs w:val="20"/>
                <w:color w:val="auto"/>
              </w:rPr>
            </w:pPr>
            <w:r>
              <w:rPr>
                <w:rFonts w:ascii="Arial" w:cs="Arial" w:eastAsia="Arial" w:hAnsi="Arial"/>
                <w:sz w:val="21"/>
                <w:szCs w:val="21"/>
                <w:b w:val="1"/>
                <w:bCs w:val="1"/>
                <w:color w:val="0000FF"/>
                <w:w w:val="79"/>
              </w:rPr>
              <w:t>117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680" w:type="dxa"/>
            <w:vAlign w:val="bottom"/>
          </w:tcPr>
          <w:p>
            <w:pPr>
              <w:ind w:left="160"/>
              <w:spacing w:after="0"/>
              <w:rPr>
                <w:sz w:val="20"/>
                <w:szCs w:val="20"/>
                <w:color w:val="auto"/>
              </w:rPr>
            </w:pPr>
            <w:r>
              <w:rPr>
                <w:rFonts w:ascii="Arial" w:cs="Arial" w:eastAsia="Arial" w:hAnsi="Arial"/>
                <w:sz w:val="21"/>
                <w:szCs w:val="21"/>
                <w:color w:val="auto"/>
                <w:w w:val="95"/>
              </w:rPr>
              <w:t>SECTION 10.01.</w:t>
            </w:r>
          </w:p>
        </w:tc>
        <w:tc>
          <w:tcPr>
            <w:tcW w:w="2500" w:type="dxa"/>
            <w:vAlign w:val="bottom"/>
            <w:gridSpan w:val="25"/>
          </w:tcPr>
          <w:p>
            <w:pPr>
              <w:ind w:left="140"/>
              <w:spacing w:after="0"/>
              <w:rPr>
                <w:sz w:val="20"/>
                <w:szCs w:val="20"/>
                <w:color w:val="auto"/>
              </w:rPr>
            </w:pPr>
            <w:r>
              <w:rPr>
                <w:rFonts w:ascii="Arial" w:cs="Arial" w:eastAsia="Arial" w:hAnsi="Arial"/>
                <w:sz w:val="21"/>
                <w:szCs w:val="21"/>
                <w:color w:val="auto"/>
              </w:rPr>
              <w:t>Authorization and Action</w:t>
            </w:r>
          </w:p>
        </w:tc>
        <w:tc>
          <w:tcPr>
            <w:tcW w:w="320" w:type="dxa"/>
            <w:vAlign w:val="bottom"/>
            <w:gridSpan w:val="5"/>
            <w:vMerge w:val="continue"/>
          </w:tcPr>
          <w:p>
            <w:pPr>
              <w:spacing w:after="0"/>
              <w:rPr>
                <w:sz w:val="23"/>
                <w:szCs w:val="23"/>
                <w:color w:val="auto"/>
              </w:rPr>
            </w:pPr>
          </w:p>
        </w:tc>
        <w:tc>
          <w:tcPr>
            <w:tcW w:w="300" w:type="dxa"/>
            <w:vAlign w:val="bottom"/>
            <w:tcBorders>
              <w:bottom w:val="single" w:sz="8" w:color="0000FF"/>
            </w:tcBorders>
            <w:gridSpan w:val="5"/>
            <w:vMerge w:val="continue"/>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gridSpan w:val="4"/>
            <w:vMerge w:val="restart"/>
          </w:tcPr>
          <w:p>
            <w:pPr>
              <w:jc w:val="right"/>
              <w:spacing w:after="0"/>
              <w:rPr>
                <w:sz w:val="20"/>
                <w:szCs w:val="20"/>
                <w:color w:val="auto"/>
              </w:rPr>
            </w:pPr>
            <w:r>
              <w:rPr>
                <w:rFonts w:ascii="Arial" w:cs="Arial" w:eastAsia="Arial" w:hAnsi="Arial"/>
                <w:sz w:val="21"/>
                <w:szCs w:val="21"/>
                <w:b w:val="1"/>
                <w:bCs w:val="1"/>
                <w:color w:val="FF0000"/>
                <w:strike w:val="1"/>
                <w:w w:val="79"/>
              </w:rPr>
              <w:t>118</w:t>
            </w:r>
          </w:p>
        </w:tc>
        <w:tc>
          <w:tcPr>
            <w:tcW w:w="320" w:type="dxa"/>
            <w:vAlign w:val="bottom"/>
            <w:gridSpan w:val="2"/>
            <w:vMerge w:val="restart"/>
          </w:tcPr>
          <w:p>
            <w:pPr>
              <w:jc w:val="right"/>
              <w:spacing w:after="0"/>
              <w:rPr>
                <w:sz w:val="20"/>
                <w:szCs w:val="20"/>
                <w:color w:val="auto"/>
              </w:rPr>
            </w:pPr>
            <w:r>
              <w:rPr>
                <w:rFonts w:ascii="Arial" w:cs="Arial" w:eastAsia="Arial" w:hAnsi="Arial"/>
                <w:sz w:val="21"/>
                <w:szCs w:val="21"/>
                <w:b w:val="1"/>
                <w:bCs w:val="1"/>
                <w:color w:val="0000FF"/>
                <w:w w:val="85"/>
              </w:rPr>
              <w:t>120</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6"/>
        </w:trPr>
        <w:tc>
          <w:tcPr>
            <w:tcW w:w="1680" w:type="dxa"/>
            <w:vAlign w:val="bottom"/>
          </w:tcPr>
          <w:p>
            <w:pPr>
              <w:ind w:left="160"/>
              <w:spacing w:after="0"/>
              <w:rPr>
                <w:sz w:val="20"/>
                <w:szCs w:val="20"/>
                <w:color w:val="auto"/>
              </w:rPr>
            </w:pPr>
            <w:r>
              <w:rPr>
                <w:rFonts w:ascii="Arial" w:cs="Arial" w:eastAsia="Arial" w:hAnsi="Arial"/>
                <w:sz w:val="21"/>
                <w:szCs w:val="21"/>
                <w:color w:val="auto"/>
                <w:w w:val="95"/>
              </w:rPr>
              <w:t>SECTION 10.02.</w:t>
            </w:r>
          </w:p>
        </w:tc>
        <w:tc>
          <w:tcPr>
            <w:tcW w:w="5560" w:type="dxa"/>
            <w:vAlign w:val="bottom"/>
            <w:gridSpan w:val="59"/>
          </w:tcPr>
          <w:p>
            <w:pPr>
              <w:ind w:left="140"/>
              <w:spacing w:after="0"/>
              <w:rPr>
                <w:sz w:val="20"/>
                <w:szCs w:val="20"/>
                <w:color w:val="auto"/>
              </w:rPr>
            </w:pPr>
            <w:r>
              <w:rPr>
                <w:rFonts w:ascii="Arial" w:cs="Arial" w:eastAsia="Arial" w:hAnsi="Arial"/>
                <w:sz w:val="21"/>
                <w:szCs w:val="21"/>
                <w:color w:val="auto"/>
                <w:w w:val="99"/>
              </w:rPr>
              <w:t>Administrative Agent’s Reliance, Limitation of Liability, Etc.</w:t>
            </w:r>
          </w:p>
        </w:tc>
        <w:tc>
          <w:tcPr>
            <w:tcW w:w="300" w:type="dxa"/>
            <w:vAlign w:val="bottom"/>
            <w:gridSpan w:val="4"/>
            <w:vMerge w:val="continue"/>
          </w:tcPr>
          <w:p>
            <w:pPr>
              <w:spacing w:after="0"/>
              <w:rPr>
                <w:sz w:val="24"/>
                <w:szCs w:val="24"/>
                <w:color w:val="auto"/>
              </w:rPr>
            </w:pPr>
          </w:p>
        </w:tc>
        <w:tc>
          <w:tcPr>
            <w:tcW w:w="320" w:type="dxa"/>
            <w:vAlign w:val="bottom"/>
            <w:tcBorders>
              <w:bottom w:val="single" w:sz="8" w:color="0000FF"/>
            </w:tcBorders>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680" w:type="dxa"/>
            <w:vAlign w:val="bottom"/>
          </w:tcPr>
          <w:p>
            <w:pPr>
              <w:ind w:left="160"/>
              <w:spacing w:after="0"/>
              <w:rPr>
                <w:sz w:val="20"/>
                <w:szCs w:val="20"/>
                <w:color w:val="auto"/>
              </w:rPr>
            </w:pPr>
            <w:r>
              <w:rPr>
                <w:rFonts w:ascii="Arial" w:cs="Arial" w:eastAsia="Arial" w:hAnsi="Arial"/>
                <w:sz w:val="21"/>
                <w:szCs w:val="21"/>
                <w:color w:val="auto"/>
                <w:w w:val="95"/>
              </w:rPr>
              <w:t>SECTION 10.03.</w:t>
            </w:r>
          </w:p>
        </w:tc>
        <w:tc>
          <w:tcPr>
            <w:tcW w:w="2500" w:type="dxa"/>
            <w:vAlign w:val="bottom"/>
            <w:gridSpan w:val="25"/>
          </w:tcPr>
          <w:p>
            <w:pPr>
              <w:ind w:left="140"/>
              <w:spacing w:after="0"/>
              <w:rPr>
                <w:sz w:val="20"/>
                <w:szCs w:val="20"/>
                <w:color w:val="auto"/>
              </w:rPr>
            </w:pPr>
            <w:r>
              <w:rPr>
                <w:rFonts w:ascii="Arial" w:cs="Arial" w:eastAsia="Arial" w:hAnsi="Arial"/>
                <w:sz w:val="21"/>
                <w:szCs w:val="21"/>
                <w:color w:val="auto"/>
                <w:w w:val="91"/>
              </w:rPr>
              <w:t>Posting of Communications</w:t>
            </w:r>
          </w:p>
        </w:tc>
        <w:tc>
          <w:tcPr>
            <w:tcW w:w="6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180" w:type="dxa"/>
            <w:vAlign w:val="bottom"/>
            <w:gridSpan w:val="2"/>
          </w:tcPr>
          <w:p>
            <w:pPr>
              <w:spacing w:after="0"/>
              <w:rPr>
                <w:sz w:val="24"/>
                <w:szCs w:val="24"/>
                <w:color w:val="auto"/>
              </w:rPr>
            </w:pPr>
          </w:p>
        </w:tc>
        <w:tc>
          <w:tcPr>
            <w:tcW w:w="240" w:type="dxa"/>
            <w:vAlign w:val="bottom"/>
            <w:gridSpan w:val="3"/>
          </w:tcPr>
          <w:p>
            <w:pPr>
              <w:spacing w:after="0"/>
              <w:rPr>
                <w:sz w:val="20"/>
                <w:szCs w:val="20"/>
                <w:color w:val="auto"/>
              </w:rPr>
            </w:pPr>
            <w:r>
              <w:rPr>
                <w:rFonts w:ascii="Arial" w:cs="Arial" w:eastAsia="Arial" w:hAnsi="Arial"/>
                <w:sz w:val="18"/>
                <w:szCs w:val="18"/>
                <w:b w:val="1"/>
                <w:bCs w:val="1"/>
                <w:color w:val="FF0000"/>
                <w:strike w:val="1"/>
                <w:w w:val="73"/>
              </w:rPr>
              <w:t>120</w:t>
            </w:r>
          </w:p>
        </w:tc>
        <w:tc>
          <w:tcPr>
            <w:tcW w:w="300" w:type="dxa"/>
            <w:vAlign w:val="bottom"/>
            <w:tcBorders>
              <w:bottom w:val="single" w:sz="8" w:color="0000FF"/>
            </w:tcBorders>
            <w:gridSpan w:val="4"/>
          </w:tcPr>
          <w:p>
            <w:pPr>
              <w:jc w:val="right"/>
              <w:spacing w:after="0"/>
              <w:rPr>
                <w:sz w:val="20"/>
                <w:szCs w:val="20"/>
                <w:color w:val="auto"/>
              </w:rPr>
            </w:pPr>
            <w:r>
              <w:rPr>
                <w:rFonts w:ascii="Arial" w:cs="Arial" w:eastAsia="Arial" w:hAnsi="Arial"/>
                <w:sz w:val="21"/>
                <w:szCs w:val="21"/>
                <w:b w:val="1"/>
                <w:bCs w:val="1"/>
                <w:color w:val="0000FF"/>
                <w:w w:val="79"/>
              </w:rPr>
              <w:t>121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gridSpan w:val="6"/>
            <w:vMerge w:val="restart"/>
          </w:tcPr>
          <w:p>
            <w:pPr>
              <w:jc w:val="right"/>
              <w:spacing w:after="0"/>
              <w:rPr>
                <w:sz w:val="20"/>
                <w:szCs w:val="20"/>
                <w:color w:val="auto"/>
              </w:rPr>
            </w:pPr>
            <w:r>
              <w:rPr>
                <w:rFonts w:ascii="Arial" w:cs="Arial" w:eastAsia="Arial" w:hAnsi="Arial"/>
                <w:sz w:val="21"/>
                <w:szCs w:val="21"/>
                <w:b w:val="1"/>
                <w:bCs w:val="1"/>
                <w:color w:val="FF0000"/>
                <w:strike w:val="1"/>
                <w:w w:val="79"/>
              </w:rPr>
              <w:t>121</w:t>
            </w:r>
          </w:p>
        </w:tc>
        <w:tc>
          <w:tcPr>
            <w:tcW w:w="440" w:type="dxa"/>
            <w:vAlign w:val="bottom"/>
            <w:gridSpan w:val="4"/>
            <w:vMerge w:val="restart"/>
          </w:tcPr>
          <w:p>
            <w:pPr>
              <w:jc w:val="right"/>
              <w:ind w:right="120"/>
              <w:spacing w:after="0"/>
              <w:rPr>
                <w:sz w:val="20"/>
                <w:szCs w:val="20"/>
                <w:color w:val="auto"/>
              </w:rPr>
            </w:pPr>
            <w:r>
              <w:rPr>
                <w:rFonts w:ascii="Arial" w:cs="Arial" w:eastAsia="Arial" w:hAnsi="Arial"/>
                <w:sz w:val="21"/>
                <w:szCs w:val="21"/>
                <w:b w:val="1"/>
                <w:bCs w:val="1"/>
                <w:color w:val="0000FF"/>
                <w:w w:val="85"/>
              </w:rPr>
              <w:t>122</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680" w:type="dxa"/>
            <w:vAlign w:val="bottom"/>
          </w:tcPr>
          <w:p>
            <w:pPr>
              <w:ind w:left="160"/>
              <w:spacing w:after="0"/>
              <w:rPr>
                <w:sz w:val="20"/>
                <w:szCs w:val="20"/>
                <w:color w:val="auto"/>
              </w:rPr>
            </w:pPr>
            <w:r>
              <w:rPr>
                <w:rFonts w:ascii="Arial" w:cs="Arial" w:eastAsia="Arial" w:hAnsi="Arial"/>
                <w:sz w:val="21"/>
                <w:szCs w:val="21"/>
                <w:color w:val="auto"/>
                <w:w w:val="95"/>
              </w:rPr>
              <w:t>SECTION 10.04.</w:t>
            </w:r>
          </w:p>
        </w:tc>
        <w:tc>
          <w:tcPr>
            <w:tcW w:w="3480" w:type="dxa"/>
            <w:vAlign w:val="bottom"/>
            <w:gridSpan w:val="39"/>
          </w:tcPr>
          <w:p>
            <w:pPr>
              <w:ind w:left="140"/>
              <w:spacing w:after="0"/>
              <w:rPr>
                <w:sz w:val="20"/>
                <w:szCs w:val="20"/>
                <w:color w:val="auto"/>
              </w:rPr>
            </w:pPr>
            <w:r>
              <w:rPr>
                <w:rFonts w:ascii="Arial" w:cs="Arial" w:eastAsia="Arial" w:hAnsi="Arial"/>
                <w:sz w:val="21"/>
                <w:szCs w:val="21"/>
                <w:color w:val="auto"/>
                <w:w w:val="96"/>
              </w:rPr>
              <w:t>The Administrative Agent Individually</w:t>
            </w:r>
          </w:p>
        </w:tc>
        <w:tc>
          <w:tcPr>
            <w:tcW w:w="160" w:type="dxa"/>
            <w:vAlign w:val="bottom"/>
            <w:gridSpan w:val="3"/>
          </w:tcPr>
          <w:p>
            <w:pPr>
              <w:spacing w:after="0"/>
              <w:rPr>
                <w:sz w:val="24"/>
                <w:szCs w:val="24"/>
                <w:color w:val="auto"/>
              </w:rPr>
            </w:pPr>
          </w:p>
        </w:tc>
        <w:tc>
          <w:tcPr>
            <w:tcW w:w="300" w:type="dxa"/>
            <w:vAlign w:val="bottom"/>
            <w:gridSpan w:val="6"/>
            <w:vMerge w:val="continue"/>
          </w:tcPr>
          <w:p>
            <w:pPr>
              <w:spacing w:after="0"/>
              <w:rPr>
                <w:sz w:val="24"/>
                <w:szCs w:val="24"/>
                <w:color w:val="auto"/>
              </w:rPr>
            </w:pPr>
          </w:p>
        </w:tc>
        <w:tc>
          <w:tcPr>
            <w:tcW w:w="440" w:type="dxa"/>
            <w:vAlign w:val="bottom"/>
            <w:gridSpan w:val="4"/>
            <w:vMerge w:val="continue"/>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680" w:type="dxa"/>
            <w:vAlign w:val="bottom"/>
          </w:tcPr>
          <w:p>
            <w:pPr>
              <w:ind w:left="160"/>
              <w:spacing w:after="0"/>
              <w:rPr>
                <w:sz w:val="20"/>
                <w:szCs w:val="20"/>
                <w:color w:val="auto"/>
              </w:rPr>
            </w:pPr>
            <w:r>
              <w:rPr>
                <w:rFonts w:ascii="Arial" w:cs="Arial" w:eastAsia="Arial" w:hAnsi="Arial"/>
                <w:sz w:val="21"/>
                <w:szCs w:val="21"/>
                <w:color w:val="auto"/>
                <w:w w:val="95"/>
              </w:rPr>
              <w:t>SECTION 10.05.</w:t>
            </w:r>
          </w:p>
        </w:tc>
        <w:tc>
          <w:tcPr>
            <w:tcW w:w="3080" w:type="dxa"/>
            <w:vAlign w:val="bottom"/>
            <w:gridSpan w:val="34"/>
          </w:tcPr>
          <w:p>
            <w:pPr>
              <w:ind w:left="140"/>
              <w:spacing w:after="0"/>
              <w:rPr>
                <w:sz w:val="20"/>
                <w:szCs w:val="20"/>
                <w:color w:val="auto"/>
              </w:rPr>
            </w:pPr>
            <w:r>
              <w:rPr>
                <w:rFonts w:ascii="Arial" w:cs="Arial" w:eastAsia="Arial" w:hAnsi="Arial"/>
                <w:sz w:val="21"/>
                <w:szCs w:val="21"/>
                <w:color w:val="auto"/>
                <w:w w:val="98"/>
              </w:rPr>
              <w:t>Successor Administrative Agent</w:t>
            </w:r>
          </w:p>
        </w:tc>
        <w:tc>
          <w:tcPr>
            <w:tcW w:w="300" w:type="dxa"/>
            <w:vAlign w:val="bottom"/>
            <w:gridSpan w:val="4"/>
          </w:tcPr>
          <w:p>
            <w:pPr>
              <w:jc w:val="right"/>
              <w:spacing w:after="0"/>
              <w:rPr>
                <w:sz w:val="20"/>
                <w:szCs w:val="20"/>
                <w:color w:val="auto"/>
              </w:rPr>
            </w:pPr>
            <w:r>
              <w:rPr>
                <w:rFonts w:ascii="Arial" w:cs="Arial" w:eastAsia="Arial" w:hAnsi="Arial"/>
                <w:sz w:val="21"/>
                <w:szCs w:val="21"/>
                <w:b w:val="1"/>
                <w:bCs w:val="1"/>
                <w:color w:val="FF0000"/>
                <w:strike w:val="1"/>
                <w:w w:val="79"/>
              </w:rPr>
              <w:t>121</w:t>
            </w:r>
          </w:p>
        </w:tc>
        <w:tc>
          <w:tcPr>
            <w:tcW w:w="320" w:type="dxa"/>
            <w:vAlign w:val="bottom"/>
            <w:tcBorders>
              <w:bottom w:val="single" w:sz="8" w:color="0000FF"/>
            </w:tcBorders>
            <w:gridSpan w:val="5"/>
          </w:tcPr>
          <w:p>
            <w:pPr>
              <w:jc w:val="right"/>
              <w:spacing w:after="0"/>
              <w:rPr>
                <w:sz w:val="20"/>
                <w:szCs w:val="20"/>
                <w:color w:val="auto"/>
              </w:rPr>
            </w:pPr>
            <w:r>
              <w:rPr>
                <w:rFonts w:ascii="Arial" w:cs="Arial" w:eastAsia="Arial" w:hAnsi="Arial"/>
                <w:sz w:val="21"/>
                <w:szCs w:val="21"/>
                <w:b w:val="1"/>
                <w:bCs w:val="1"/>
                <w:color w:val="0000FF"/>
                <w:w w:val="85"/>
              </w:rPr>
              <w:t>123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vMerge w:val="restart"/>
          </w:tcPr>
          <w:p>
            <w:pPr>
              <w:jc w:val="right"/>
              <w:spacing w:after="0"/>
              <w:rPr>
                <w:sz w:val="20"/>
                <w:szCs w:val="20"/>
                <w:color w:val="auto"/>
              </w:rPr>
            </w:pPr>
            <w:r>
              <w:rPr>
                <w:rFonts w:ascii="Arial" w:cs="Arial" w:eastAsia="Arial" w:hAnsi="Arial"/>
                <w:sz w:val="21"/>
                <w:szCs w:val="21"/>
                <w:b w:val="1"/>
                <w:bCs w:val="1"/>
                <w:color w:val="FF0000"/>
                <w:strike w:val="1"/>
                <w:w w:val="85"/>
              </w:rPr>
              <w:t>122</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21"/>
                <w:szCs w:val="21"/>
                <w:b w:val="1"/>
                <w:bCs w:val="1"/>
                <w:color w:val="0000FF"/>
                <w:w w:val="85"/>
              </w:rPr>
              <w:t>124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680" w:type="dxa"/>
            <w:vAlign w:val="bottom"/>
          </w:tcPr>
          <w:p>
            <w:pPr>
              <w:ind w:left="160"/>
              <w:spacing w:after="0"/>
              <w:rPr>
                <w:sz w:val="20"/>
                <w:szCs w:val="20"/>
                <w:color w:val="auto"/>
              </w:rPr>
            </w:pPr>
            <w:r>
              <w:rPr>
                <w:rFonts w:ascii="Arial" w:cs="Arial" w:eastAsia="Arial" w:hAnsi="Arial"/>
                <w:sz w:val="21"/>
                <w:szCs w:val="21"/>
                <w:color w:val="auto"/>
                <w:w w:val="95"/>
              </w:rPr>
              <w:t>SECTION 10.06.</w:t>
            </w:r>
          </w:p>
        </w:tc>
        <w:tc>
          <w:tcPr>
            <w:tcW w:w="4380" w:type="dxa"/>
            <w:vAlign w:val="bottom"/>
            <w:gridSpan w:val="52"/>
          </w:tcPr>
          <w:p>
            <w:pPr>
              <w:ind w:left="140"/>
              <w:spacing w:after="0"/>
              <w:rPr>
                <w:sz w:val="20"/>
                <w:szCs w:val="20"/>
                <w:color w:val="auto"/>
              </w:rPr>
            </w:pPr>
            <w:r>
              <w:rPr>
                <w:rFonts w:ascii="Arial" w:cs="Arial" w:eastAsia="Arial" w:hAnsi="Arial"/>
                <w:sz w:val="21"/>
                <w:szCs w:val="21"/>
                <w:color w:val="auto"/>
                <w:w w:val="95"/>
              </w:rPr>
              <w:t>Acknowledgements of Lenders and L/C Issuers</w:t>
            </w:r>
          </w:p>
        </w:tc>
        <w:tc>
          <w:tcPr>
            <w:tcW w:w="320" w:type="dxa"/>
            <w:vAlign w:val="bottom"/>
            <w:vMerge w:val="continue"/>
          </w:tcPr>
          <w:p>
            <w:pPr>
              <w:spacing w:after="0"/>
              <w:rPr>
                <w:sz w:val="24"/>
                <w:szCs w:val="24"/>
                <w:color w:val="auto"/>
              </w:rPr>
            </w:pPr>
          </w:p>
        </w:tc>
        <w:tc>
          <w:tcPr>
            <w:tcW w:w="3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680" w:type="dxa"/>
            <w:vAlign w:val="bottom"/>
          </w:tcPr>
          <w:p>
            <w:pPr>
              <w:ind w:left="160"/>
              <w:spacing w:after="0"/>
              <w:rPr>
                <w:sz w:val="20"/>
                <w:szCs w:val="20"/>
                <w:color w:val="auto"/>
              </w:rPr>
            </w:pPr>
            <w:r>
              <w:rPr>
                <w:rFonts w:ascii="Arial" w:cs="Arial" w:eastAsia="Arial" w:hAnsi="Arial"/>
                <w:sz w:val="21"/>
                <w:szCs w:val="21"/>
                <w:color w:val="auto"/>
                <w:w w:val="95"/>
              </w:rPr>
              <w:t>SECTION 10.07.</w:t>
            </w:r>
          </w:p>
        </w:tc>
        <w:tc>
          <w:tcPr>
            <w:tcW w:w="2140" w:type="dxa"/>
            <w:vAlign w:val="bottom"/>
            <w:gridSpan w:val="14"/>
          </w:tcPr>
          <w:p>
            <w:pPr>
              <w:ind w:left="140"/>
              <w:spacing w:after="0"/>
              <w:rPr>
                <w:sz w:val="20"/>
                <w:szCs w:val="20"/>
                <w:color w:val="auto"/>
              </w:rPr>
            </w:pPr>
            <w:r>
              <w:rPr>
                <w:rFonts w:ascii="Arial" w:cs="Arial" w:eastAsia="Arial" w:hAnsi="Arial"/>
                <w:sz w:val="21"/>
                <w:szCs w:val="21"/>
                <w:color w:val="auto"/>
                <w:w w:val="93"/>
              </w:rPr>
              <w:t>Certain ERISA Matters</w:t>
            </w:r>
          </w:p>
        </w:tc>
        <w:tc>
          <w:tcPr>
            <w:tcW w:w="40" w:type="dxa"/>
            <w:vAlign w:val="bottom"/>
            <w:gridSpan w:val="2"/>
          </w:tcPr>
          <w:p>
            <w:pPr>
              <w:spacing w:after="0"/>
              <w:rPr>
                <w:sz w:val="24"/>
                <w:szCs w:val="24"/>
                <w:color w:val="auto"/>
              </w:rPr>
            </w:pPr>
          </w:p>
        </w:tc>
        <w:tc>
          <w:tcPr>
            <w:tcW w:w="6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gridSpan w:val="9"/>
          </w:tcPr>
          <w:p>
            <w:pPr>
              <w:jc w:val="right"/>
              <w:spacing w:after="0"/>
              <w:rPr>
                <w:sz w:val="20"/>
                <w:szCs w:val="20"/>
                <w:color w:val="auto"/>
              </w:rPr>
            </w:pPr>
            <w:r>
              <w:rPr>
                <w:rFonts w:ascii="Arial" w:cs="Arial" w:eastAsia="Arial" w:hAnsi="Arial"/>
                <w:sz w:val="21"/>
                <w:szCs w:val="21"/>
                <w:b w:val="1"/>
                <w:bCs w:val="1"/>
                <w:color w:val="FF0000"/>
                <w:strike w:val="1"/>
                <w:w w:val="91"/>
              </w:rPr>
              <w:t>124</w:t>
            </w:r>
          </w:p>
        </w:tc>
        <w:tc>
          <w:tcPr>
            <w:tcW w:w="340" w:type="dxa"/>
            <w:vAlign w:val="bottom"/>
            <w:gridSpan w:val="3"/>
          </w:tcPr>
          <w:p>
            <w:pPr>
              <w:jc w:val="right"/>
              <w:spacing w:after="0"/>
              <w:rPr>
                <w:sz w:val="20"/>
                <w:szCs w:val="20"/>
                <w:color w:val="auto"/>
              </w:rPr>
            </w:pPr>
            <w:r>
              <w:rPr>
                <w:rFonts w:ascii="Arial" w:cs="Arial" w:eastAsia="Arial" w:hAnsi="Arial"/>
                <w:sz w:val="21"/>
                <w:szCs w:val="21"/>
                <w:b w:val="1"/>
                <w:bCs w:val="1"/>
                <w:color w:val="0000FF"/>
                <w:w w:val="85"/>
              </w:rPr>
              <w:t>126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680" w:type="dxa"/>
            <w:vAlign w:val="bottom"/>
          </w:tcPr>
          <w:p>
            <w:pPr>
              <w:ind w:left="160"/>
              <w:spacing w:after="0"/>
              <w:rPr>
                <w:sz w:val="20"/>
                <w:szCs w:val="20"/>
                <w:color w:val="auto"/>
              </w:rPr>
            </w:pPr>
            <w:r>
              <w:rPr>
                <w:rFonts w:ascii="Arial" w:cs="Arial" w:eastAsia="Arial" w:hAnsi="Arial"/>
                <w:sz w:val="21"/>
                <w:szCs w:val="21"/>
                <w:color w:val="auto"/>
                <w:w w:val="95"/>
              </w:rPr>
              <w:t>SECTION 10.08.</w:t>
            </w:r>
          </w:p>
        </w:tc>
        <w:tc>
          <w:tcPr>
            <w:tcW w:w="1860" w:type="dxa"/>
            <w:vAlign w:val="bottom"/>
            <w:gridSpan w:val="10"/>
          </w:tcPr>
          <w:p>
            <w:pPr>
              <w:ind w:left="140"/>
              <w:spacing w:after="0"/>
              <w:rPr>
                <w:sz w:val="20"/>
                <w:szCs w:val="20"/>
                <w:color w:val="auto"/>
              </w:rPr>
            </w:pPr>
            <w:r>
              <w:rPr>
                <w:rFonts w:ascii="Arial" w:cs="Arial" w:eastAsia="Arial" w:hAnsi="Arial"/>
                <w:sz w:val="21"/>
                <w:szCs w:val="21"/>
                <w:color w:val="auto"/>
                <w:w w:val="97"/>
              </w:rPr>
              <w:t>Guarantee Matters</w:t>
            </w:r>
          </w:p>
        </w:tc>
        <w:tc>
          <w:tcPr>
            <w:tcW w:w="60" w:type="dxa"/>
            <w:vAlign w:val="bottom"/>
          </w:tcPr>
          <w:p>
            <w:pPr>
              <w:spacing w:after="0"/>
              <w:rPr>
                <w:sz w:val="24"/>
                <w:szCs w:val="24"/>
                <w:color w:val="auto"/>
              </w:rPr>
            </w:pPr>
          </w:p>
        </w:tc>
        <w:tc>
          <w:tcPr>
            <w:tcW w:w="320" w:type="dxa"/>
            <w:vAlign w:val="bottom"/>
            <w:gridSpan w:val="7"/>
          </w:tcPr>
          <w:p>
            <w:pPr>
              <w:spacing w:after="0"/>
              <w:rPr>
                <w:sz w:val="20"/>
                <w:szCs w:val="20"/>
                <w:color w:val="auto"/>
              </w:rPr>
            </w:pPr>
            <w:r>
              <w:rPr>
                <w:rFonts w:ascii="Arial" w:cs="Arial" w:eastAsia="Arial" w:hAnsi="Arial"/>
                <w:sz w:val="21"/>
                <w:szCs w:val="21"/>
                <w:b w:val="1"/>
                <w:bCs w:val="1"/>
                <w:color w:val="FF0000"/>
                <w:strike w:val="1"/>
                <w:w w:val="85"/>
              </w:rPr>
              <w:t>126</w:t>
            </w:r>
          </w:p>
        </w:tc>
        <w:tc>
          <w:tcPr>
            <w:tcW w:w="380" w:type="dxa"/>
            <w:vAlign w:val="bottom"/>
            <w:gridSpan w:val="9"/>
          </w:tcPr>
          <w:p>
            <w:pPr>
              <w:jc w:val="right"/>
              <w:ind w:right="60"/>
              <w:spacing w:after="0"/>
              <w:rPr>
                <w:sz w:val="20"/>
                <w:szCs w:val="20"/>
                <w:color w:val="auto"/>
              </w:rPr>
            </w:pPr>
            <w:r>
              <w:rPr>
                <w:rFonts w:ascii="Arial" w:cs="Arial" w:eastAsia="Arial" w:hAnsi="Arial"/>
                <w:sz w:val="21"/>
                <w:szCs w:val="21"/>
                <w:b w:val="1"/>
                <w:bCs w:val="1"/>
                <w:color w:val="0000FF"/>
                <w:w w:val="85"/>
              </w:rPr>
              <w:t>127</w:t>
            </w:r>
          </w:p>
        </w:tc>
        <w:tc>
          <w:tcPr>
            <w:tcW w:w="2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3140" w:type="dxa"/>
            <w:vAlign w:val="bottom"/>
            <w:gridSpan w:val="5"/>
          </w:tcPr>
          <w:p>
            <w:pPr>
              <w:spacing w:after="0"/>
              <w:rPr>
                <w:sz w:val="20"/>
                <w:szCs w:val="20"/>
                <w:color w:val="auto"/>
              </w:rPr>
            </w:pPr>
            <w:r>
              <w:rPr>
                <w:rFonts w:ascii="Arial" w:cs="Arial" w:eastAsia="Arial" w:hAnsi="Arial"/>
                <w:sz w:val="21"/>
                <w:szCs w:val="21"/>
                <w:color w:val="auto"/>
              </w:rPr>
              <w:t>ARTICLE XI MISCELLANEOUS</w:t>
            </w:r>
          </w:p>
        </w:tc>
        <w:tc>
          <w:tcPr>
            <w:tcW w:w="360" w:type="dxa"/>
            <w:vAlign w:val="bottom"/>
            <w:gridSpan w:val="5"/>
          </w:tcPr>
          <w:p>
            <w:pPr>
              <w:jc w:val="right"/>
              <w:spacing w:after="0"/>
              <w:rPr>
                <w:sz w:val="20"/>
                <w:szCs w:val="20"/>
                <w:color w:val="auto"/>
              </w:rPr>
            </w:pPr>
            <w:r>
              <w:rPr>
                <w:rFonts w:ascii="Arial" w:cs="Arial" w:eastAsia="Arial" w:hAnsi="Arial"/>
                <w:sz w:val="21"/>
                <w:szCs w:val="21"/>
                <w:b w:val="1"/>
                <w:bCs w:val="1"/>
                <w:color w:val="FF0000"/>
                <w:strike w:val="1"/>
                <w:w w:val="96"/>
              </w:rPr>
              <w:t>126</w:t>
            </w:r>
          </w:p>
        </w:tc>
        <w:tc>
          <w:tcPr>
            <w:tcW w:w="320" w:type="dxa"/>
            <w:vAlign w:val="bottom"/>
            <w:tcBorders>
              <w:bottom w:val="single" w:sz="8" w:color="0000FF"/>
            </w:tcBorders>
            <w:gridSpan w:val="5"/>
          </w:tcPr>
          <w:p>
            <w:pPr>
              <w:jc w:val="right"/>
              <w:spacing w:after="0"/>
              <w:rPr>
                <w:sz w:val="20"/>
                <w:szCs w:val="20"/>
                <w:color w:val="auto"/>
              </w:rPr>
            </w:pPr>
            <w:r>
              <w:rPr>
                <w:rFonts w:ascii="Arial" w:cs="Arial" w:eastAsia="Arial" w:hAnsi="Arial"/>
                <w:sz w:val="21"/>
                <w:szCs w:val="21"/>
                <w:b w:val="1"/>
                <w:bCs w:val="1"/>
                <w:color w:val="0000FF"/>
                <w:w w:val="85"/>
              </w:rPr>
              <w:t>128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680" w:type="dxa"/>
            <w:vAlign w:val="bottom"/>
          </w:tcPr>
          <w:p>
            <w:pPr>
              <w:ind w:left="160"/>
              <w:spacing w:after="0"/>
              <w:rPr>
                <w:sz w:val="20"/>
                <w:szCs w:val="20"/>
                <w:color w:val="auto"/>
              </w:rPr>
            </w:pPr>
            <w:r>
              <w:rPr>
                <w:rFonts w:ascii="Arial" w:cs="Arial" w:eastAsia="Arial" w:hAnsi="Arial"/>
                <w:sz w:val="21"/>
                <w:szCs w:val="21"/>
                <w:color w:val="auto"/>
                <w:w w:val="95"/>
              </w:rPr>
              <w:t>SECTION 11.01.</w:t>
            </w:r>
          </w:p>
        </w:tc>
        <w:tc>
          <w:tcPr>
            <w:tcW w:w="1860" w:type="dxa"/>
            <w:vAlign w:val="bottom"/>
            <w:gridSpan w:val="10"/>
          </w:tcPr>
          <w:p>
            <w:pPr>
              <w:ind w:left="140"/>
              <w:spacing w:after="0"/>
              <w:rPr>
                <w:sz w:val="20"/>
                <w:szCs w:val="20"/>
                <w:color w:val="auto"/>
              </w:rPr>
            </w:pPr>
            <w:r>
              <w:rPr>
                <w:rFonts w:ascii="Arial" w:cs="Arial" w:eastAsia="Arial" w:hAnsi="Arial"/>
                <w:sz w:val="21"/>
                <w:szCs w:val="21"/>
                <w:color w:val="auto"/>
              </w:rPr>
              <w:t>Amendments, Etc</w:t>
            </w:r>
          </w:p>
        </w:tc>
        <w:tc>
          <w:tcPr>
            <w:tcW w:w="320" w:type="dxa"/>
            <w:vAlign w:val="bottom"/>
            <w:gridSpan w:val="6"/>
          </w:tcPr>
          <w:p>
            <w:pPr>
              <w:spacing w:after="0"/>
              <w:rPr>
                <w:sz w:val="20"/>
                <w:szCs w:val="20"/>
                <w:color w:val="auto"/>
              </w:rPr>
            </w:pPr>
            <w:r>
              <w:rPr>
                <w:rFonts w:ascii="Arial" w:cs="Arial" w:eastAsia="Arial" w:hAnsi="Arial"/>
                <w:sz w:val="21"/>
                <w:szCs w:val="21"/>
                <w:b w:val="1"/>
                <w:bCs w:val="1"/>
                <w:color w:val="FF0000"/>
                <w:strike w:val="1"/>
                <w:w w:val="85"/>
              </w:rPr>
              <w:t>126</w:t>
            </w:r>
          </w:p>
        </w:tc>
        <w:tc>
          <w:tcPr>
            <w:tcW w:w="320" w:type="dxa"/>
            <w:vAlign w:val="bottom"/>
            <w:tcBorders>
              <w:bottom w:val="single" w:sz="8" w:color="0000FF"/>
            </w:tcBorders>
            <w:gridSpan w:val="9"/>
          </w:tcPr>
          <w:p>
            <w:pPr>
              <w:spacing w:after="0"/>
              <w:rPr>
                <w:sz w:val="20"/>
                <w:szCs w:val="20"/>
                <w:color w:val="auto"/>
              </w:rPr>
            </w:pPr>
            <w:r>
              <w:rPr>
                <w:rFonts w:ascii="Arial" w:cs="Arial" w:eastAsia="Arial" w:hAnsi="Arial"/>
                <w:sz w:val="21"/>
                <w:szCs w:val="21"/>
                <w:b w:val="1"/>
                <w:bCs w:val="1"/>
                <w:color w:val="0000FF"/>
                <w:w w:val="85"/>
              </w:rPr>
              <w:t>128</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580"/>
        <w:spacing w:after="0"/>
        <w:rPr>
          <w:sz w:val="20"/>
          <w:szCs w:val="20"/>
          <w:color w:val="auto"/>
        </w:rPr>
      </w:pPr>
      <w:r>
        <w:rPr>
          <w:rFonts w:ascii="Arial" w:cs="Arial" w:eastAsia="Arial" w:hAnsi="Arial"/>
          <w:sz w:val="21"/>
          <w:szCs w:val="21"/>
          <w:color w:val="auto"/>
        </w:rPr>
        <w:t>v</w:t>
      </w:r>
    </w:p>
    <w:p>
      <w:pPr>
        <w:sectPr>
          <w:pgSz w:w="11900" w:h="16838" w:orient="portrait"/>
          <w:cols w:equalWidth="0" w:num="1">
            <w:col w:w="10139"/>
          </w:cols>
          <w:pgMar w:left="320" w:top="1440" w:right="1440" w:bottom="1440" w:gutter="0" w:footer="0" w:header="0"/>
        </w:sectPr>
      </w:pPr>
    </w:p>
    <w:bookmarkStart w:id="137" w:name="page138"/>
    <w:bookmarkEnd w:id="13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39"/>
        </w:trPr>
        <w:tc>
          <w:tcPr>
            <w:tcW w:w="1560" w:type="dxa"/>
            <w:vAlign w:val="bottom"/>
            <w:vMerge w:val="restart"/>
          </w:tcPr>
          <w:p>
            <w:pPr>
              <w:spacing w:after="0"/>
              <w:rPr>
                <w:sz w:val="20"/>
                <w:szCs w:val="20"/>
                <w:color w:val="auto"/>
              </w:rPr>
            </w:pPr>
            <w:r>
              <w:rPr>
                <w:rFonts w:ascii="Arial" w:cs="Arial" w:eastAsia="Arial" w:hAnsi="Arial"/>
                <w:sz w:val="21"/>
                <w:szCs w:val="21"/>
                <w:color w:val="auto"/>
                <w:w w:val="97"/>
              </w:rPr>
              <w:t>SECTION 11.02.</w:t>
            </w:r>
          </w:p>
        </w:tc>
        <w:tc>
          <w:tcPr>
            <w:tcW w:w="4530" w:type="dxa"/>
            <w:vAlign w:val="bottom"/>
            <w:gridSpan w:val="28"/>
            <w:vMerge w:val="restart"/>
          </w:tcPr>
          <w:p>
            <w:pPr>
              <w:ind w:left="100"/>
              <w:spacing w:after="0"/>
              <w:rPr>
                <w:sz w:val="20"/>
                <w:szCs w:val="20"/>
                <w:color w:val="auto"/>
              </w:rPr>
            </w:pPr>
            <w:r>
              <w:rPr>
                <w:rFonts w:ascii="Arial" w:cs="Arial" w:eastAsia="Arial" w:hAnsi="Arial"/>
                <w:sz w:val="21"/>
                <w:szCs w:val="21"/>
                <w:color w:val="auto"/>
                <w:w w:val="95"/>
              </w:rPr>
              <w:t>Notices; Effectiveness; Electronic Communication</w:t>
            </w:r>
          </w:p>
        </w:tc>
        <w:tc>
          <w:tcPr>
            <w:tcW w:w="390" w:type="dxa"/>
            <w:vAlign w:val="bottom"/>
            <w:gridSpan w:val="4"/>
            <w:vMerge w:val="restart"/>
          </w:tcPr>
          <w:p>
            <w:pPr>
              <w:jc w:val="right"/>
              <w:spacing w:after="0"/>
              <w:rPr>
                <w:sz w:val="20"/>
                <w:szCs w:val="20"/>
                <w:color w:val="auto"/>
              </w:rPr>
            </w:pPr>
            <w:r>
              <w:rPr>
                <w:rFonts w:ascii="Arial" w:cs="Arial" w:eastAsia="Arial" w:hAnsi="Arial"/>
                <w:sz w:val="21"/>
                <w:szCs w:val="21"/>
                <w:b w:val="1"/>
                <w:bCs w:val="1"/>
                <w:color w:val="FF0000"/>
                <w:strike w:val="1"/>
              </w:rPr>
              <w:t>129</w:t>
            </w:r>
          </w:p>
        </w:tc>
        <w:tc>
          <w:tcPr>
            <w:tcW w:w="320" w:type="dxa"/>
            <w:vAlign w:val="bottom"/>
            <w:gridSpan w:val="4"/>
            <w:vMerge w:val="restart"/>
          </w:tcPr>
          <w:p>
            <w:pPr>
              <w:jc w:val="right"/>
              <w:spacing w:after="0"/>
              <w:rPr>
                <w:sz w:val="20"/>
                <w:szCs w:val="20"/>
                <w:color w:val="auto"/>
              </w:rPr>
            </w:pPr>
            <w:r>
              <w:rPr>
                <w:rFonts w:ascii="Arial" w:cs="Arial" w:eastAsia="Arial" w:hAnsi="Arial"/>
                <w:sz w:val="21"/>
                <w:szCs w:val="21"/>
                <w:b w:val="1"/>
                <w:bCs w:val="1"/>
                <w:color w:val="0000FF"/>
                <w:w w:val="85"/>
              </w:rPr>
              <w:t>130</w:t>
            </w:r>
          </w:p>
        </w:tc>
        <w:tc>
          <w:tcPr>
            <w:tcW w:w="120" w:type="dxa"/>
            <w:vAlign w:val="bottom"/>
            <w:vMerge w:val="restart"/>
          </w:tcPr>
          <w:p>
            <w:pPr>
              <w:spacing w:after="0"/>
              <w:rPr>
                <w:sz w:val="3"/>
                <w:szCs w:val="3"/>
                <w:color w:val="auto"/>
              </w:rPr>
            </w:pPr>
          </w:p>
        </w:tc>
        <w:tc>
          <w:tcPr>
            <w:tcW w:w="220" w:type="dxa"/>
            <w:vAlign w:val="bottom"/>
            <w:vMerge w:val="restart"/>
          </w:tcPr>
          <w:p>
            <w:pPr>
              <w:spacing w:after="0"/>
              <w:rPr>
                <w:sz w:val="3"/>
                <w:szCs w:val="3"/>
                <w:color w:val="auto"/>
              </w:rPr>
            </w:pPr>
          </w:p>
        </w:tc>
        <w:tc>
          <w:tcPr>
            <w:tcW w:w="320" w:type="dxa"/>
            <w:vAlign w:val="bottom"/>
            <w:vMerge w:val="restart"/>
          </w:tcPr>
          <w:p>
            <w:pPr>
              <w:spacing w:after="0"/>
              <w:rPr>
                <w:sz w:val="3"/>
                <w:szCs w:val="3"/>
                <w:color w:val="auto"/>
              </w:rPr>
            </w:pPr>
          </w:p>
        </w:tc>
        <w:tc>
          <w:tcPr>
            <w:tcW w:w="320" w:type="dxa"/>
            <w:vAlign w:val="bottom"/>
            <w:vMerge w:val="restart"/>
          </w:tcPr>
          <w:p>
            <w:pPr>
              <w:spacing w:after="0"/>
              <w:rPr>
                <w:sz w:val="3"/>
                <w:szCs w:val="3"/>
                <w:color w:val="auto"/>
              </w:rPr>
            </w:pPr>
          </w:p>
        </w:tc>
        <w:tc>
          <w:tcPr>
            <w:tcW w:w="540" w:type="dxa"/>
            <w:vAlign w:val="bottom"/>
            <w:vMerge w:val="restart"/>
          </w:tcPr>
          <w:p>
            <w:pPr>
              <w:spacing w:after="0"/>
              <w:rPr>
                <w:sz w:val="3"/>
                <w:szCs w:val="3"/>
                <w:color w:val="auto"/>
              </w:rPr>
            </w:pPr>
          </w:p>
        </w:tc>
        <w:tc>
          <w:tcPr>
            <w:tcW w:w="320" w:type="dxa"/>
            <w:vAlign w:val="bottom"/>
            <w:vMerge w:val="restart"/>
          </w:tcPr>
          <w:p>
            <w:pPr>
              <w:spacing w:after="0"/>
              <w:rPr>
                <w:sz w:val="3"/>
                <w:szCs w:val="3"/>
                <w:color w:val="auto"/>
              </w:rPr>
            </w:pPr>
          </w:p>
        </w:tc>
        <w:tc>
          <w:tcPr>
            <w:tcW w:w="30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1560" w:type="dxa"/>
            <w:vAlign w:val="bottom"/>
            <w:vMerge w:val="continue"/>
          </w:tcPr>
          <w:p>
            <w:pPr>
              <w:spacing w:after="0"/>
              <w:rPr>
                <w:sz w:val="17"/>
                <w:szCs w:val="17"/>
                <w:color w:val="auto"/>
              </w:rPr>
            </w:pPr>
          </w:p>
        </w:tc>
        <w:tc>
          <w:tcPr>
            <w:tcW w:w="4530" w:type="dxa"/>
            <w:vAlign w:val="bottom"/>
            <w:gridSpan w:val="28"/>
            <w:vMerge w:val="continue"/>
          </w:tcPr>
          <w:p>
            <w:pPr>
              <w:spacing w:after="0"/>
              <w:rPr>
                <w:sz w:val="17"/>
                <w:szCs w:val="17"/>
                <w:color w:val="auto"/>
              </w:rPr>
            </w:pPr>
          </w:p>
        </w:tc>
        <w:tc>
          <w:tcPr>
            <w:tcW w:w="390" w:type="dxa"/>
            <w:vAlign w:val="bottom"/>
            <w:gridSpan w:val="4"/>
            <w:vMerge w:val="continue"/>
          </w:tcPr>
          <w:p>
            <w:pPr>
              <w:spacing w:after="0"/>
              <w:rPr>
                <w:sz w:val="17"/>
                <w:szCs w:val="17"/>
                <w:color w:val="auto"/>
              </w:rPr>
            </w:pPr>
          </w:p>
        </w:tc>
        <w:tc>
          <w:tcPr>
            <w:tcW w:w="320" w:type="dxa"/>
            <w:vAlign w:val="bottom"/>
            <w:tcBorders>
              <w:bottom w:val="single" w:sz="8" w:color="0000FF"/>
            </w:tcBorders>
            <w:gridSpan w:val="4"/>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8"/>
        </w:trPr>
        <w:tc>
          <w:tcPr>
            <w:tcW w:w="1560" w:type="dxa"/>
            <w:vAlign w:val="bottom"/>
          </w:tcPr>
          <w:p>
            <w:pPr>
              <w:spacing w:after="0"/>
              <w:rPr>
                <w:sz w:val="20"/>
                <w:szCs w:val="20"/>
                <w:color w:val="auto"/>
              </w:rPr>
            </w:pPr>
            <w:r>
              <w:rPr>
                <w:rFonts w:ascii="Arial" w:cs="Arial" w:eastAsia="Arial" w:hAnsi="Arial"/>
                <w:sz w:val="21"/>
                <w:szCs w:val="21"/>
                <w:color w:val="auto"/>
                <w:w w:val="97"/>
              </w:rPr>
              <w:t>SECTION 11.03.</w:t>
            </w:r>
          </w:p>
        </w:tc>
        <w:tc>
          <w:tcPr>
            <w:tcW w:w="4420" w:type="dxa"/>
            <w:vAlign w:val="bottom"/>
            <w:gridSpan w:val="27"/>
          </w:tcPr>
          <w:p>
            <w:pPr>
              <w:ind w:left="100"/>
              <w:spacing w:after="0"/>
              <w:rPr>
                <w:sz w:val="20"/>
                <w:szCs w:val="20"/>
                <w:color w:val="auto"/>
              </w:rPr>
            </w:pPr>
            <w:r>
              <w:rPr>
                <w:rFonts w:ascii="Arial" w:cs="Arial" w:eastAsia="Arial" w:hAnsi="Arial"/>
                <w:sz w:val="21"/>
                <w:szCs w:val="21"/>
                <w:color w:val="auto"/>
                <w:w w:val="96"/>
              </w:rPr>
              <w:t>No Waiver; Cumulative Remedies; Enforcement</w:t>
            </w:r>
          </w:p>
        </w:tc>
        <w:tc>
          <w:tcPr>
            <w:tcW w:w="320" w:type="dxa"/>
            <w:vAlign w:val="bottom"/>
            <w:gridSpan w:val="3"/>
          </w:tcPr>
          <w:p>
            <w:pPr>
              <w:jc w:val="right"/>
              <w:spacing w:after="0"/>
              <w:rPr>
                <w:sz w:val="20"/>
                <w:szCs w:val="20"/>
                <w:color w:val="auto"/>
              </w:rPr>
            </w:pPr>
            <w:r>
              <w:rPr>
                <w:rFonts w:ascii="Arial" w:cs="Arial" w:eastAsia="Arial" w:hAnsi="Arial"/>
                <w:sz w:val="21"/>
                <w:szCs w:val="21"/>
                <w:b w:val="1"/>
                <w:bCs w:val="1"/>
                <w:color w:val="FF0000"/>
                <w:strike w:val="1"/>
                <w:w w:val="85"/>
              </w:rPr>
              <w:t>130</w:t>
            </w:r>
          </w:p>
        </w:tc>
        <w:tc>
          <w:tcPr>
            <w:tcW w:w="420" w:type="dxa"/>
            <w:vAlign w:val="bottom"/>
            <w:gridSpan w:val="5"/>
          </w:tcPr>
          <w:p>
            <w:pPr>
              <w:jc w:val="right"/>
              <w:ind w:right="100"/>
              <w:spacing w:after="0"/>
              <w:rPr>
                <w:sz w:val="20"/>
                <w:szCs w:val="20"/>
                <w:color w:val="auto"/>
              </w:rPr>
            </w:pPr>
            <w:r>
              <w:rPr>
                <w:rFonts w:ascii="Arial" w:cs="Arial" w:eastAsia="Arial" w:hAnsi="Arial"/>
                <w:sz w:val="21"/>
                <w:szCs w:val="21"/>
                <w:b w:val="1"/>
                <w:bCs w:val="1"/>
                <w:color w:val="0000FF"/>
                <w:w w:val="85"/>
              </w:rPr>
              <w:t>131</w:t>
            </w:r>
          </w:p>
        </w:tc>
        <w:tc>
          <w:tcPr>
            <w:tcW w:w="20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560" w:type="dxa"/>
            <w:vAlign w:val="bottom"/>
          </w:tcPr>
          <w:p>
            <w:pPr>
              <w:spacing w:after="0"/>
              <w:rPr>
                <w:sz w:val="20"/>
                <w:szCs w:val="20"/>
                <w:color w:val="auto"/>
              </w:rPr>
            </w:pPr>
            <w:r>
              <w:rPr>
                <w:rFonts w:ascii="Arial" w:cs="Arial" w:eastAsia="Arial" w:hAnsi="Arial"/>
                <w:sz w:val="21"/>
                <w:szCs w:val="21"/>
                <w:color w:val="auto"/>
                <w:w w:val="97"/>
              </w:rPr>
              <w:t>SECTION 11.04.</w:t>
            </w:r>
          </w:p>
        </w:tc>
        <w:tc>
          <w:tcPr>
            <w:tcW w:w="3560" w:type="dxa"/>
            <w:vAlign w:val="bottom"/>
            <w:gridSpan w:val="19"/>
          </w:tcPr>
          <w:p>
            <w:pPr>
              <w:ind w:left="100"/>
              <w:spacing w:after="0"/>
              <w:rPr>
                <w:sz w:val="20"/>
                <w:szCs w:val="20"/>
                <w:color w:val="auto"/>
              </w:rPr>
            </w:pPr>
            <w:r>
              <w:rPr>
                <w:rFonts w:ascii="Arial" w:cs="Arial" w:eastAsia="Arial" w:hAnsi="Arial"/>
                <w:sz w:val="21"/>
                <w:szCs w:val="21"/>
                <w:color w:val="auto"/>
                <w:w w:val="96"/>
              </w:rPr>
              <w:t>Expenses; Indemnity; Damage Waiver</w:t>
            </w:r>
          </w:p>
        </w:tc>
        <w:tc>
          <w:tcPr>
            <w:tcW w:w="320" w:type="dxa"/>
            <w:vAlign w:val="bottom"/>
            <w:gridSpan w:val="3"/>
          </w:tcPr>
          <w:p>
            <w:pPr>
              <w:jc w:val="right"/>
              <w:spacing w:after="0"/>
              <w:rPr>
                <w:sz w:val="20"/>
                <w:szCs w:val="20"/>
                <w:color w:val="auto"/>
              </w:rPr>
            </w:pPr>
            <w:r>
              <w:rPr>
                <w:rFonts w:ascii="Arial" w:cs="Arial" w:eastAsia="Arial" w:hAnsi="Arial"/>
                <w:sz w:val="21"/>
                <w:szCs w:val="21"/>
                <w:b w:val="1"/>
                <w:bCs w:val="1"/>
                <w:color w:val="FF0000"/>
                <w:strike w:val="1"/>
                <w:w w:val="85"/>
              </w:rPr>
              <w:t>130</w:t>
            </w:r>
          </w:p>
        </w:tc>
        <w:tc>
          <w:tcPr>
            <w:tcW w:w="400" w:type="dxa"/>
            <w:vAlign w:val="bottom"/>
            <w:gridSpan w:val="3"/>
          </w:tcPr>
          <w:p>
            <w:pPr>
              <w:jc w:val="right"/>
              <w:ind w:right="80"/>
              <w:spacing w:after="0"/>
              <w:rPr>
                <w:sz w:val="20"/>
                <w:szCs w:val="20"/>
                <w:color w:val="auto"/>
              </w:rPr>
            </w:pPr>
            <w:r>
              <w:rPr>
                <w:rFonts w:ascii="Arial" w:cs="Arial" w:eastAsia="Arial" w:hAnsi="Arial"/>
                <w:sz w:val="21"/>
                <w:szCs w:val="21"/>
                <w:b w:val="1"/>
                <w:bCs w:val="1"/>
                <w:color w:val="0000FF"/>
                <w:w w:val="85"/>
              </w:rPr>
              <w:t>132</w:t>
            </w:r>
          </w:p>
        </w:tc>
        <w:tc>
          <w:tcPr>
            <w:tcW w:w="120" w:type="dxa"/>
            <w:vAlign w:val="bottom"/>
          </w:tcPr>
          <w:p>
            <w:pPr>
              <w:spacing w:after="0"/>
              <w:rPr>
                <w:sz w:val="24"/>
                <w:szCs w:val="24"/>
                <w:color w:val="auto"/>
              </w:rPr>
            </w:pPr>
          </w:p>
        </w:tc>
        <w:tc>
          <w:tcPr>
            <w:tcW w:w="130" w:type="dxa"/>
            <w:vAlign w:val="bottom"/>
            <w:gridSpan w:val="2"/>
          </w:tcPr>
          <w:p>
            <w:pPr>
              <w:spacing w:after="0"/>
              <w:rPr>
                <w:sz w:val="24"/>
                <w:szCs w:val="24"/>
                <w:color w:val="auto"/>
              </w:rPr>
            </w:pPr>
          </w:p>
        </w:tc>
        <w:tc>
          <w:tcPr>
            <w:tcW w:w="7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560" w:type="dxa"/>
            <w:vAlign w:val="bottom"/>
          </w:tcPr>
          <w:p>
            <w:pPr>
              <w:spacing w:after="0"/>
              <w:rPr>
                <w:sz w:val="20"/>
                <w:szCs w:val="20"/>
                <w:color w:val="auto"/>
              </w:rPr>
            </w:pPr>
            <w:r>
              <w:rPr>
                <w:rFonts w:ascii="Arial" w:cs="Arial" w:eastAsia="Arial" w:hAnsi="Arial"/>
                <w:sz w:val="21"/>
                <w:szCs w:val="21"/>
                <w:color w:val="auto"/>
                <w:w w:val="97"/>
              </w:rPr>
              <w:t>SECTION 11.05.</w:t>
            </w:r>
          </w:p>
        </w:tc>
        <w:tc>
          <w:tcPr>
            <w:tcW w:w="1960" w:type="dxa"/>
            <w:vAlign w:val="bottom"/>
            <w:gridSpan w:val="5"/>
          </w:tcPr>
          <w:p>
            <w:pPr>
              <w:ind w:left="100"/>
              <w:spacing w:after="0"/>
              <w:rPr>
                <w:sz w:val="20"/>
                <w:szCs w:val="20"/>
                <w:color w:val="auto"/>
              </w:rPr>
            </w:pPr>
            <w:r>
              <w:rPr>
                <w:rFonts w:ascii="Arial" w:cs="Arial" w:eastAsia="Arial" w:hAnsi="Arial"/>
                <w:sz w:val="21"/>
                <w:szCs w:val="21"/>
                <w:color w:val="auto"/>
                <w:w w:val="97"/>
              </w:rPr>
              <w:t>Payments Set Aside</w:t>
            </w:r>
          </w:p>
        </w:tc>
        <w:tc>
          <w:tcPr>
            <w:tcW w:w="340" w:type="dxa"/>
            <w:vAlign w:val="bottom"/>
            <w:gridSpan w:val="3"/>
          </w:tcPr>
          <w:p>
            <w:pPr>
              <w:jc w:val="right"/>
              <w:spacing w:after="0"/>
              <w:rPr>
                <w:sz w:val="20"/>
                <w:szCs w:val="20"/>
                <w:color w:val="auto"/>
              </w:rPr>
            </w:pPr>
            <w:r>
              <w:rPr>
                <w:rFonts w:ascii="Arial" w:cs="Arial" w:eastAsia="Arial" w:hAnsi="Arial"/>
                <w:sz w:val="21"/>
                <w:szCs w:val="21"/>
                <w:b w:val="1"/>
                <w:bCs w:val="1"/>
                <w:color w:val="FF0000"/>
                <w:strike w:val="1"/>
                <w:w w:val="91"/>
              </w:rPr>
              <w:t>133</w:t>
            </w:r>
          </w:p>
        </w:tc>
        <w:tc>
          <w:tcPr>
            <w:tcW w:w="400" w:type="dxa"/>
            <w:vAlign w:val="bottom"/>
            <w:tcBorders>
              <w:bottom w:val="single" w:sz="8" w:color="0000FF"/>
            </w:tcBorders>
            <w:gridSpan w:val="3"/>
          </w:tcPr>
          <w:p>
            <w:pPr>
              <w:jc w:val="right"/>
              <w:ind w:right="80"/>
              <w:spacing w:after="0"/>
              <w:rPr>
                <w:sz w:val="20"/>
                <w:szCs w:val="20"/>
                <w:color w:val="auto"/>
              </w:rPr>
            </w:pPr>
            <w:r>
              <w:rPr>
                <w:rFonts w:ascii="Arial" w:cs="Arial" w:eastAsia="Arial" w:hAnsi="Arial"/>
                <w:sz w:val="21"/>
                <w:szCs w:val="21"/>
                <w:b w:val="1"/>
                <w:bCs w:val="1"/>
                <w:color w:val="0000FF"/>
                <w:w w:val="85"/>
              </w:rPr>
              <w:t>134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7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560" w:type="dxa"/>
            <w:vAlign w:val="bottom"/>
          </w:tcPr>
          <w:p>
            <w:pPr>
              <w:spacing w:after="0"/>
              <w:rPr>
                <w:sz w:val="20"/>
                <w:szCs w:val="20"/>
                <w:color w:val="auto"/>
              </w:rPr>
            </w:pPr>
            <w:r>
              <w:rPr>
                <w:rFonts w:ascii="Arial" w:cs="Arial" w:eastAsia="Arial" w:hAnsi="Arial"/>
                <w:sz w:val="21"/>
                <w:szCs w:val="21"/>
                <w:color w:val="auto"/>
                <w:w w:val="97"/>
              </w:rPr>
              <w:t>SECTION 11.06.</w:t>
            </w:r>
          </w:p>
        </w:tc>
        <w:tc>
          <w:tcPr>
            <w:tcW w:w="2300" w:type="dxa"/>
            <w:vAlign w:val="bottom"/>
            <w:gridSpan w:val="8"/>
          </w:tcPr>
          <w:p>
            <w:pPr>
              <w:ind w:left="100"/>
              <w:spacing w:after="0"/>
              <w:rPr>
                <w:sz w:val="20"/>
                <w:szCs w:val="20"/>
                <w:color w:val="auto"/>
              </w:rPr>
            </w:pPr>
            <w:r>
              <w:rPr>
                <w:rFonts w:ascii="Arial" w:cs="Arial" w:eastAsia="Arial" w:hAnsi="Arial"/>
                <w:sz w:val="21"/>
                <w:szCs w:val="21"/>
                <w:color w:val="auto"/>
                <w:w w:val="95"/>
              </w:rPr>
              <w:t>Successors and Assigns</w:t>
            </w:r>
          </w:p>
        </w:tc>
        <w:tc>
          <w:tcPr>
            <w:tcW w:w="400" w:type="dxa"/>
            <w:vAlign w:val="bottom"/>
            <w:gridSpan w:val="3"/>
          </w:tcPr>
          <w:p>
            <w:pPr>
              <w:jc w:val="right"/>
              <w:ind w:right="80"/>
              <w:spacing w:after="0"/>
              <w:rPr>
                <w:sz w:val="20"/>
                <w:szCs w:val="20"/>
                <w:color w:val="auto"/>
              </w:rPr>
            </w:pPr>
            <w:r>
              <w:rPr>
                <w:rFonts w:ascii="Arial" w:cs="Arial" w:eastAsia="Arial" w:hAnsi="Arial"/>
                <w:sz w:val="21"/>
                <w:szCs w:val="21"/>
                <w:b w:val="1"/>
                <w:bCs w:val="1"/>
                <w:color w:val="FF0000"/>
                <w:strike w:val="1"/>
                <w:w w:val="85"/>
              </w:rPr>
              <w:t>133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0000FF"/>
                <w:w w:val="73"/>
              </w:rPr>
              <w:t>135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310" w:type="dxa"/>
            <w:vAlign w:val="bottom"/>
            <w:gridSpan w:val="3"/>
            <w:vMerge w:val="restart"/>
          </w:tcPr>
          <w:p>
            <w:pPr>
              <w:jc w:val="right"/>
              <w:spacing w:after="0"/>
              <w:rPr>
                <w:sz w:val="20"/>
                <w:szCs w:val="20"/>
                <w:color w:val="auto"/>
              </w:rPr>
            </w:pPr>
            <w:r>
              <w:rPr>
                <w:rFonts w:ascii="Arial" w:cs="Arial" w:eastAsia="Arial" w:hAnsi="Arial"/>
                <w:sz w:val="21"/>
                <w:szCs w:val="21"/>
                <w:b w:val="1"/>
                <w:bCs w:val="1"/>
                <w:color w:val="FF0000"/>
                <w:strike w:val="1"/>
                <w:w w:val="79"/>
              </w:rPr>
              <w:t>141</w:t>
            </w:r>
          </w:p>
        </w:tc>
        <w:tc>
          <w:tcPr>
            <w:tcW w:w="320" w:type="dxa"/>
            <w:vAlign w:val="bottom"/>
            <w:gridSpan w:val="4"/>
            <w:vMerge w:val="restart"/>
          </w:tcPr>
          <w:p>
            <w:pPr>
              <w:jc w:val="right"/>
              <w:spacing w:after="0"/>
              <w:rPr>
                <w:sz w:val="20"/>
                <w:szCs w:val="20"/>
                <w:color w:val="auto"/>
              </w:rPr>
            </w:pPr>
            <w:r>
              <w:rPr>
                <w:rFonts w:ascii="Arial" w:cs="Arial" w:eastAsia="Arial" w:hAnsi="Arial"/>
                <w:sz w:val="21"/>
                <w:szCs w:val="21"/>
                <w:b w:val="1"/>
                <w:bCs w:val="1"/>
                <w:color w:val="0000FF"/>
                <w:w w:val="85"/>
              </w:rPr>
              <w:t>143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 w:type="dxa"/>
            <w:vAlign w:val="bottom"/>
            <w:gridSpan w:val="2"/>
          </w:tcPr>
          <w:p>
            <w:pPr>
              <w:spacing w:after="0" w:line="20" w:lineRule="exact"/>
              <w:rPr>
                <w:sz w:val="1"/>
                <w:szCs w:val="1"/>
                <w:color w:val="auto"/>
              </w:rPr>
            </w:pPr>
          </w:p>
        </w:tc>
        <w:tc>
          <w:tcPr>
            <w:tcW w:w="310" w:type="dxa"/>
            <w:vAlign w:val="bottom"/>
            <w:gridSpan w:val="3"/>
            <w:vMerge w:val="continue"/>
          </w:tcPr>
          <w:p>
            <w:pPr>
              <w:spacing w:after="0" w:line="20" w:lineRule="exact"/>
              <w:rPr>
                <w:sz w:val="1"/>
                <w:szCs w:val="1"/>
                <w:color w:val="auto"/>
              </w:rPr>
            </w:pPr>
          </w:p>
        </w:tc>
        <w:tc>
          <w:tcPr>
            <w:tcW w:w="320" w:type="dxa"/>
            <w:vAlign w:val="bottom"/>
            <w:gridSpan w:val="4"/>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1560" w:type="dxa"/>
            <w:vAlign w:val="bottom"/>
          </w:tcPr>
          <w:p>
            <w:pPr>
              <w:spacing w:after="0"/>
              <w:rPr>
                <w:sz w:val="20"/>
                <w:szCs w:val="20"/>
                <w:color w:val="auto"/>
              </w:rPr>
            </w:pPr>
            <w:r>
              <w:rPr>
                <w:rFonts w:ascii="Arial" w:cs="Arial" w:eastAsia="Arial" w:hAnsi="Arial"/>
                <w:sz w:val="21"/>
                <w:szCs w:val="21"/>
                <w:color w:val="auto"/>
                <w:w w:val="97"/>
              </w:rPr>
              <w:t>SECTION 11.07.</w:t>
            </w:r>
          </w:p>
        </w:tc>
        <w:tc>
          <w:tcPr>
            <w:tcW w:w="4530" w:type="dxa"/>
            <w:vAlign w:val="bottom"/>
            <w:gridSpan w:val="28"/>
          </w:tcPr>
          <w:p>
            <w:pPr>
              <w:ind w:left="100"/>
              <w:spacing w:after="0"/>
              <w:rPr>
                <w:sz w:val="20"/>
                <w:szCs w:val="20"/>
                <w:color w:val="auto"/>
              </w:rPr>
            </w:pPr>
            <w:r>
              <w:rPr>
                <w:rFonts w:ascii="Arial" w:cs="Arial" w:eastAsia="Arial" w:hAnsi="Arial"/>
                <w:sz w:val="21"/>
                <w:szCs w:val="21"/>
                <w:color w:val="auto"/>
                <w:w w:val="98"/>
              </w:rPr>
              <w:t>Treatment of Certain Information; Confidentiality</w:t>
            </w:r>
          </w:p>
        </w:tc>
        <w:tc>
          <w:tcPr>
            <w:tcW w:w="310" w:type="dxa"/>
            <w:vAlign w:val="bottom"/>
            <w:gridSpan w:val="3"/>
            <w:vMerge w:val="continue"/>
          </w:tcPr>
          <w:p>
            <w:pPr>
              <w:spacing w:after="0"/>
              <w:rPr>
                <w:sz w:val="24"/>
                <w:szCs w:val="24"/>
                <w:color w:val="auto"/>
              </w:rPr>
            </w:pPr>
          </w:p>
        </w:tc>
        <w:tc>
          <w:tcPr>
            <w:tcW w:w="320" w:type="dxa"/>
            <w:vAlign w:val="bottom"/>
            <w:tcBorders>
              <w:bottom w:val="single" w:sz="8" w:color="0000FF"/>
            </w:tcBorders>
            <w:gridSpan w:val="4"/>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560" w:type="dxa"/>
            <w:vAlign w:val="bottom"/>
          </w:tcPr>
          <w:p>
            <w:pPr>
              <w:spacing w:after="0"/>
              <w:rPr>
                <w:sz w:val="20"/>
                <w:szCs w:val="20"/>
                <w:color w:val="auto"/>
              </w:rPr>
            </w:pPr>
            <w:r>
              <w:rPr>
                <w:rFonts w:ascii="Arial" w:cs="Arial" w:eastAsia="Arial" w:hAnsi="Arial"/>
                <w:sz w:val="21"/>
                <w:szCs w:val="21"/>
                <w:color w:val="auto"/>
                <w:w w:val="97"/>
              </w:rPr>
              <w:t>SECTION 11.08.</w:t>
            </w:r>
          </w:p>
        </w:tc>
        <w:tc>
          <w:tcPr>
            <w:tcW w:w="1580" w:type="dxa"/>
            <w:vAlign w:val="bottom"/>
            <w:gridSpan w:val="2"/>
          </w:tcPr>
          <w:p>
            <w:pPr>
              <w:ind w:left="100"/>
              <w:spacing w:after="0"/>
              <w:rPr>
                <w:sz w:val="20"/>
                <w:szCs w:val="20"/>
                <w:color w:val="auto"/>
              </w:rPr>
            </w:pPr>
            <w:r>
              <w:rPr>
                <w:rFonts w:ascii="Arial" w:cs="Arial" w:eastAsia="Arial" w:hAnsi="Arial"/>
                <w:sz w:val="21"/>
                <w:szCs w:val="21"/>
                <w:color w:val="auto"/>
              </w:rPr>
              <w:t>Right of Setoff</w:t>
            </w:r>
          </w:p>
        </w:tc>
        <w:tc>
          <w:tcPr>
            <w:tcW w:w="300" w:type="dxa"/>
            <w:vAlign w:val="bottom"/>
            <w:gridSpan w:val="2"/>
          </w:tcPr>
          <w:p>
            <w:pPr>
              <w:jc w:val="right"/>
              <w:spacing w:after="0"/>
              <w:rPr>
                <w:sz w:val="20"/>
                <w:szCs w:val="20"/>
                <w:color w:val="auto"/>
              </w:rPr>
            </w:pPr>
            <w:r>
              <w:rPr>
                <w:rFonts w:ascii="Arial" w:cs="Arial" w:eastAsia="Arial" w:hAnsi="Arial"/>
                <w:sz w:val="21"/>
                <w:szCs w:val="21"/>
                <w:b w:val="1"/>
                <w:bCs w:val="1"/>
                <w:color w:val="FF0000"/>
                <w:strike w:val="1"/>
                <w:w w:val="79"/>
              </w:rPr>
              <w:t>142</w:t>
            </w:r>
          </w:p>
        </w:tc>
        <w:tc>
          <w:tcPr>
            <w:tcW w:w="400" w:type="dxa"/>
            <w:vAlign w:val="bottom"/>
            <w:gridSpan w:val="3"/>
          </w:tcPr>
          <w:p>
            <w:pPr>
              <w:jc w:val="right"/>
              <w:ind w:right="80"/>
              <w:spacing w:after="0"/>
              <w:rPr>
                <w:sz w:val="20"/>
                <w:szCs w:val="20"/>
                <w:color w:val="auto"/>
              </w:rPr>
            </w:pPr>
            <w:r>
              <w:rPr>
                <w:rFonts w:ascii="Arial" w:cs="Arial" w:eastAsia="Arial" w:hAnsi="Arial"/>
                <w:sz w:val="21"/>
                <w:szCs w:val="21"/>
                <w:b w:val="1"/>
                <w:bCs w:val="1"/>
                <w:color w:val="0000FF"/>
                <w:w w:val="85"/>
              </w:rPr>
              <w:t>144</w:t>
            </w:r>
          </w:p>
        </w:tc>
        <w:tc>
          <w:tcPr>
            <w:tcW w:w="20" w:type="dxa"/>
            <w:vAlign w:val="bottom"/>
          </w:tcPr>
          <w:p>
            <w:pPr>
              <w:spacing w:after="0"/>
              <w:rPr>
                <w:sz w:val="24"/>
                <w:szCs w:val="24"/>
                <w:color w:val="auto"/>
              </w:rPr>
            </w:pPr>
          </w:p>
        </w:tc>
        <w:tc>
          <w:tcPr>
            <w:tcW w:w="400" w:type="dxa"/>
            <w:vAlign w:val="bottom"/>
            <w:gridSpan w:val="3"/>
            <w:vMerge w:val="restart"/>
          </w:tcPr>
          <w:p>
            <w:pPr>
              <w:jc w:val="right"/>
              <w:ind w:right="60"/>
              <w:spacing w:after="0"/>
              <w:rPr>
                <w:sz w:val="20"/>
                <w:szCs w:val="20"/>
                <w:color w:val="auto"/>
              </w:rPr>
            </w:pPr>
            <w:r>
              <w:rPr>
                <w:rFonts w:ascii="Arial" w:cs="Arial" w:eastAsia="Arial" w:hAnsi="Arial"/>
                <w:sz w:val="21"/>
                <w:szCs w:val="21"/>
                <w:b w:val="1"/>
                <w:bCs w:val="1"/>
                <w:color w:val="FF0000"/>
                <w:strike w:val="1"/>
                <w:w w:val="91"/>
              </w:rPr>
              <w:t>142</w:t>
            </w:r>
          </w:p>
        </w:tc>
        <w:tc>
          <w:tcPr>
            <w:tcW w:w="26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0000FF"/>
                <w:w w:val="71"/>
              </w:rPr>
              <w:t>145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7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vMerge w:val="continue"/>
          </w:tcPr>
          <w:p>
            <w:pPr>
              <w:spacing w:after="0" w:line="20" w:lineRule="exact"/>
              <w:rPr>
                <w:sz w:val="1"/>
                <w:szCs w:val="1"/>
                <w:color w:val="auto"/>
              </w:rPr>
            </w:pPr>
          </w:p>
        </w:tc>
        <w:tc>
          <w:tcPr>
            <w:tcW w:w="26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1560" w:type="dxa"/>
            <w:vAlign w:val="bottom"/>
          </w:tcPr>
          <w:p>
            <w:pPr>
              <w:spacing w:after="0"/>
              <w:rPr>
                <w:sz w:val="20"/>
                <w:szCs w:val="20"/>
                <w:color w:val="auto"/>
              </w:rPr>
            </w:pPr>
            <w:r>
              <w:rPr>
                <w:rFonts w:ascii="Arial" w:cs="Arial" w:eastAsia="Arial" w:hAnsi="Arial"/>
                <w:sz w:val="21"/>
                <w:szCs w:val="21"/>
                <w:color w:val="auto"/>
                <w:w w:val="97"/>
              </w:rPr>
              <w:t>SECTION 11.09.</w:t>
            </w:r>
          </w:p>
        </w:tc>
        <w:tc>
          <w:tcPr>
            <w:tcW w:w="2300" w:type="dxa"/>
            <w:vAlign w:val="bottom"/>
            <w:gridSpan w:val="8"/>
          </w:tcPr>
          <w:p>
            <w:pPr>
              <w:ind w:left="100"/>
              <w:spacing w:after="0"/>
              <w:rPr>
                <w:sz w:val="20"/>
                <w:szCs w:val="20"/>
                <w:color w:val="auto"/>
              </w:rPr>
            </w:pPr>
            <w:r>
              <w:rPr>
                <w:rFonts w:ascii="Arial" w:cs="Arial" w:eastAsia="Arial" w:hAnsi="Arial"/>
                <w:sz w:val="21"/>
                <w:szCs w:val="21"/>
                <w:color w:val="auto"/>
              </w:rPr>
              <w:t>Interest Rate Limitation</w:t>
            </w:r>
          </w:p>
        </w:tc>
        <w:tc>
          <w:tcPr>
            <w:tcW w:w="400" w:type="dxa"/>
            <w:vAlign w:val="bottom"/>
            <w:gridSpan w:val="3"/>
            <w:vMerge w:val="continue"/>
          </w:tcPr>
          <w:p>
            <w:pPr>
              <w:spacing w:after="0"/>
              <w:rPr>
                <w:sz w:val="24"/>
                <w:szCs w:val="24"/>
                <w:color w:val="auto"/>
              </w:rPr>
            </w:pPr>
          </w:p>
        </w:tc>
        <w:tc>
          <w:tcPr>
            <w:tcW w:w="260" w:type="dxa"/>
            <w:vAlign w:val="bottom"/>
            <w:tcBorders>
              <w:bottom w:val="single" w:sz="8" w:color="0000FF"/>
            </w:tcBorders>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7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vMerge w:val="restart"/>
          </w:tcPr>
          <w:p>
            <w:pPr>
              <w:jc w:val="right"/>
              <w:spacing w:after="0"/>
              <w:rPr>
                <w:sz w:val="20"/>
                <w:szCs w:val="20"/>
                <w:color w:val="auto"/>
              </w:rPr>
            </w:pPr>
            <w:r>
              <w:rPr>
                <w:rFonts w:ascii="Arial" w:cs="Arial" w:eastAsia="Arial" w:hAnsi="Arial"/>
                <w:sz w:val="21"/>
                <w:szCs w:val="21"/>
                <w:b w:val="1"/>
                <w:bCs w:val="1"/>
                <w:color w:val="FF0000"/>
                <w:strike w:val="1"/>
                <w:w w:val="85"/>
              </w:rPr>
              <w:t>143</w:t>
            </w:r>
          </w:p>
        </w:tc>
        <w:tc>
          <w:tcPr>
            <w:tcW w:w="860" w:type="dxa"/>
            <w:vAlign w:val="bottom"/>
            <w:gridSpan w:val="2"/>
            <w:vMerge w:val="restart"/>
          </w:tcPr>
          <w:p>
            <w:pPr>
              <w:jc w:val="right"/>
              <w:ind w:right="540"/>
              <w:spacing w:after="0"/>
              <w:rPr>
                <w:sz w:val="20"/>
                <w:szCs w:val="20"/>
                <w:color w:val="auto"/>
              </w:rPr>
            </w:pPr>
            <w:r>
              <w:rPr>
                <w:rFonts w:ascii="Arial" w:cs="Arial" w:eastAsia="Arial" w:hAnsi="Arial"/>
                <w:sz w:val="21"/>
                <w:szCs w:val="21"/>
                <w:b w:val="1"/>
                <w:bCs w:val="1"/>
                <w:color w:val="0000FF"/>
                <w:w w:val="85"/>
              </w:rPr>
              <w:t>145</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560" w:type="dxa"/>
            <w:vAlign w:val="bottom"/>
          </w:tcPr>
          <w:p>
            <w:pPr>
              <w:spacing w:after="0"/>
              <w:rPr>
                <w:sz w:val="20"/>
                <w:szCs w:val="20"/>
                <w:color w:val="auto"/>
              </w:rPr>
            </w:pPr>
            <w:r>
              <w:rPr>
                <w:rFonts w:ascii="Arial" w:cs="Arial" w:eastAsia="Arial" w:hAnsi="Arial"/>
                <w:sz w:val="21"/>
                <w:szCs w:val="21"/>
                <w:color w:val="auto"/>
                <w:w w:val="97"/>
              </w:rPr>
              <w:t>SECTION 11.10.</w:t>
            </w:r>
          </w:p>
        </w:tc>
        <w:tc>
          <w:tcPr>
            <w:tcW w:w="5580" w:type="dxa"/>
            <w:vAlign w:val="bottom"/>
            <w:gridSpan w:val="38"/>
          </w:tcPr>
          <w:p>
            <w:pPr>
              <w:ind w:left="100"/>
              <w:spacing w:after="0"/>
              <w:rPr>
                <w:sz w:val="20"/>
                <w:szCs w:val="20"/>
                <w:color w:val="auto"/>
              </w:rPr>
            </w:pPr>
            <w:r>
              <w:rPr>
                <w:rFonts w:ascii="Arial" w:cs="Arial" w:eastAsia="Arial" w:hAnsi="Arial"/>
                <w:sz w:val="21"/>
                <w:szCs w:val="21"/>
                <w:color w:val="auto"/>
                <w:w w:val="95"/>
              </w:rPr>
              <w:t>Counterparts; Integration; Electronic Execution; Effectiveness</w:t>
            </w:r>
          </w:p>
        </w:tc>
        <w:tc>
          <w:tcPr>
            <w:tcW w:w="320" w:type="dxa"/>
            <w:vAlign w:val="bottom"/>
            <w:vMerge w:val="continue"/>
          </w:tcPr>
          <w:p>
            <w:pPr>
              <w:spacing w:after="0"/>
              <w:rPr>
                <w:sz w:val="24"/>
                <w:szCs w:val="24"/>
                <w:color w:val="auto"/>
              </w:rPr>
            </w:pPr>
          </w:p>
        </w:tc>
        <w:tc>
          <w:tcPr>
            <w:tcW w:w="8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560" w:type="dxa"/>
            <w:vAlign w:val="bottom"/>
          </w:tcPr>
          <w:p>
            <w:pPr>
              <w:spacing w:after="0"/>
              <w:rPr>
                <w:sz w:val="20"/>
                <w:szCs w:val="20"/>
                <w:color w:val="auto"/>
              </w:rPr>
            </w:pPr>
            <w:r>
              <w:rPr>
                <w:rFonts w:ascii="Arial" w:cs="Arial" w:eastAsia="Arial" w:hAnsi="Arial"/>
                <w:sz w:val="21"/>
                <w:szCs w:val="21"/>
                <w:color w:val="auto"/>
                <w:w w:val="97"/>
              </w:rPr>
              <w:t>SECTION 11.11.</w:t>
            </w:r>
          </w:p>
        </w:tc>
        <w:tc>
          <w:tcPr>
            <w:tcW w:w="3760" w:type="dxa"/>
            <w:vAlign w:val="bottom"/>
            <w:gridSpan w:val="20"/>
          </w:tcPr>
          <w:p>
            <w:pPr>
              <w:ind w:left="80"/>
              <w:spacing w:after="0"/>
              <w:rPr>
                <w:sz w:val="20"/>
                <w:szCs w:val="20"/>
                <w:color w:val="auto"/>
              </w:rPr>
            </w:pPr>
            <w:r>
              <w:rPr>
                <w:rFonts w:ascii="Arial" w:cs="Arial" w:eastAsia="Arial" w:hAnsi="Arial"/>
                <w:sz w:val="21"/>
                <w:szCs w:val="21"/>
                <w:color w:val="auto"/>
                <w:w w:val="90"/>
              </w:rPr>
              <w:t>Survival of Representations and Warranties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Arial" w:cs="Arial" w:eastAsia="Arial" w:hAnsi="Arial"/>
                <w:sz w:val="21"/>
                <w:szCs w:val="21"/>
                <w:b w:val="1"/>
                <w:bCs w:val="1"/>
                <w:color w:val="FF0000"/>
                <w:strike w:val="1"/>
              </w:rPr>
              <w:t>144</w:t>
            </w:r>
          </w:p>
        </w:tc>
        <w:tc>
          <w:tcPr>
            <w:tcW w:w="320" w:type="dxa"/>
            <w:vAlign w:val="bottom"/>
            <w:tcBorders>
              <w:bottom w:val="single" w:sz="8" w:color="0000FF"/>
            </w:tcBorders>
            <w:gridSpan w:val="4"/>
          </w:tcPr>
          <w:p>
            <w:pPr>
              <w:jc w:val="right"/>
              <w:spacing w:after="0"/>
              <w:rPr>
                <w:sz w:val="20"/>
                <w:szCs w:val="20"/>
                <w:color w:val="auto"/>
              </w:rPr>
            </w:pPr>
            <w:r>
              <w:rPr>
                <w:rFonts w:ascii="Arial" w:cs="Arial" w:eastAsia="Arial" w:hAnsi="Arial"/>
                <w:sz w:val="21"/>
                <w:szCs w:val="21"/>
                <w:b w:val="1"/>
                <w:bCs w:val="1"/>
                <w:color w:val="0000FF"/>
                <w:w w:val="85"/>
              </w:rPr>
              <w:t>146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560" w:type="dxa"/>
            <w:vAlign w:val="bottom"/>
          </w:tcPr>
          <w:p>
            <w:pPr>
              <w:spacing w:after="0"/>
              <w:rPr>
                <w:sz w:val="20"/>
                <w:szCs w:val="20"/>
                <w:color w:val="auto"/>
              </w:rPr>
            </w:pPr>
            <w:r>
              <w:rPr>
                <w:rFonts w:ascii="Arial" w:cs="Arial" w:eastAsia="Arial" w:hAnsi="Arial"/>
                <w:sz w:val="21"/>
                <w:szCs w:val="21"/>
                <w:color w:val="auto"/>
                <w:w w:val="97"/>
              </w:rPr>
              <w:t>SECTION 11.12.</w:t>
            </w:r>
          </w:p>
        </w:tc>
        <w:tc>
          <w:tcPr>
            <w:tcW w:w="1320" w:type="dxa"/>
            <w:vAlign w:val="bottom"/>
          </w:tcPr>
          <w:p>
            <w:pPr>
              <w:ind w:left="100"/>
              <w:spacing w:after="0"/>
              <w:rPr>
                <w:sz w:val="20"/>
                <w:szCs w:val="20"/>
                <w:color w:val="auto"/>
              </w:rPr>
            </w:pPr>
            <w:r>
              <w:rPr>
                <w:rFonts w:ascii="Arial" w:cs="Arial" w:eastAsia="Arial" w:hAnsi="Arial"/>
                <w:sz w:val="21"/>
                <w:szCs w:val="21"/>
                <w:color w:val="auto"/>
              </w:rPr>
              <w:t>Severability</w:t>
            </w:r>
          </w:p>
        </w:tc>
        <w:tc>
          <w:tcPr>
            <w:tcW w:w="320" w:type="dxa"/>
            <w:vAlign w:val="bottom"/>
            <w:gridSpan w:val="2"/>
          </w:tcPr>
          <w:p>
            <w:pPr>
              <w:jc w:val="right"/>
              <w:spacing w:after="0"/>
              <w:rPr>
                <w:sz w:val="20"/>
                <w:szCs w:val="20"/>
                <w:color w:val="auto"/>
              </w:rPr>
            </w:pPr>
            <w:r>
              <w:rPr>
                <w:rFonts w:ascii="Arial" w:cs="Arial" w:eastAsia="Arial" w:hAnsi="Arial"/>
                <w:sz w:val="21"/>
                <w:szCs w:val="21"/>
                <w:b w:val="1"/>
                <w:bCs w:val="1"/>
                <w:color w:val="FF0000"/>
                <w:strike w:val="1"/>
                <w:w w:val="85"/>
              </w:rPr>
              <w:t>144</w:t>
            </w:r>
          </w:p>
        </w:tc>
        <w:tc>
          <w:tcPr>
            <w:tcW w:w="320" w:type="dxa"/>
            <w:vAlign w:val="bottom"/>
            <w:tcBorders>
              <w:bottom w:val="single" w:sz="8" w:color="0000FF"/>
            </w:tcBorders>
            <w:gridSpan w:val="2"/>
          </w:tcPr>
          <w:p>
            <w:pPr>
              <w:jc w:val="right"/>
              <w:spacing w:after="0"/>
              <w:rPr>
                <w:sz w:val="20"/>
                <w:szCs w:val="20"/>
                <w:color w:val="auto"/>
              </w:rPr>
            </w:pPr>
            <w:r>
              <w:rPr>
                <w:rFonts w:ascii="Arial" w:cs="Arial" w:eastAsia="Arial" w:hAnsi="Arial"/>
                <w:sz w:val="21"/>
                <w:szCs w:val="21"/>
                <w:b w:val="1"/>
                <w:bCs w:val="1"/>
                <w:color w:val="0000FF"/>
                <w:w w:val="85"/>
              </w:rPr>
              <w:t>147</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gridSpan w:val="2"/>
            <w:vMerge w:val="restart"/>
          </w:tcPr>
          <w:p>
            <w:pPr>
              <w:jc w:val="right"/>
              <w:spacing w:after="0"/>
              <w:rPr>
                <w:sz w:val="20"/>
                <w:szCs w:val="20"/>
                <w:color w:val="auto"/>
              </w:rPr>
            </w:pPr>
            <w:r>
              <w:rPr>
                <w:rFonts w:ascii="Arial" w:cs="Arial" w:eastAsia="Arial" w:hAnsi="Arial"/>
                <w:sz w:val="21"/>
                <w:szCs w:val="21"/>
                <w:b w:val="1"/>
                <w:bCs w:val="1"/>
                <w:color w:val="FF0000"/>
                <w:strike w:val="1"/>
                <w:w w:val="85"/>
              </w:rPr>
              <w:t>145</w:t>
            </w:r>
          </w:p>
        </w:tc>
        <w:tc>
          <w:tcPr>
            <w:tcW w:w="320" w:type="dxa"/>
            <w:vAlign w:val="bottom"/>
            <w:gridSpan w:val="4"/>
            <w:vMerge w:val="restart"/>
          </w:tcPr>
          <w:p>
            <w:pPr>
              <w:jc w:val="right"/>
              <w:spacing w:after="0"/>
              <w:rPr>
                <w:sz w:val="20"/>
                <w:szCs w:val="20"/>
                <w:color w:val="auto"/>
              </w:rPr>
            </w:pPr>
            <w:r>
              <w:rPr>
                <w:rFonts w:ascii="Arial" w:cs="Arial" w:eastAsia="Arial" w:hAnsi="Arial"/>
                <w:sz w:val="21"/>
                <w:szCs w:val="21"/>
                <w:b w:val="1"/>
                <w:bCs w:val="1"/>
                <w:color w:val="0000FF"/>
                <w:w w:val="85"/>
              </w:rPr>
              <w:t>147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7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560" w:type="dxa"/>
            <w:vAlign w:val="bottom"/>
          </w:tcPr>
          <w:p>
            <w:pPr>
              <w:spacing w:after="0"/>
              <w:rPr>
                <w:sz w:val="20"/>
                <w:szCs w:val="20"/>
                <w:color w:val="auto"/>
              </w:rPr>
            </w:pPr>
            <w:r>
              <w:rPr>
                <w:rFonts w:ascii="Arial" w:cs="Arial" w:eastAsia="Arial" w:hAnsi="Arial"/>
                <w:sz w:val="21"/>
                <w:szCs w:val="21"/>
                <w:color w:val="auto"/>
                <w:w w:val="97"/>
              </w:rPr>
              <w:t>SECTION 11.13.</w:t>
            </w:r>
          </w:p>
        </w:tc>
        <w:tc>
          <w:tcPr>
            <w:tcW w:w="2300" w:type="dxa"/>
            <w:vAlign w:val="bottom"/>
            <w:gridSpan w:val="8"/>
          </w:tcPr>
          <w:p>
            <w:pPr>
              <w:ind w:left="100"/>
              <w:spacing w:after="0"/>
              <w:rPr>
                <w:sz w:val="20"/>
                <w:szCs w:val="20"/>
                <w:color w:val="auto"/>
              </w:rPr>
            </w:pPr>
            <w:r>
              <w:rPr>
                <w:rFonts w:ascii="Arial" w:cs="Arial" w:eastAsia="Arial" w:hAnsi="Arial"/>
                <w:sz w:val="21"/>
                <w:szCs w:val="21"/>
                <w:color w:val="auto"/>
                <w:w w:val="95"/>
              </w:rPr>
              <w:t>Replacement of Lenders</w:t>
            </w:r>
          </w:p>
        </w:tc>
        <w:tc>
          <w:tcPr>
            <w:tcW w:w="80" w:type="dxa"/>
            <w:vAlign w:val="bottom"/>
          </w:tcPr>
          <w:p>
            <w:pPr>
              <w:spacing w:after="0"/>
              <w:rPr>
                <w:sz w:val="24"/>
                <w:szCs w:val="24"/>
                <w:color w:val="auto"/>
              </w:rPr>
            </w:pPr>
          </w:p>
        </w:tc>
        <w:tc>
          <w:tcPr>
            <w:tcW w:w="320" w:type="dxa"/>
            <w:vAlign w:val="bottom"/>
            <w:gridSpan w:val="2"/>
            <w:vMerge w:val="continue"/>
          </w:tcPr>
          <w:p>
            <w:pPr>
              <w:spacing w:after="0"/>
              <w:rPr>
                <w:sz w:val="24"/>
                <w:szCs w:val="24"/>
                <w:color w:val="auto"/>
              </w:rPr>
            </w:pPr>
          </w:p>
        </w:tc>
        <w:tc>
          <w:tcPr>
            <w:tcW w:w="320" w:type="dxa"/>
            <w:vAlign w:val="bottom"/>
            <w:tcBorders>
              <w:bottom w:val="single" w:sz="8" w:color="0000FF"/>
            </w:tcBorders>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gridSpan w:val="2"/>
            <w:vMerge w:val="restart"/>
          </w:tcPr>
          <w:p>
            <w:pPr>
              <w:jc w:val="right"/>
              <w:spacing w:after="0"/>
              <w:rPr>
                <w:sz w:val="20"/>
                <w:szCs w:val="20"/>
                <w:color w:val="auto"/>
              </w:rPr>
            </w:pPr>
            <w:r>
              <w:rPr>
                <w:rFonts w:ascii="Arial" w:cs="Arial" w:eastAsia="Arial" w:hAnsi="Arial"/>
                <w:sz w:val="21"/>
                <w:szCs w:val="21"/>
                <w:b w:val="1"/>
                <w:bCs w:val="1"/>
                <w:color w:val="FF0000"/>
                <w:strike w:val="1"/>
                <w:w w:val="85"/>
              </w:rPr>
              <w:t>146</w:t>
            </w:r>
          </w:p>
        </w:tc>
        <w:tc>
          <w:tcPr>
            <w:tcW w:w="320" w:type="dxa"/>
            <w:vAlign w:val="bottom"/>
            <w:gridSpan w:val="3"/>
            <w:vMerge w:val="restart"/>
          </w:tcPr>
          <w:p>
            <w:pPr>
              <w:jc w:val="right"/>
              <w:spacing w:after="0"/>
              <w:rPr>
                <w:sz w:val="20"/>
                <w:szCs w:val="20"/>
                <w:color w:val="auto"/>
              </w:rPr>
            </w:pPr>
            <w:r>
              <w:rPr>
                <w:rFonts w:ascii="Arial" w:cs="Arial" w:eastAsia="Arial" w:hAnsi="Arial"/>
                <w:sz w:val="21"/>
                <w:szCs w:val="21"/>
                <w:b w:val="1"/>
                <w:bCs w:val="1"/>
                <w:color w:val="0000FF"/>
                <w:w w:val="85"/>
              </w:rPr>
              <w:t>148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7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560" w:type="dxa"/>
            <w:vAlign w:val="bottom"/>
          </w:tcPr>
          <w:p>
            <w:pPr>
              <w:spacing w:after="0"/>
              <w:rPr>
                <w:sz w:val="20"/>
                <w:szCs w:val="20"/>
                <w:color w:val="auto"/>
              </w:rPr>
            </w:pPr>
            <w:r>
              <w:rPr>
                <w:rFonts w:ascii="Arial" w:cs="Arial" w:eastAsia="Arial" w:hAnsi="Arial"/>
                <w:sz w:val="21"/>
                <w:szCs w:val="21"/>
                <w:color w:val="auto"/>
                <w:w w:val="97"/>
              </w:rPr>
              <w:t>SECTION 11.14.</w:t>
            </w:r>
          </w:p>
        </w:tc>
        <w:tc>
          <w:tcPr>
            <w:tcW w:w="3140" w:type="dxa"/>
            <w:vAlign w:val="bottom"/>
            <w:gridSpan w:val="16"/>
          </w:tcPr>
          <w:p>
            <w:pPr>
              <w:ind w:left="100"/>
              <w:spacing w:after="0"/>
              <w:rPr>
                <w:sz w:val="20"/>
                <w:szCs w:val="20"/>
                <w:color w:val="auto"/>
              </w:rPr>
            </w:pPr>
            <w:r>
              <w:rPr>
                <w:rFonts w:ascii="Arial" w:cs="Arial" w:eastAsia="Arial" w:hAnsi="Arial"/>
                <w:sz w:val="21"/>
                <w:szCs w:val="21"/>
                <w:color w:val="auto"/>
              </w:rPr>
              <w:t>Governing Law; Jurisdiction; Etc</w:t>
            </w:r>
          </w:p>
        </w:tc>
        <w:tc>
          <w:tcPr>
            <w:tcW w:w="320" w:type="dxa"/>
            <w:vAlign w:val="bottom"/>
            <w:gridSpan w:val="2"/>
            <w:vMerge w:val="continue"/>
          </w:tcPr>
          <w:p>
            <w:pPr>
              <w:spacing w:after="0"/>
              <w:rPr>
                <w:sz w:val="24"/>
                <w:szCs w:val="24"/>
                <w:color w:val="auto"/>
              </w:rPr>
            </w:pPr>
          </w:p>
        </w:tc>
        <w:tc>
          <w:tcPr>
            <w:tcW w:w="320" w:type="dxa"/>
            <w:vAlign w:val="bottom"/>
            <w:tcBorders>
              <w:bottom w:val="single" w:sz="8" w:color="0000FF"/>
            </w:tcBorders>
            <w:gridSpan w:val="3"/>
            <w:vMerge w:val="continue"/>
          </w:tcPr>
          <w:p>
            <w:pPr>
              <w:spacing w:after="0"/>
              <w:rPr>
                <w:sz w:val="24"/>
                <w:szCs w:val="24"/>
                <w:color w:val="auto"/>
              </w:rPr>
            </w:pPr>
          </w:p>
        </w:tc>
        <w:tc>
          <w:tcPr>
            <w:tcW w:w="300" w:type="dxa"/>
            <w:vAlign w:val="bottom"/>
            <w:gridSpan w:val="2"/>
          </w:tcPr>
          <w:p>
            <w:pPr>
              <w:spacing w:after="0"/>
              <w:rPr>
                <w:sz w:val="24"/>
                <w:szCs w:val="24"/>
                <w:color w:val="auto"/>
              </w:rPr>
            </w:pPr>
          </w:p>
        </w:tc>
        <w:tc>
          <w:tcPr>
            <w:tcW w:w="320" w:type="dxa"/>
            <w:vAlign w:val="bottom"/>
            <w:gridSpan w:val="3"/>
          </w:tcPr>
          <w:p>
            <w:pPr>
              <w:spacing w:after="0"/>
              <w:rPr>
                <w:sz w:val="24"/>
                <w:szCs w:val="24"/>
                <w:color w:val="auto"/>
              </w:rPr>
            </w:pPr>
          </w:p>
        </w:tc>
        <w:tc>
          <w:tcPr>
            <w:tcW w:w="130" w:type="dxa"/>
            <w:vAlign w:val="bottom"/>
            <w:gridSpan w:val="2"/>
          </w:tcPr>
          <w:p>
            <w:pPr>
              <w:spacing w:after="0"/>
              <w:rPr>
                <w:sz w:val="24"/>
                <w:szCs w:val="24"/>
                <w:color w:val="auto"/>
              </w:rPr>
            </w:pPr>
          </w:p>
        </w:tc>
        <w:tc>
          <w:tcPr>
            <w:tcW w:w="7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560" w:type="dxa"/>
            <w:vAlign w:val="bottom"/>
          </w:tcPr>
          <w:p>
            <w:pPr>
              <w:spacing w:after="0"/>
              <w:rPr>
                <w:sz w:val="20"/>
                <w:szCs w:val="20"/>
                <w:color w:val="auto"/>
              </w:rPr>
            </w:pPr>
            <w:r>
              <w:rPr>
                <w:rFonts w:ascii="Arial" w:cs="Arial" w:eastAsia="Arial" w:hAnsi="Arial"/>
                <w:sz w:val="21"/>
                <w:szCs w:val="21"/>
                <w:color w:val="auto"/>
                <w:w w:val="97"/>
              </w:rPr>
              <w:t>SECTION 11.15.</w:t>
            </w:r>
          </w:p>
        </w:tc>
        <w:tc>
          <w:tcPr>
            <w:tcW w:w="2700" w:type="dxa"/>
            <w:vAlign w:val="bottom"/>
            <w:gridSpan w:val="11"/>
          </w:tcPr>
          <w:p>
            <w:pPr>
              <w:ind w:left="100"/>
              <w:spacing w:after="0"/>
              <w:rPr>
                <w:sz w:val="20"/>
                <w:szCs w:val="20"/>
                <w:color w:val="auto"/>
              </w:rPr>
            </w:pPr>
            <w:r>
              <w:rPr>
                <w:rFonts w:ascii="Arial" w:cs="Arial" w:eastAsia="Arial" w:hAnsi="Arial"/>
                <w:sz w:val="21"/>
                <w:szCs w:val="21"/>
                <w:color w:val="auto"/>
              </w:rPr>
              <w:t>WAIVER OF JURY TRIAL</w:t>
            </w:r>
          </w:p>
        </w:tc>
        <w:tc>
          <w:tcPr>
            <w:tcW w:w="300" w:type="dxa"/>
            <w:vAlign w:val="bottom"/>
            <w:gridSpan w:val="3"/>
          </w:tcPr>
          <w:p>
            <w:pPr>
              <w:jc w:val="right"/>
              <w:spacing w:after="0"/>
              <w:rPr>
                <w:sz w:val="20"/>
                <w:szCs w:val="20"/>
                <w:color w:val="auto"/>
              </w:rPr>
            </w:pPr>
            <w:r>
              <w:rPr>
                <w:rFonts w:ascii="Arial" w:cs="Arial" w:eastAsia="Arial" w:hAnsi="Arial"/>
                <w:sz w:val="21"/>
                <w:szCs w:val="21"/>
                <w:b w:val="1"/>
                <w:bCs w:val="1"/>
                <w:color w:val="FF0000"/>
                <w:strike w:val="1"/>
                <w:w w:val="79"/>
              </w:rPr>
              <w:t>147</w:t>
            </w:r>
          </w:p>
        </w:tc>
        <w:tc>
          <w:tcPr>
            <w:tcW w:w="760" w:type="dxa"/>
            <w:vAlign w:val="bottom"/>
            <w:gridSpan w:val="6"/>
          </w:tcPr>
          <w:p>
            <w:pPr>
              <w:jc w:val="right"/>
              <w:ind w:right="334"/>
              <w:spacing w:after="0"/>
              <w:rPr>
                <w:sz w:val="20"/>
                <w:szCs w:val="20"/>
                <w:color w:val="auto"/>
              </w:rPr>
            </w:pPr>
            <w:r>
              <w:rPr>
                <w:rFonts w:ascii="Arial" w:cs="Arial" w:eastAsia="Arial" w:hAnsi="Arial"/>
                <w:sz w:val="21"/>
                <w:szCs w:val="21"/>
                <w:b w:val="1"/>
                <w:bCs w:val="1"/>
                <w:color w:val="0000FF"/>
                <w:w w:val="85"/>
              </w:rPr>
              <w:t>149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7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560" w:type="dxa"/>
            <w:vAlign w:val="bottom"/>
          </w:tcPr>
          <w:p>
            <w:pPr>
              <w:spacing w:after="0"/>
              <w:rPr>
                <w:sz w:val="20"/>
                <w:szCs w:val="20"/>
                <w:color w:val="auto"/>
              </w:rPr>
            </w:pPr>
            <w:r>
              <w:rPr>
                <w:rFonts w:ascii="Arial" w:cs="Arial" w:eastAsia="Arial" w:hAnsi="Arial"/>
                <w:sz w:val="21"/>
                <w:szCs w:val="21"/>
                <w:color w:val="auto"/>
                <w:w w:val="97"/>
              </w:rPr>
              <w:t>SECTION 11.16.</w:t>
            </w:r>
          </w:p>
        </w:tc>
        <w:tc>
          <w:tcPr>
            <w:tcW w:w="1960" w:type="dxa"/>
            <w:vAlign w:val="bottom"/>
            <w:gridSpan w:val="5"/>
          </w:tcPr>
          <w:p>
            <w:pPr>
              <w:ind w:left="100"/>
              <w:spacing w:after="0"/>
              <w:rPr>
                <w:sz w:val="20"/>
                <w:szCs w:val="20"/>
                <w:color w:val="auto"/>
              </w:rPr>
            </w:pPr>
            <w:r>
              <w:rPr>
                <w:rFonts w:ascii="Arial" w:cs="Arial" w:eastAsia="Arial" w:hAnsi="Arial"/>
                <w:sz w:val="21"/>
                <w:szCs w:val="21"/>
                <w:color w:val="auto"/>
              </w:rPr>
              <w:t>USA PATRIOT Act</w:t>
            </w:r>
          </w:p>
        </w:tc>
        <w:tc>
          <w:tcPr>
            <w:tcW w:w="320" w:type="dxa"/>
            <w:vAlign w:val="bottom"/>
            <w:gridSpan w:val="2"/>
          </w:tcPr>
          <w:p>
            <w:pPr>
              <w:jc w:val="right"/>
              <w:spacing w:after="0"/>
              <w:rPr>
                <w:sz w:val="20"/>
                <w:szCs w:val="20"/>
                <w:color w:val="auto"/>
              </w:rPr>
            </w:pPr>
            <w:r>
              <w:rPr>
                <w:rFonts w:ascii="Arial" w:cs="Arial" w:eastAsia="Arial" w:hAnsi="Arial"/>
                <w:sz w:val="21"/>
                <w:szCs w:val="21"/>
                <w:b w:val="1"/>
                <w:bCs w:val="1"/>
                <w:color w:val="FF0000"/>
                <w:strike w:val="1"/>
                <w:w w:val="85"/>
              </w:rPr>
              <w:t>147</w:t>
            </w:r>
          </w:p>
        </w:tc>
        <w:tc>
          <w:tcPr>
            <w:tcW w:w="320" w:type="dxa"/>
            <w:vAlign w:val="bottom"/>
            <w:tcBorders>
              <w:bottom w:val="single" w:sz="8" w:color="0000FF"/>
            </w:tcBorders>
            <w:gridSpan w:val="3"/>
          </w:tcPr>
          <w:p>
            <w:pPr>
              <w:jc w:val="right"/>
              <w:spacing w:after="0"/>
              <w:rPr>
                <w:sz w:val="20"/>
                <w:szCs w:val="20"/>
                <w:color w:val="auto"/>
              </w:rPr>
            </w:pPr>
            <w:r>
              <w:rPr>
                <w:rFonts w:ascii="Arial" w:cs="Arial" w:eastAsia="Arial" w:hAnsi="Arial"/>
                <w:sz w:val="21"/>
                <w:szCs w:val="21"/>
                <w:b w:val="1"/>
                <w:bCs w:val="1"/>
                <w:color w:val="0000FF"/>
                <w:w w:val="85"/>
              </w:rPr>
              <w:t>149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7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560" w:type="dxa"/>
            <w:vAlign w:val="bottom"/>
          </w:tcPr>
          <w:p>
            <w:pPr>
              <w:spacing w:after="0"/>
              <w:rPr>
                <w:sz w:val="20"/>
                <w:szCs w:val="20"/>
                <w:color w:val="auto"/>
              </w:rPr>
            </w:pPr>
            <w:r>
              <w:rPr>
                <w:rFonts w:ascii="Arial" w:cs="Arial" w:eastAsia="Arial" w:hAnsi="Arial"/>
                <w:sz w:val="21"/>
                <w:szCs w:val="21"/>
                <w:color w:val="auto"/>
                <w:w w:val="97"/>
              </w:rPr>
              <w:t>SECTION 11.17.</w:t>
            </w:r>
          </w:p>
        </w:tc>
        <w:tc>
          <w:tcPr>
            <w:tcW w:w="1960" w:type="dxa"/>
            <w:vAlign w:val="bottom"/>
            <w:gridSpan w:val="5"/>
          </w:tcPr>
          <w:p>
            <w:pPr>
              <w:ind w:left="100"/>
              <w:spacing w:after="0"/>
              <w:rPr>
                <w:sz w:val="20"/>
                <w:szCs w:val="20"/>
                <w:color w:val="auto"/>
              </w:rPr>
            </w:pPr>
            <w:r>
              <w:rPr>
                <w:rFonts w:ascii="Arial" w:cs="Arial" w:eastAsia="Arial" w:hAnsi="Arial"/>
                <w:sz w:val="21"/>
                <w:szCs w:val="21"/>
                <w:color w:val="auto"/>
              </w:rPr>
              <w:t>Judgment Currency</w:t>
            </w:r>
          </w:p>
        </w:tc>
        <w:tc>
          <w:tcPr>
            <w:tcW w:w="340" w:type="dxa"/>
            <w:vAlign w:val="bottom"/>
            <w:gridSpan w:val="3"/>
          </w:tcPr>
          <w:p>
            <w:pPr>
              <w:jc w:val="right"/>
              <w:spacing w:after="0"/>
              <w:rPr>
                <w:sz w:val="20"/>
                <w:szCs w:val="20"/>
                <w:color w:val="auto"/>
              </w:rPr>
            </w:pPr>
            <w:r>
              <w:rPr>
                <w:rFonts w:ascii="Arial" w:cs="Arial" w:eastAsia="Arial" w:hAnsi="Arial"/>
                <w:sz w:val="21"/>
                <w:szCs w:val="21"/>
                <w:b w:val="1"/>
                <w:bCs w:val="1"/>
                <w:color w:val="FF0000"/>
                <w:strike w:val="1"/>
                <w:w w:val="85"/>
              </w:rPr>
              <w:t>147</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21"/>
                <w:szCs w:val="21"/>
                <w:b w:val="1"/>
                <w:bCs w:val="1"/>
                <w:color w:val="0000FF"/>
                <w:w w:val="79"/>
              </w:rPr>
              <w:t>149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gridSpan w:val="3"/>
            <w:vMerge w:val="restart"/>
          </w:tcPr>
          <w:p>
            <w:pPr>
              <w:jc w:val="right"/>
              <w:spacing w:after="0"/>
              <w:rPr>
                <w:sz w:val="20"/>
                <w:szCs w:val="20"/>
                <w:color w:val="auto"/>
              </w:rPr>
            </w:pPr>
            <w:r>
              <w:rPr>
                <w:rFonts w:ascii="Arial" w:cs="Arial" w:eastAsia="Arial" w:hAnsi="Arial"/>
                <w:sz w:val="21"/>
                <w:szCs w:val="21"/>
                <w:b w:val="1"/>
                <w:bCs w:val="1"/>
                <w:color w:val="FF0000"/>
                <w:strike w:val="1"/>
                <w:w w:val="85"/>
              </w:rPr>
              <w:t>148</w:t>
            </w:r>
          </w:p>
        </w:tc>
        <w:tc>
          <w:tcPr>
            <w:tcW w:w="340" w:type="dxa"/>
            <w:vAlign w:val="bottom"/>
            <w:gridSpan w:val="4"/>
            <w:vMerge w:val="restart"/>
          </w:tcPr>
          <w:p>
            <w:pPr>
              <w:jc w:val="right"/>
              <w:ind w:right="20"/>
              <w:spacing w:after="0"/>
              <w:rPr>
                <w:sz w:val="20"/>
                <w:szCs w:val="20"/>
                <w:color w:val="auto"/>
              </w:rPr>
            </w:pPr>
            <w:r>
              <w:rPr>
                <w:rFonts w:ascii="Arial" w:cs="Arial" w:eastAsia="Arial" w:hAnsi="Arial"/>
                <w:sz w:val="21"/>
                <w:szCs w:val="21"/>
                <w:b w:val="1"/>
                <w:bCs w:val="1"/>
                <w:color w:val="0000FF"/>
                <w:w w:val="85"/>
              </w:rPr>
              <w:t>150</w:t>
            </w:r>
          </w:p>
        </w:tc>
        <w:tc>
          <w:tcPr>
            <w:tcW w:w="110" w:type="dxa"/>
            <w:vAlign w:val="bottom"/>
          </w:tcPr>
          <w:p>
            <w:pPr>
              <w:spacing w:after="0"/>
              <w:rPr>
                <w:sz w:val="24"/>
                <w:szCs w:val="24"/>
                <w:color w:val="auto"/>
              </w:rPr>
            </w:pPr>
          </w:p>
        </w:tc>
        <w:tc>
          <w:tcPr>
            <w:tcW w:w="7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560" w:type="dxa"/>
            <w:vAlign w:val="bottom"/>
          </w:tcPr>
          <w:p>
            <w:pPr>
              <w:spacing w:after="0"/>
              <w:rPr>
                <w:sz w:val="20"/>
                <w:szCs w:val="20"/>
                <w:color w:val="auto"/>
              </w:rPr>
            </w:pPr>
            <w:r>
              <w:rPr>
                <w:rFonts w:ascii="Arial" w:cs="Arial" w:eastAsia="Arial" w:hAnsi="Arial"/>
                <w:sz w:val="21"/>
                <w:szCs w:val="21"/>
                <w:color w:val="auto"/>
                <w:w w:val="97"/>
              </w:rPr>
              <w:t>SECTION 11.18.</w:t>
            </w:r>
          </w:p>
        </w:tc>
        <w:tc>
          <w:tcPr>
            <w:tcW w:w="3760" w:type="dxa"/>
            <w:vAlign w:val="bottom"/>
            <w:gridSpan w:val="20"/>
          </w:tcPr>
          <w:p>
            <w:pPr>
              <w:ind w:left="100"/>
              <w:spacing w:after="0"/>
              <w:rPr>
                <w:sz w:val="20"/>
                <w:szCs w:val="20"/>
                <w:color w:val="auto"/>
              </w:rPr>
            </w:pPr>
            <w:r>
              <w:rPr>
                <w:rFonts w:ascii="Arial" w:cs="Arial" w:eastAsia="Arial" w:hAnsi="Arial"/>
                <w:sz w:val="21"/>
                <w:szCs w:val="21"/>
                <w:color w:val="auto"/>
                <w:w w:val="99"/>
              </w:rPr>
              <w:t>No Advisory or Fiduciary Responsibility</w:t>
            </w:r>
          </w:p>
        </w:tc>
        <w:tc>
          <w:tcPr>
            <w:tcW w:w="320" w:type="dxa"/>
            <w:vAlign w:val="bottom"/>
            <w:gridSpan w:val="3"/>
            <w:vMerge w:val="continue"/>
          </w:tcPr>
          <w:p>
            <w:pPr>
              <w:spacing w:after="0"/>
              <w:rPr>
                <w:sz w:val="24"/>
                <w:szCs w:val="24"/>
                <w:color w:val="auto"/>
              </w:rPr>
            </w:pPr>
          </w:p>
        </w:tc>
        <w:tc>
          <w:tcPr>
            <w:tcW w:w="340" w:type="dxa"/>
            <w:vAlign w:val="bottom"/>
            <w:gridSpan w:val="4"/>
            <w:vMerge w:val="continue"/>
          </w:tcPr>
          <w:p>
            <w:pPr>
              <w:spacing w:after="0"/>
              <w:rPr>
                <w:sz w:val="24"/>
                <w:szCs w:val="24"/>
                <w:color w:val="auto"/>
              </w:rPr>
            </w:pPr>
          </w:p>
        </w:tc>
        <w:tc>
          <w:tcPr>
            <w:tcW w:w="110" w:type="dxa"/>
            <w:vAlign w:val="bottom"/>
          </w:tcPr>
          <w:p>
            <w:pPr>
              <w:spacing w:after="0"/>
              <w:rPr>
                <w:sz w:val="24"/>
                <w:szCs w:val="24"/>
                <w:color w:val="auto"/>
              </w:rPr>
            </w:pPr>
          </w:p>
        </w:tc>
        <w:tc>
          <w:tcPr>
            <w:tcW w:w="7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vMerge w:val="restart"/>
          </w:tcPr>
          <w:p>
            <w:pPr>
              <w:jc w:val="right"/>
              <w:spacing w:after="0"/>
              <w:rPr>
                <w:sz w:val="20"/>
                <w:szCs w:val="20"/>
                <w:color w:val="auto"/>
              </w:rPr>
            </w:pPr>
            <w:r>
              <w:rPr>
                <w:rFonts w:ascii="Arial" w:cs="Arial" w:eastAsia="Arial" w:hAnsi="Arial"/>
                <w:sz w:val="21"/>
                <w:szCs w:val="21"/>
                <w:b w:val="1"/>
                <w:bCs w:val="1"/>
                <w:color w:val="FF0000"/>
                <w:strike w:val="1"/>
                <w:w w:val="85"/>
              </w:rPr>
              <w:t>149</w:t>
            </w:r>
          </w:p>
        </w:tc>
        <w:tc>
          <w:tcPr>
            <w:tcW w:w="300" w:type="dxa"/>
            <w:vAlign w:val="bottom"/>
            <w:vMerge w:val="restart"/>
          </w:tcPr>
          <w:p>
            <w:pPr>
              <w:jc w:val="right"/>
              <w:spacing w:after="0"/>
              <w:rPr>
                <w:sz w:val="20"/>
                <w:szCs w:val="20"/>
                <w:color w:val="auto"/>
              </w:rPr>
            </w:pPr>
            <w:r>
              <w:rPr>
                <w:rFonts w:ascii="Arial" w:cs="Arial" w:eastAsia="Arial" w:hAnsi="Arial"/>
                <w:sz w:val="21"/>
                <w:szCs w:val="21"/>
                <w:b w:val="1"/>
                <w:bCs w:val="1"/>
                <w:color w:val="0000FF"/>
                <w:w w:val="79"/>
              </w:rPr>
              <w:t>151</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1560" w:type="dxa"/>
            <w:vAlign w:val="bottom"/>
          </w:tcPr>
          <w:p>
            <w:pPr>
              <w:spacing w:after="0"/>
              <w:rPr>
                <w:sz w:val="20"/>
                <w:szCs w:val="20"/>
                <w:color w:val="auto"/>
              </w:rPr>
            </w:pPr>
            <w:r>
              <w:rPr>
                <w:rFonts w:ascii="Arial" w:cs="Arial" w:eastAsia="Arial" w:hAnsi="Arial"/>
                <w:sz w:val="21"/>
                <w:szCs w:val="21"/>
                <w:color w:val="auto"/>
                <w:w w:val="97"/>
              </w:rPr>
              <w:t>SECTION 11.19.</w:t>
            </w:r>
          </w:p>
        </w:tc>
        <w:tc>
          <w:tcPr>
            <w:tcW w:w="6760" w:type="dxa"/>
            <w:vAlign w:val="bottom"/>
            <w:gridSpan w:val="41"/>
          </w:tcPr>
          <w:p>
            <w:pPr>
              <w:ind w:left="100"/>
              <w:spacing w:after="0"/>
              <w:rPr>
                <w:sz w:val="20"/>
                <w:szCs w:val="20"/>
                <w:color w:val="auto"/>
              </w:rPr>
            </w:pPr>
            <w:r>
              <w:rPr>
                <w:rFonts w:ascii="Arial" w:cs="Arial" w:eastAsia="Arial" w:hAnsi="Arial"/>
                <w:sz w:val="21"/>
                <w:szCs w:val="21"/>
                <w:color w:val="auto"/>
                <w:w w:val="96"/>
              </w:rPr>
              <w:t>Acknowledgement and Consent of Bail-In of Affected Financial Institutions</w:t>
            </w:r>
          </w:p>
        </w:tc>
        <w:tc>
          <w:tcPr>
            <w:tcW w:w="320" w:type="dxa"/>
            <w:vAlign w:val="bottom"/>
            <w:vMerge w:val="continue"/>
          </w:tcPr>
          <w:p>
            <w:pPr>
              <w:spacing w:after="0"/>
              <w:rPr>
                <w:sz w:val="24"/>
                <w:szCs w:val="24"/>
                <w:color w:val="auto"/>
              </w:rPr>
            </w:pPr>
          </w:p>
        </w:tc>
        <w:tc>
          <w:tcPr>
            <w:tcW w:w="300" w:type="dxa"/>
            <w:vAlign w:val="bottom"/>
            <w:tcBorders>
              <w:bottom w:val="single" w:sz="8" w:color="0000FF"/>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560" w:type="dxa"/>
            <w:vAlign w:val="bottom"/>
          </w:tcPr>
          <w:p>
            <w:pPr>
              <w:spacing w:after="0"/>
              <w:rPr>
                <w:sz w:val="20"/>
                <w:szCs w:val="20"/>
                <w:color w:val="auto"/>
              </w:rPr>
            </w:pPr>
            <w:r>
              <w:rPr>
                <w:rFonts w:ascii="Arial" w:cs="Arial" w:eastAsia="Arial" w:hAnsi="Arial"/>
                <w:sz w:val="21"/>
                <w:szCs w:val="21"/>
                <w:color w:val="auto"/>
                <w:w w:val="97"/>
              </w:rPr>
              <w:t>SECTION 11.20.</w:t>
            </w:r>
          </w:p>
        </w:tc>
        <w:tc>
          <w:tcPr>
            <w:tcW w:w="4530" w:type="dxa"/>
            <w:vAlign w:val="bottom"/>
            <w:gridSpan w:val="28"/>
          </w:tcPr>
          <w:p>
            <w:pPr>
              <w:ind w:left="100"/>
              <w:spacing w:after="0"/>
              <w:rPr>
                <w:sz w:val="20"/>
                <w:szCs w:val="20"/>
                <w:color w:val="auto"/>
              </w:rPr>
            </w:pPr>
            <w:r>
              <w:rPr>
                <w:rFonts w:ascii="Arial" w:cs="Arial" w:eastAsia="Arial" w:hAnsi="Arial"/>
                <w:sz w:val="21"/>
                <w:szCs w:val="21"/>
                <w:color w:val="auto"/>
                <w:w w:val="92"/>
              </w:rPr>
              <w:t>Acknowledgement Regarding Any Supported QFCs</w:t>
            </w:r>
          </w:p>
        </w:tc>
        <w:tc>
          <w:tcPr>
            <w:tcW w:w="70" w:type="dxa"/>
            <w:vAlign w:val="bottom"/>
          </w:tcPr>
          <w:p>
            <w:pPr>
              <w:spacing w:after="0"/>
              <w:rPr>
                <w:sz w:val="24"/>
                <w:szCs w:val="24"/>
                <w:color w:val="auto"/>
              </w:rPr>
            </w:pPr>
          </w:p>
        </w:tc>
        <w:tc>
          <w:tcPr>
            <w:tcW w:w="440" w:type="dxa"/>
            <w:vAlign w:val="bottom"/>
            <w:gridSpan w:val="4"/>
          </w:tcPr>
          <w:p>
            <w:pPr>
              <w:jc w:val="right"/>
              <w:spacing w:after="0"/>
              <w:rPr>
                <w:sz w:val="20"/>
                <w:szCs w:val="20"/>
                <w:color w:val="auto"/>
              </w:rPr>
            </w:pPr>
            <w:r>
              <w:rPr>
                <w:rFonts w:ascii="Arial" w:cs="Arial" w:eastAsia="Arial" w:hAnsi="Arial"/>
                <w:sz w:val="21"/>
                <w:szCs w:val="21"/>
                <w:b w:val="1"/>
                <w:bCs w:val="1"/>
                <w:color w:val="FF0000"/>
                <w:strike w:val="1"/>
              </w:rPr>
              <w:t>149</w:t>
            </w:r>
          </w:p>
        </w:tc>
        <w:tc>
          <w:tcPr>
            <w:tcW w:w="320" w:type="dxa"/>
            <w:vAlign w:val="bottom"/>
            <w:tcBorders>
              <w:bottom w:val="single" w:sz="8" w:color="0000FF"/>
            </w:tcBorders>
            <w:gridSpan w:val="4"/>
          </w:tcPr>
          <w:p>
            <w:pPr>
              <w:jc w:val="right"/>
              <w:spacing w:after="0"/>
              <w:rPr>
                <w:sz w:val="20"/>
                <w:szCs w:val="20"/>
                <w:color w:val="auto"/>
              </w:rPr>
            </w:pPr>
            <w:r>
              <w:rPr>
                <w:rFonts w:ascii="Arial" w:cs="Arial" w:eastAsia="Arial" w:hAnsi="Arial"/>
                <w:sz w:val="21"/>
                <w:szCs w:val="21"/>
                <w:b w:val="1"/>
                <w:bCs w:val="1"/>
                <w:color w:val="0000FF"/>
                <w:w w:val="85"/>
              </w:rPr>
              <w:t>151</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380"/>
        <w:spacing w:after="0"/>
        <w:rPr>
          <w:sz w:val="20"/>
          <w:szCs w:val="20"/>
          <w:color w:val="auto"/>
        </w:rPr>
      </w:pPr>
      <w:r>
        <w:rPr>
          <w:rFonts w:ascii="Arial" w:cs="Arial" w:eastAsia="Arial" w:hAnsi="Arial"/>
          <w:sz w:val="21"/>
          <w:szCs w:val="21"/>
          <w:color w:val="auto"/>
        </w:rPr>
        <w:t>vi</w:t>
      </w:r>
    </w:p>
    <w:p>
      <w:pPr>
        <w:sectPr>
          <w:pgSz w:w="11900" w:h="16838" w:orient="portrait"/>
          <w:cols w:equalWidth="0" w:num="1">
            <w:col w:w="9979"/>
          </w:cols>
          <w:pgMar w:left="480" w:top="1440" w:right="1440" w:bottom="1440" w:gutter="0" w:footer="0" w:header="0"/>
        </w:sectPr>
      </w:pPr>
    </w:p>
    <w:bookmarkStart w:id="138" w:name="page139"/>
    <w:bookmarkEnd w:id="138"/>
    <w:p>
      <w:pPr>
        <w:spacing w:after="0"/>
        <w:rPr>
          <w:sz w:val="20"/>
          <w:szCs w:val="20"/>
          <w:color w:val="auto"/>
        </w:rPr>
      </w:pPr>
      <w:r>
        <w:rPr>
          <w:rFonts w:ascii="Arial" w:cs="Arial" w:eastAsia="Arial" w:hAnsi="Arial"/>
          <w:sz w:val="21"/>
          <w:szCs w:val="21"/>
          <w:color w:val="auto"/>
        </w:rPr>
        <w:t>SCHEDULES</w:t>
      </w:r>
    </w:p>
    <w:p>
      <w:pPr>
        <w:spacing w:after="0" w:line="158" w:lineRule="exact"/>
        <w:rPr>
          <w:sz w:val="20"/>
          <w:szCs w:val="20"/>
          <w:color w:val="auto"/>
        </w:rPr>
      </w:pPr>
    </w:p>
    <w:p>
      <w:pPr>
        <w:spacing w:after="0"/>
        <w:tabs>
          <w:tab w:leader="none" w:pos="560" w:val="left"/>
        </w:tabs>
        <w:rPr>
          <w:sz w:val="20"/>
          <w:szCs w:val="20"/>
          <w:color w:val="auto"/>
        </w:rPr>
      </w:pPr>
      <w:r>
        <w:rPr>
          <w:rFonts w:ascii="Arial" w:cs="Arial" w:eastAsia="Arial" w:hAnsi="Arial"/>
          <w:sz w:val="21"/>
          <w:szCs w:val="21"/>
          <w:color w:val="auto"/>
        </w:rPr>
        <w:t>2.01</w:t>
      </w:r>
      <w:r>
        <w:rPr>
          <w:sz w:val="20"/>
          <w:szCs w:val="20"/>
          <w:color w:val="auto"/>
        </w:rPr>
        <w:tab/>
      </w:r>
      <w:r>
        <w:rPr>
          <w:rFonts w:ascii="Arial" w:cs="Arial" w:eastAsia="Arial" w:hAnsi="Arial"/>
          <w:sz w:val="19"/>
          <w:szCs w:val="19"/>
          <w:color w:val="auto"/>
        </w:rPr>
        <w:t>Commitments</w:t>
      </w:r>
    </w:p>
    <w:p>
      <w:pPr>
        <w:spacing w:after="0"/>
        <w:tabs>
          <w:tab w:leader="none" w:pos="800" w:val="left"/>
        </w:tabs>
        <w:rPr>
          <w:sz w:val="20"/>
          <w:szCs w:val="20"/>
          <w:color w:val="auto"/>
        </w:rPr>
      </w:pPr>
      <w:r>
        <w:rPr>
          <w:rFonts w:ascii="Arial" w:cs="Arial" w:eastAsia="Arial" w:hAnsi="Arial"/>
          <w:sz w:val="21"/>
          <w:szCs w:val="21"/>
          <w:color w:val="auto"/>
        </w:rPr>
        <w:t>2.04(a)</w:t>
      </w:r>
      <w:r>
        <w:rPr>
          <w:sz w:val="20"/>
          <w:szCs w:val="20"/>
          <w:color w:val="auto"/>
        </w:rPr>
        <w:tab/>
      </w:r>
      <w:r>
        <w:rPr>
          <w:rFonts w:ascii="Arial" w:cs="Arial" w:eastAsia="Arial" w:hAnsi="Arial"/>
          <w:sz w:val="19"/>
          <w:szCs w:val="19"/>
          <w:color w:val="auto"/>
        </w:rPr>
        <w:t>Letter of Credit Commitments</w:t>
      </w:r>
    </w:p>
    <w:p>
      <w:pPr>
        <w:spacing w:after="0" w:line="224" w:lineRule="auto"/>
        <w:rPr>
          <w:sz w:val="20"/>
          <w:szCs w:val="20"/>
          <w:color w:val="auto"/>
        </w:rPr>
      </w:pPr>
      <w:r>
        <w:rPr>
          <w:rFonts w:ascii="Arial" w:cs="Arial" w:eastAsia="Arial" w:hAnsi="Arial"/>
          <w:sz w:val="21"/>
          <w:szCs w:val="21"/>
          <w:color w:val="auto"/>
        </w:rPr>
        <w:t>2.04(b) Existing Letters of Credit</w:t>
      </w:r>
    </w:p>
    <w:p>
      <w:pPr>
        <w:spacing w:after="0" w:line="222" w:lineRule="auto"/>
        <w:tabs>
          <w:tab w:leader="none" w:pos="620" w:val="left"/>
        </w:tabs>
        <w:rPr>
          <w:sz w:val="20"/>
          <w:szCs w:val="20"/>
          <w:color w:val="auto"/>
        </w:rPr>
      </w:pPr>
      <w:r>
        <w:rPr>
          <w:rFonts w:ascii="Arial" w:cs="Arial" w:eastAsia="Arial" w:hAnsi="Arial"/>
          <w:sz w:val="21"/>
          <w:szCs w:val="21"/>
          <w:color w:val="auto"/>
        </w:rPr>
        <w:t>5.06</w:t>
      </w:r>
      <w:r>
        <w:rPr>
          <w:sz w:val="20"/>
          <w:szCs w:val="20"/>
          <w:color w:val="auto"/>
        </w:rPr>
        <w:tab/>
      </w:r>
      <w:r>
        <w:rPr>
          <w:rFonts w:ascii="Arial" w:cs="Arial" w:eastAsia="Arial" w:hAnsi="Arial"/>
          <w:sz w:val="20"/>
          <w:szCs w:val="20"/>
          <w:color w:val="auto"/>
        </w:rPr>
        <w:t>Litigation</w:t>
      </w:r>
    </w:p>
    <w:p>
      <w:pPr>
        <w:spacing w:after="0" w:line="235" w:lineRule="auto"/>
        <w:tabs>
          <w:tab w:leader="none" w:pos="620" w:val="left"/>
        </w:tabs>
        <w:rPr>
          <w:sz w:val="20"/>
          <w:szCs w:val="20"/>
          <w:color w:val="auto"/>
        </w:rPr>
      </w:pPr>
      <w:r>
        <w:rPr>
          <w:rFonts w:ascii="Arial" w:cs="Arial" w:eastAsia="Arial" w:hAnsi="Arial"/>
          <w:sz w:val="21"/>
          <w:szCs w:val="21"/>
          <w:color w:val="auto"/>
        </w:rPr>
        <w:t>7.01</w:t>
      </w:r>
      <w:r>
        <w:rPr>
          <w:sz w:val="20"/>
          <w:szCs w:val="20"/>
          <w:color w:val="auto"/>
        </w:rPr>
        <w:tab/>
      </w:r>
      <w:r>
        <w:rPr>
          <w:rFonts w:ascii="Arial" w:cs="Arial" w:eastAsia="Arial" w:hAnsi="Arial"/>
          <w:sz w:val="20"/>
          <w:szCs w:val="20"/>
          <w:color w:val="auto"/>
        </w:rPr>
        <w:t>Existing Liens</w:t>
      </w:r>
    </w:p>
    <w:p>
      <w:pPr>
        <w:spacing w:after="0"/>
        <w:tabs>
          <w:tab w:leader="none" w:pos="620" w:val="left"/>
        </w:tabs>
        <w:rPr>
          <w:sz w:val="20"/>
          <w:szCs w:val="20"/>
          <w:color w:val="auto"/>
        </w:rPr>
      </w:pPr>
      <w:r>
        <w:rPr>
          <w:rFonts w:ascii="Arial" w:cs="Arial" w:eastAsia="Arial" w:hAnsi="Arial"/>
          <w:sz w:val="21"/>
          <w:szCs w:val="21"/>
          <w:color w:val="auto"/>
        </w:rPr>
        <w:t>7.02</w:t>
      </w:r>
      <w:r>
        <w:rPr>
          <w:sz w:val="20"/>
          <w:szCs w:val="20"/>
          <w:color w:val="auto"/>
        </w:rPr>
        <w:tab/>
      </w:r>
      <w:r>
        <w:rPr>
          <w:rFonts w:ascii="Arial" w:cs="Arial" w:eastAsia="Arial" w:hAnsi="Arial"/>
          <w:sz w:val="19"/>
          <w:szCs w:val="19"/>
          <w:color w:val="auto"/>
        </w:rPr>
        <w:t>Existing Non-Subsidiary Guarantor Indebtedness</w:t>
      </w:r>
    </w:p>
    <w:p>
      <w:pPr>
        <w:spacing w:after="0" w:line="233" w:lineRule="auto"/>
        <w:tabs>
          <w:tab w:leader="none" w:pos="660" w:val="left"/>
        </w:tabs>
        <w:rPr>
          <w:sz w:val="20"/>
          <w:szCs w:val="20"/>
          <w:color w:val="auto"/>
        </w:rPr>
      </w:pPr>
      <w:r>
        <w:rPr>
          <w:rFonts w:ascii="Arial" w:cs="Arial" w:eastAsia="Arial" w:hAnsi="Arial"/>
          <w:sz w:val="21"/>
          <w:szCs w:val="21"/>
          <w:color w:val="auto"/>
        </w:rPr>
        <w:t>11.02</w:t>
      </w:r>
      <w:r>
        <w:rPr>
          <w:sz w:val="20"/>
          <w:szCs w:val="20"/>
          <w:color w:val="auto"/>
        </w:rPr>
        <w:tab/>
      </w:r>
      <w:r>
        <w:rPr>
          <w:rFonts w:ascii="Arial" w:cs="Arial" w:eastAsia="Arial" w:hAnsi="Arial"/>
          <w:sz w:val="19"/>
          <w:szCs w:val="19"/>
          <w:color w:val="auto"/>
        </w:rPr>
        <w:t>Certain Addresses for Notices</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EXHIBITS</w:t>
      </w:r>
    </w:p>
    <w:p>
      <w:pPr>
        <w:spacing w:after="0" w:line="191"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Form of</w:t>
      </w:r>
    </w:p>
    <w:p>
      <w:pPr>
        <w:spacing w:after="0" w:line="183" w:lineRule="exact"/>
        <w:rPr>
          <w:sz w:val="20"/>
          <w:szCs w:val="20"/>
          <w:color w:val="auto"/>
        </w:rPr>
      </w:pPr>
    </w:p>
    <w:p>
      <w:pPr>
        <w:ind w:right="7339" w:firstLine="6"/>
        <w:spacing w:after="0" w:line="226" w:lineRule="auto"/>
        <w:tabs>
          <w:tab w:leader="none" w:pos="365" w:val="left"/>
        </w:tabs>
        <w:numPr>
          <w:ilvl w:val="0"/>
          <w:numId w:val="91"/>
        </w:numPr>
        <w:rPr>
          <w:rFonts w:ascii="Arial" w:cs="Arial" w:eastAsia="Arial" w:hAnsi="Arial"/>
          <w:sz w:val="21"/>
          <w:szCs w:val="21"/>
          <w:color w:val="auto"/>
        </w:rPr>
      </w:pPr>
      <w:r>
        <w:rPr>
          <w:rFonts w:ascii="Arial" w:cs="Arial" w:eastAsia="Arial" w:hAnsi="Arial"/>
          <w:sz w:val="21"/>
          <w:szCs w:val="21"/>
          <w:color w:val="auto"/>
        </w:rPr>
        <w:t>Assignment and Assumption B-1 Bid Request</w:t>
      </w:r>
    </w:p>
    <w:p>
      <w:pPr>
        <w:spacing w:after="0" w:line="223" w:lineRule="auto"/>
        <w:rPr>
          <w:rFonts w:ascii="Arial" w:cs="Arial" w:eastAsia="Arial" w:hAnsi="Arial"/>
          <w:sz w:val="21"/>
          <w:szCs w:val="21"/>
          <w:color w:val="auto"/>
        </w:rPr>
      </w:pPr>
      <w:r>
        <w:rPr>
          <w:rFonts w:ascii="Arial" w:cs="Arial" w:eastAsia="Arial" w:hAnsi="Arial"/>
          <w:sz w:val="21"/>
          <w:szCs w:val="21"/>
          <w:color w:val="auto"/>
        </w:rPr>
        <w:t>B-2  Competitive Bid</w:t>
      </w:r>
    </w:p>
    <w:p>
      <w:pPr>
        <w:ind w:right="7719"/>
        <w:spacing w:after="0" w:line="219" w:lineRule="auto"/>
        <w:rPr>
          <w:rFonts w:ascii="Arial" w:cs="Arial" w:eastAsia="Arial" w:hAnsi="Arial"/>
          <w:sz w:val="21"/>
          <w:szCs w:val="21"/>
          <w:color w:val="auto"/>
        </w:rPr>
      </w:pPr>
      <w:r>
        <w:rPr>
          <w:rFonts w:ascii="Arial" w:cs="Arial" w:eastAsia="Arial" w:hAnsi="Arial"/>
          <w:sz w:val="21"/>
          <w:szCs w:val="21"/>
          <w:color w:val="auto"/>
        </w:rPr>
        <w:t>C Committed Loan Notice D Compliance Certificate E Note</w:t>
      </w:r>
    </w:p>
    <w:p>
      <w:pPr>
        <w:spacing w:after="0" w:line="1" w:lineRule="exact"/>
        <w:rPr>
          <w:rFonts w:ascii="Arial" w:cs="Arial" w:eastAsia="Arial" w:hAnsi="Arial"/>
          <w:sz w:val="21"/>
          <w:szCs w:val="21"/>
          <w:color w:val="auto"/>
        </w:rPr>
      </w:pPr>
    </w:p>
    <w:p>
      <w:pPr>
        <w:spacing w:after="0" w:line="223" w:lineRule="auto"/>
        <w:rPr>
          <w:rFonts w:ascii="Arial" w:cs="Arial" w:eastAsia="Arial" w:hAnsi="Arial"/>
          <w:sz w:val="21"/>
          <w:szCs w:val="21"/>
          <w:color w:val="auto"/>
        </w:rPr>
      </w:pPr>
      <w:r>
        <w:rPr>
          <w:rFonts w:ascii="Arial" w:cs="Arial" w:eastAsia="Arial" w:hAnsi="Arial"/>
          <w:sz w:val="21"/>
          <w:szCs w:val="21"/>
          <w:color w:val="auto"/>
        </w:rPr>
        <w:t>F  Prepayment Notice</w:t>
      </w:r>
    </w:p>
    <w:p>
      <w:pPr>
        <w:spacing w:after="0" w:line="210" w:lineRule="auto"/>
        <w:rPr>
          <w:rFonts w:ascii="Arial" w:cs="Arial" w:eastAsia="Arial" w:hAnsi="Arial"/>
          <w:sz w:val="21"/>
          <w:szCs w:val="21"/>
          <w:color w:val="auto"/>
        </w:rPr>
      </w:pPr>
      <w:r>
        <w:rPr>
          <w:rFonts w:ascii="Arial" w:cs="Arial" w:eastAsia="Arial" w:hAnsi="Arial"/>
          <w:sz w:val="21"/>
          <w:szCs w:val="21"/>
          <w:color w:val="auto"/>
        </w:rPr>
        <w:t>G  Guarantor Counterpart Agreement</w:t>
      </w:r>
    </w:p>
    <w:tbl>
      <w:tblPr>
        <w:tblLayout w:type="fixed"/>
        <w:tblInd w:w="0" w:type="dxa"/>
        <w:tblCellMar>
          <w:top w:w="0" w:type="dxa"/>
          <w:left w:w="0" w:type="dxa"/>
          <w:bottom w:w="0" w:type="dxa"/>
          <w:right w:w="0" w:type="dxa"/>
        </w:tblCellMar>
      </w:tblPr>
      <w:tr>
        <w:trPr>
          <w:trHeight w:val="208"/>
        </w:trPr>
        <w:tc>
          <w:tcPr>
            <w:tcW w:w="440" w:type="dxa"/>
            <w:vAlign w:val="bottom"/>
          </w:tcPr>
          <w:p>
            <w:pPr>
              <w:spacing w:after="0" w:line="208" w:lineRule="exact"/>
              <w:rPr>
                <w:sz w:val="20"/>
                <w:szCs w:val="20"/>
                <w:color w:val="auto"/>
              </w:rPr>
            </w:pPr>
            <w:r>
              <w:rPr>
                <w:rFonts w:ascii="Arial" w:cs="Arial" w:eastAsia="Arial" w:hAnsi="Arial"/>
                <w:sz w:val="21"/>
                <w:szCs w:val="21"/>
                <w:color w:val="auto"/>
              </w:rPr>
              <w:t>H-1</w:t>
            </w:r>
          </w:p>
        </w:tc>
        <w:tc>
          <w:tcPr>
            <w:tcW w:w="5880" w:type="dxa"/>
            <w:vAlign w:val="bottom"/>
          </w:tcPr>
          <w:p>
            <w:pPr>
              <w:ind w:left="100"/>
              <w:spacing w:after="0" w:line="208" w:lineRule="exact"/>
              <w:rPr>
                <w:sz w:val="20"/>
                <w:szCs w:val="20"/>
                <w:color w:val="auto"/>
              </w:rPr>
            </w:pPr>
            <w:r>
              <w:rPr>
                <w:rFonts w:ascii="Arial" w:cs="Arial" w:eastAsia="Arial" w:hAnsi="Arial"/>
                <w:sz w:val="21"/>
                <w:szCs w:val="21"/>
                <w:color w:val="auto"/>
                <w:w w:val="93"/>
              </w:rPr>
              <w:t>U.S. Tax Compliance Certificate (For Foreign Lenders that are not</w:t>
            </w:r>
          </w:p>
        </w:tc>
        <w:tc>
          <w:tcPr>
            <w:tcW w:w="1560" w:type="dxa"/>
            <w:vAlign w:val="bottom"/>
          </w:tcPr>
          <w:p>
            <w:pPr>
              <w:ind w:left="140"/>
              <w:spacing w:after="0" w:line="208" w:lineRule="exact"/>
              <w:rPr>
                <w:sz w:val="20"/>
                <w:szCs w:val="20"/>
                <w:color w:val="auto"/>
              </w:rPr>
            </w:pPr>
            <w:r>
              <w:rPr>
                <w:rFonts w:ascii="Arial" w:cs="Arial" w:eastAsia="Arial" w:hAnsi="Arial"/>
                <w:sz w:val="21"/>
                <w:szCs w:val="21"/>
                <w:color w:val="auto"/>
              </w:rPr>
              <w:t>Partnerships)</w:t>
            </w:r>
          </w:p>
        </w:tc>
      </w:tr>
      <w:tr>
        <w:trPr>
          <w:trHeight w:val="225"/>
        </w:trPr>
        <w:tc>
          <w:tcPr>
            <w:tcW w:w="440" w:type="dxa"/>
            <w:vAlign w:val="bottom"/>
          </w:tcPr>
          <w:p>
            <w:pPr>
              <w:spacing w:after="0" w:line="225" w:lineRule="exact"/>
              <w:rPr>
                <w:sz w:val="20"/>
                <w:szCs w:val="20"/>
                <w:color w:val="auto"/>
              </w:rPr>
            </w:pPr>
            <w:r>
              <w:rPr>
                <w:rFonts w:ascii="Arial" w:cs="Arial" w:eastAsia="Arial" w:hAnsi="Arial"/>
                <w:sz w:val="21"/>
                <w:szCs w:val="21"/>
                <w:color w:val="auto"/>
              </w:rPr>
              <w:t>H-2</w:t>
            </w:r>
          </w:p>
        </w:tc>
        <w:tc>
          <w:tcPr>
            <w:tcW w:w="7440" w:type="dxa"/>
            <w:vAlign w:val="bottom"/>
            <w:gridSpan w:val="2"/>
          </w:tcPr>
          <w:p>
            <w:pPr>
              <w:ind w:left="100"/>
              <w:spacing w:after="0" w:line="225" w:lineRule="exact"/>
              <w:rPr>
                <w:sz w:val="20"/>
                <w:szCs w:val="20"/>
                <w:color w:val="auto"/>
              </w:rPr>
            </w:pPr>
            <w:r>
              <w:rPr>
                <w:rFonts w:ascii="Arial" w:cs="Arial" w:eastAsia="Arial" w:hAnsi="Arial"/>
                <w:sz w:val="21"/>
                <w:szCs w:val="21"/>
                <w:color w:val="auto"/>
                <w:w w:val="92"/>
              </w:rPr>
              <w:t>U.S. Tax Compliance Certificate (For Foreign Participants that are not   Partnerships)</w:t>
            </w:r>
          </w:p>
        </w:tc>
      </w:tr>
      <w:tr>
        <w:trPr>
          <w:trHeight w:val="212"/>
        </w:trPr>
        <w:tc>
          <w:tcPr>
            <w:tcW w:w="440" w:type="dxa"/>
            <w:vAlign w:val="bottom"/>
          </w:tcPr>
          <w:p>
            <w:pPr>
              <w:spacing w:after="0" w:line="212" w:lineRule="exact"/>
              <w:rPr>
                <w:sz w:val="20"/>
                <w:szCs w:val="20"/>
                <w:color w:val="auto"/>
              </w:rPr>
            </w:pPr>
            <w:r>
              <w:rPr>
                <w:rFonts w:ascii="Arial" w:cs="Arial" w:eastAsia="Arial" w:hAnsi="Arial"/>
                <w:sz w:val="21"/>
                <w:szCs w:val="21"/>
                <w:color w:val="auto"/>
              </w:rPr>
              <w:t>H-3</w:t>
            </w:r>
          </w:p>
        </w:tc>
        <w:tc>
          <w:tcPr>
            <w:tcW w:w="5880" w:type="dxa"/>
            <w:vAlign w:val="bottom"/>
          </w:tcPr>
          <w:p>
            <w:pPr>
              <w:ind w:left="100"/>
              <w:spacing w:after="0" w:line="212" w:lineRule="exact"/>
              <w:rPr>
                <w:sz w:val="20"/>
                <w:szCs w:val="20"/>
                <w:color w:val="auto"/>
              </w:rPr>
            </w:pPr>
            <w:r>
              <w:rPr>
                <w:rFonts w:ascii="Arial" w:cs="Arial" w:eastAsia="Arial" w:hAnsi="Arial"/>
                <w:sz w:val="21"/>
                <w:szCs w:val="21"/>
                <w:color w:val="auto"/>
                <w:w w:val="94"/>
              </w:rPr>
              <w:t>U.S. Tax Compliance Certificate (For Foreign Participants that are</w:t>
            </w:r>
          </w:p>
        </w:tc>
        <w:tc>
          <w:tcPr>
            <w:tcW w:w="1560" w:type="dxa"/>
            <w:vAlign w:val="bottom"/>
          </w:tcPr>
          <w:p>
            <w:pPr>
              <w:ind w:left="120"/>
              <w:spacing w:after="0" w:line="212" w:lineRule="exact"/>
              <w:rPr>
                <w:sz w:val="20"/>
                <w:szCs w:val="20"/>
                <w:color w:val="auto"/>
              </w:rPr>
            </w:pPr>
            <w:r>
              <w:rPr>
                <w:rFonts w:ascii="Arial" w:cs="Arial" w:eastAsia="Arial" w:hAnsi="Arial"/>
                <w:sz w:val="21"/>
                <w:szCs w:val="21"/>
                <w:color w:val="auto"/>
              </w:rPr>
              <w:t>Partnerships)</w:t>
            </w:r>
          </w:p>
        </w:tc>
      </w:tr>
      <w:tr>
        <w:trPr>
          <w:trHeight w:val="271"/>
        </w:trPr>
        <w:tc>
          <w:tcPr>
            <w:tcW w:w="440" w:type="dxa"/>
            <w:vAlign w:val="bottom"/>
          </w:tcPr>
          <w:p>
            <w:pPr>
              <w:spacing w:after="0"/>
              <w:rPr>
                <w:sz w:val="20"/>
                <w:szCs w:val="20"/>
                <w:color w:val="auto"/>
              </w:rPr>
            </w:pPr>
            <w:r>
              <w:rPr>
                <w:rFonts w:ascii="Arial" w:cs="Arial" w:eastAsia="Arial" w:hAnsi="Arial"/>
                <w:sz w:val="21"/>
                <w:szCs w:val="21"/>
                <w:color w:val="auto"/>
              </w:rPr>
              <w:t>H-4</w:t>
            </w:r>
          </w:p>
        </w:tc>
        <w:tc>
          <w:tcPr>
            <w:tcW w:w="7440" w:type="dxa"/>
            <w:vAlign w:val="bottom"/>
            <w:gridSpan w:val="2"/>
          </w:tcPr>
          <w:p>
            <w:pPr>
              <w:ind w:left="160"/>
              <w:spacing w:after="0"/>
              <w:rPr>
                <w:sz w:val="20"/>
                <w:szCs w:val="20"/>
                <w:color w:val="auto"/>
              </w:rPr>
            </w:pPr>
            <w:r>
              <w:rPr>
                <w:rFonts w:ascii="Arial" w:cs="Arial" w:eastAsia="Arial" w:hAnsi="Arial"/>
                <w:sz w:val="21"/>
                <w:szCs w:val="21"/>
                <w:color w:val="auto"/>
              </w:rPr>
              <w:t>U.S. Tax Compliance Certificate (For Foreign Lenders that are Partnerships)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ind w:right="4399"/>
        <w:spacing w:after="0"/>
        <w:rPr>
          <w:sz w:val="20"/>
          <w:szCs w:val="20"/>
          <w:color w:val="auto"/>
        </w:rPr>
      </w:pPr>
      <w:r>
        <w:rPr>
          <w:rFonts w:ascii="Arial" w:cs="Arial" w:eastAsia="Arial" w:hAnsi="Arial"/>
          <w:sz w:val="21"/>
          <w:szCs w:val="21"/>
          <w:color w:val="auto"/>
        </w:rPr>
        <w:t>vii</w:t>
      </w:r>
    </w:p>
    <w:p>
      <w:pPr>
        <w:sectPr>
          <w:pgSz w:w="11900" w:h="16838" w:orient="portrait"/>
          <w:cols w:equalWidth="0" w:num="1">
            <w:col w:w="10139"/>
          </w:cols>
          <w:pgMar w:left="320" w:top="1152" w:right="1440" w:bottom="1440" w:gutter="0" w:footer="0" w:header="0"/>
        </w:sectPr>
      </w:pPr>
    </w:p>
    <w:bookmarkStart w:id="139" w:name="page140"/>
    <w:bookmarkEnd w:id="139"/>
    <w:p>
      <w:pPr>
        <w:jc w:val="both"/>
        <w:ind w:firstLine="624"/>
        <w:spacing w:after="0" w:line="225" w:lineRule="auto"/>
        <w:rPr>
          <w:sz w:val="20"/>
          <w:szCs w:val="20"/>
          <w:color w:val="auto"/>
        </w:rPr>
      </w:pPr>
      <w:r>
        <w:rPr>
          <w:rFonts w:ascii="Arial" w:cs="Arial" w:eastAsia="Arial" w:hAnsi="Arial"/>
          <w:sz w:val="21"/>
          <w:szCs w:val="21"/>
          <w:color w:val="auto"/>
        </w:rPr>
        <w:t>This REVOLVING LOAN CREDIT AND GUARANTY AGREEMENT (as amended, restated, supplemented or otherwise modified from time to time, this “</w:t>
      </w:r>
      <w:r>
        <w:rPr>
          <w:rFonts w:ascii="Arial" w:cs="Arial" w:eastAsia="Arial" w:hAnsi="Arial"/>
          <w:sz w:val="21"/>
          <w:szCs w:val="21"/>
          <w:u w:val="single" w:color="auto"/>
          <w:color w:val="auto"/>
        </w:rPr>
        <w:t>Agreement</w:t>
      </w:r>
      <w:r>
        <w:rPr>
          <w:rFonts w:ascii="Arial" w:cs="Arial" w:eastAsia="Arial" w:hAnsi="Arial"/>
          <w:sz w:val="21"/>
          <w:szCs w:val="21"/>
          <w:color w:val="auto"/>
        </w:rPr>
        <w:t>”) is entered into as of August 18, 2021, among INCYTE CORPORATION, a Delaware corporation, the GUARANTORS party hereto, the LENDERS party hereto and JPMORGAN CHASE BANK, N.A., as Administrative Agent.</w:t>
      </w:r>
    </w:p>
    <w:p>
      <w:pPr>
        <w:spacing w:after="0" w:line="154" w:lineRule="exact"/>
        <w:rPr>
          <w:sz w:val="20"/>
          <w:szCs w:val="20"/>
          <w:color w:val="auto"/>
        </w:rPr>
      </w:pPr>
    </w:p>
    <w:p>
      <w:pPr>
        <w:ind w:left="620"/>
        <w:spacing w:after="0"/>
        <w:rPr>
          <w:sz w:val="20"/>
          <w:szCs w:val="20"/>
          <w:color w:val="auto"/>
        </w:rPr>
      </w:pPr>
      <w:r>
        <w:rPr>
          <w:rFonts w:ascii="Arial" w:cs="Arial" w:eastAsia="Arial" w:hAnsi="Arial"/>
          <w:sz w:val="19"/>
          <w:szCs w:val="19"/>
          <w:color w:val="auto"/>
        </w:rPr>
        <w:t>In consideration of the mutual covenants and agreements herein contained, the parties hereto covenant and agree as follows:</w:t>
      </w:r>
    </w:p>
    <w:p>
      <w:pPr>
        <w:spacing w:after="0" w:line="206" w:lineRule="exact"/>
        <w:rPr>
          <w:sz w:val="20"/>
          <w:szCs w:val="20"/>
          <w:color w:val="auto"/>
        </w:rPr>
      </w:pPr>
    </w:p>
    <w:p>
      <w:pPr>
        <w:ind w:left="5000"/>
        <w:spacing w:after="0"/>
        <w:rPr>
          <w:sz w:val="20"/>
          <w:szCs w:val="20"/>
          <w:color w:val="auto"/>
        </w:rPr>
      </w:pPr>
      <w:r>
        <w:rPr>
          <w:rFonts w:ascii="Arial" w:cs="Arial" w:eastAsia="Arial" w:hAnsi="Arial"/>
          <w:sz w:val="21"/>
          <w:szCs w:val="21"/>
          <w:color w:val="auto"/>
        </w:rPr>
        <w:t>ARTICLE 1</w:t>
      </w:r>
    </w:p>
    <w:p>
      <w:pPr>
        <w:spacing w:after="0" w:line="183" w:lineRule="exact"/>
        <w:rPr>
          <w:sz w:val="20"/>
          <w:szCs w:val="20"/>
          <w:color w:val="auto"/>
        </w:rPr>
      </w:pPr>
    </w:p>
    <w:p>
      <w:pPr>
        <w:ind w:left="3620"/>
        <w:spacing w:after="0"/>
        <w:rPr>
          <w:sz w:val="20"/>
          <w:szCs w:val="20"/>
          <w:color w:val="auto"/>
        </w:rPr>
      </w:pPr>
      <w:r>
        <w:rPr>
          <w:rFonts w:ascii="Arial" w:cs="Arial" w:eastAsia="Arial" w:hAnsi="Arial"/>
          <w:sz w:val="21"/>
          <w:szCs w:val="21"/>
          <w:color w:val="auto"/>
        </w:rPr>
        <w:t>DEFINITIONS AND ACCOUNTING TERMS</w:t>
      </w:r>
    </w:p>
    <w:p>
      <w:pPr>
        <w:spacing w:after="0" w:line="171" w:lineRule="exact"/>
        <w:rPr>
          <w:sz w:val="20"/>
          <w:szCs w:val="20"/>
          <w:color w:val="auto"/>
        </w:rPr>
      </w:pPr>
    </w:p>
    <w:p>
      <w:pPr>
        <w:ind w:left="640"/>
        <w:spacing w:after="0"/>
        <w:tabs>
          <w:tab w:leader="none" w:pos="2560" w:val="left"/>
        </w:tabs>
        <w:rPr>
          <w:sz w:val="20"/>
          <w:szCs w:val="20"/>
          <w:color w:val="auto"/>
        </w:rPr>
      </w:pPr>
      <w:r>
        <w:rPr>
          <w:rFonts w:ascii="Arial" w:cs="Arial" w:eastAsia="Arial" w:hAnsi="Arial"/>
          <w:sz w:val="21"/>
          <w:szCs w:val="21"/>
          <w:color w:val="auto"/>
        </w:rPr>
        <w:t>SECTION 1.0a.</w:t>
      </w:r>
      <w:r>
        <w:rPr>
          <w:sz w:val="20"/>
          <w:szCs w:val="20"/>
          <w:color w:val="auto"/>
        </w:rPr>
        <w:tab/>
      </w:r>
      <w:r>
        <w:rPr>
          <w:rFonts w:ascii="Arial" w:cs="Arial" w:eastAsia="Arial" w:hAnsi="Arial"/>
          <w:sz w:val="20"/>
          <w:szCs w:val="20"/>
          <w:u w:val="single" w:color="auto"/>
          <w:color w:val="auto"/>
        </w:rPr>
        <w:t>Defined Terms</w:t>
      </w:r>
      <w:r>
        <w:rPr>
          <w:rFonts w:ascii="Arial" w:cs="Arial" w:eastAsia="Arial" w:hAnsi="Arial"/>
          <w:sz w:val="20"/>
          <w:szCs w:val="20"/>
          <w:color w:val="auto"/>
        </w:rPr>
        <w:t>. As used in this Agreement, the following terms will have the meanings set forth</w:t>
      </w:r>
    </w:p>
    <w:p>
      <w:pPr>
        <w:spacing w:after="0"/>
        <w:rPr>
          <w:sz w:val="20"/>
          <w:szCs w:val="20"/>
          <w:color w:val="auto"/>
        </w:rPr>
      </w:pPr>
      <w:r>
        <w:rPr>
          <w:rFonts w:ascii="Arial" w:cs="Arial" w:eastAsia="Arial" w:hAnsi="Arial"/>
          <w:sz w:val="21"/>
          <w:szCs w:val="21"/>
          <w:color w:val="auto"/>
        </w:rPr>
        <w:t>below:</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Absolute Rate</w:t>
      </w:r>
      <w:r>
        <w:rPr>
          <w:rFonts w:ascii="Arial" w:cs="Arial" w:eastAsia="Arial" w:hAnsi="Arial"/>
          <w:sz w:val="21"/>
          <w:szCs w:val="21"/>
          <w:color w:val="auto"/>
        </w:rPr>
        <w:t>” means a fixed rate of interest expressed in multiples of 1/100th of one basis point.</w:t>
      </w:r>
    </w:p>
    <w:p>
      <w:pPr>
        <w:spacing w:after="0" w:line="183" w:lineRule="exact"/>
        <w:rPr>
          <w:sz w:val="20"/>
          <w:szCs w:val="20"/>
          <w:color w:val="auto"/>
        </w:rPr>
      </w:pPr>
    </w:p>
    <w:p>
      <w:pPr>
        <w:jc w:val="both"/>
        <w:ind w:firstLine="624"/>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Absolute Rate Loan</w:t>
      </w:r>
      <w:r>
        <w:rPr>
          <w:rFonts w:ascii="Arial" w:cs="Arial" w:eastAsia="Arial" w:hAnsi="Arial"/>
          <w:sz w:val="21"/>
          <w:szCs w:val="21"/>
          <w:color w:val="auto"/>
        </w:rPr>
        <w:t>” means a Bid Loan that bears interest at a rate determined by reference to an Absolute Rate. Absolute Rate Loans may be denominated only in a Discretionary Alternative Currency.</w:t>
      </w:r>
    </w:p>
    <w:p>
      <w:pPr>
        <w:spacing w:after="0" w:line="155" w:lineRule="exact"/>
        <w:rPr>
          <w:sz w:val="20"/>
          <w:szCs w:val="20"/>
          <w:color w:val="auto"/>
        </w:rPr>
      </w:pPr>
    </w:p>
    <w:p>
      <w:pPr>
        <w:jc w:val="both"/>
        <w:ind w:firstLine="624"/>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Acquisition</w:t>
      </w:r>
      <w:r>
        <w:rPr>
          <w:rFonts w:ascii="Arial" w:cs="Arial" w:eastAsia="Arial" w:hAnsi="Arial"/>
          <w:sz w:val="19"/>
          <w:szCs w:val="19"/>
          <w:color w:val="auto"/>
        </w:rPr>
        <w:t>” means any acquisition (in a single acquisition or series of related acquisitions) of (a) assets comprising all or substantially all of the assets of any Person, or of all or substantially all or any significant portion of a business or operating unit of a business, division, product line (including rights in respect of any drug candidate, drug or other pharmaceutical product) or line of business of any Person, or (b) Equity Interests of a Person if, as a result thereof, such Person becomes a Subsidiary.</w:t>
      </w:r>
    </w:p>
    <w:p>
      <w:pPr>
        <w:spacing w:after="0" w:line="142" w:lineRule="exact"/>
        <w:rPr>
          <w:sz w:val="20"/>
          <w:szCs w:val="20"/>
          <w:color w:val="auto"/>
        </w:rPr>
      </w:pPr>
    </w:p>
    <w:p>
      <w:pPr>
        <w:jc w:val="both"/>
        <w:ind w:firstLine="624"/>
        <w:spacing w:after="0" w:line="238"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Acquisition Indebtedness</w:t>
      </w:r>
      <w:r>
        <w:rPr>
          <w:rFonts w:ascii="Arial" w:cs="Arial" w:eastAsia="Arial" w:hAnsi="Arial"/>
          <w:sz w:val="19"/>
          <w:szCs w:val="19"/>
          <w:color w:val="auto"/>
        </w:rPr>
        <w:t xml:space="preserve">” means any Indebtedness of the Borrower or any of its Subsidiaries that has been issued for the purpose of financing, in whole or in part, an Acquisition and any related transactions (including for the purpose of refinancing or replacing all or a portion of any related bridge facilities or any pre-existing Indebtedness of the Person or assets to be acquired);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the release of the proceeds thereof to Borrower and its Subsidiaries is contingent upon the substantially simultaneous consummation of such Acquisition (and, if the definitive agreement for such Acquisition is terminated in accordance with its terms prior to the consummation of such Acquisition or if such Acquisition is otherwise not consummated by the date specified in the definitive documentation relating to such Indebtedness, such proceeds shall be promptly applied to satisfy and discharge all obligations of the Borrower and its Subsidiaries in respect of such Indebtedness) or (b) such Indebtedness contains a “special mandatory redemption” provision (or other similar provision) if such Acquisition is not consummated by the date specified in the definitive documentation relating to such Indebtedness (and if the definitive agreement for such Acquisition is terminated in accordance with its terms prior to the consummation of such Acquisition or such Acquisition is otherwise not consummated by the date specified in the definitive documentation relating to such Indebtedness,</w:t>
      </w:r>
    </w:p>
    <w:p>
      <w:pPr>
        <w:sectPr>
          <w:pgSz w:w="11900" w:h="16838" w:orient="portrait"/>
          <w:cols w:equalWidth="0" w:num="1">
            <w:col w:w="11240"/>
          </w:cols>
          <w:pgMar w:left="320" w:top="1152" w:right="339" w:bottom="1440" w:gutter="0" w:footer="0" w:header="0"/>
        </w:sectPr>
      </w:pPr>
    </w:p>
    <w:bookmarkStart w:id="140" w:name="page141"/>
    <w:bookmarkEnd w:id="140"/>
    <w:p>
      <w:pPr>
        <w:spacing w:after="0"/>
        <w:rPr>
          <w:sz w:val="20"/>
          <w:szCs w:val="20"/>
          <w:color w:val="auto"/>
        </w:rPr>
      </w:pPr>
      <w:r>
        <w:rPr>
          <w:rFonts w:ascii="Arial" w:cs="Arial" w:eastAsia="Arial" w:hAnsi="Arial"/>
          <w:sz w:val="21"/>
          <w:szCs w:val="21"/>
          <w:color w:val="auto"/>
        </w:rPr>
        <w:t>such Indebtedness is so redeemed within 90 days of such termination or such specified date, as the case may be).</w:t>
      </w:r>
    </w:p>
    <w:p>
      <w:pPr>
        <w:spacing w:after="0" w:line="203" w:lineRule="exact"/>
        <w:rPr>
          <w:sz w:val="20"/>
          <w:szCs w:val="20"/>
          <w:color w:val="auto"/>
        </w:rPr>
      </w:pPr>
    </w:p>
    <w:p>
      <w:pPr>
        <w:jc w:val="both"/>
        <w:ind w:firstLine="624"/>
        <w:spacing w:after="0" w:line="232" w:lineRule="auto"/>
        <w:rPr>
          <w:sz w:val="20"/>
          <w:szCs w:val="20"/>
          <w:color w:val="auto"/>
        </w:rPr>
      </w:pPr>
      <w:r>
        <w:rPr>
          <w:rFonts w:ascii="Arial" w:cs="Arial" w:eastAsia="Arial" w:hAnsi="Arial"/>
          <w:sz w:val="21"/>
          <w:szCs w:val="21"/>
          <w:b w:val="1"/>
          <w:bCs w:val="1"/>
          <w:u w:val="single" w:color="auto"/>
          <w:color w:val="0000FF"/>
        </w:rPr>
        <w:t>“Adjusted Daily Simple SOFR” means an interest rate per annum equal to (a) the Daily Simple SOFR, plus (b) 0.10%; provided that if the Adjusted Daily Simple SOFR as so determined would be less than the Floor, such rate shall be deemed to be equal to the Floor for the purposes of this Agreement.</w:t>
      </w:r>
    </w:p>
    <w:p>
      <w:pPr>
        <w:spacing w:after="0" w:line="148" w:lineRule="exact"/>
        <w:rPr>
          <w:sz w:val="20"/>
          <w:szCs w:val="20"/>
          <w:color w:val="auto"/>
        </w:rPr>
      </w:pPr>
    </w:p>
    <w:p>
      <w:pPr>
        <w:jc w:val="both"/>
        <w:ind w:firstLine="624"/>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Adjusted</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FF0000"/>
          <w:strike w:val="1"/>
        </w:rPr>
        <w:t>LIBO</w:t>
      </w:r>
      <w:r>
        <w:rPr>
          <w:rFonts w:ascii="Arial" w:cs="Arial" w:eastAsia="Arial" w:hAnsi="Arial"/>
          <w:sz w:val="19"/>
          <w:szCs w:val="19"/>
          <w:b w:val="1"/>
          <w:bCs w:val="1"/>
          <w:u w:val="single" w:color="auto"/>
          <w:color w:val="0000FF"/>
        </w:rPr>
        <w:t>Term SOFR</w:t>
      </w:r>
      <w:r>
        <w:rPr>
          <w:rFonts w:ascii="Arial" w:cs="Arial" w:eastAsia="Arial" w:hAnsi="Arial"/>
          <w:sz w:val="19"/>
          <w:szCs w:val="19"/>
          <w:color w:val="auto"/>
        </w:rPr>
        <w:t xml:space="preserve"> Rate” means, </w:t>
      </w:r>
      <w:r>
        <w:rPr>
          <w:rFonts w:ascii="Arial" w:cs="Arial" w:eastAsia="Arial" w:hAnsi="Arial"/>
          <w:sz w:val="19"/>
          <w:szCs w:val="19"/>
          <w:b w:val="1"/>
          <w:bCs w:val="1"/>
          <w:color w:val="FF0000"/>
          <w:strike w:val="1"/>
        </w:rPr>
        <w:t>with respect to any Eurocurrency Rate Borrowing denominated in US</w:t>
      </w:r>
      <w:r>
        <w:rPr>
          <w:rFonts w:ascii="Arial" w:cs="Arial" w:eastAsia="Arial" w:hAnsi="Arial"/>
          <w:sz w:val="19"/>
          <w:szCs w:val="19"/>
          <w:color w:val="auto"/>
        </w:rPr>
        <w:t xml:space="preserve"> </w:t>
      </w:r>
      <w:r>
        <w:rPr>
          <w:rFonts w:ascii="Arial" w:cs="Arial" w:eastAsia="Arial" w:hAnsi="Arial"/>
          <w:sz w:val="19"/>
          <w:szCs w:val="19"/>
          <w:b w:val="1"/>
          <w:bCs w:val="1"/>
          <w:color w:val="FF0000"/>
          <w:strike w:val="1"/>
        </w:rPr>
        <w:t>Dollars</w:t>
      </w:r>
      <w:r>
        <w:rPr>
          <w:rFonts w:ascii="Arial" w:cs="Arial" w:eastAsia="Arial" w:hAnsi="Arial"/>
          <w:sz w:val="19"/>
          <w:szCs w:val="19"/>
          <w:b w:val="1"/>
          <w:bCs w:val="1"/>
          <w:color w:val="FF0000"/>
        </w:rPr>
        <w:t xml:space="preserve"> </w:t>
      </w:r>
      <w:r>
        <w:rPr>
          <w:rFonts w:ascii="Arial" w:cs="Arial" w:eastAsia="Arial" w:hAnsi="Arial"/>
          <w:sz w:val="19"/>
          <w:szCs w:val="19"/>
          <w:color w:val="000000"/>
        </w:rPr>
        <w:t>for any Interest Period, an interest rate per annum</w:t>
      </w:r>
      <w:r>
        <w:rPr>
          <w:rFonts w:ascii="Arial" w:cs="Arial" w:eastAsia="Arial" w:hAnsi="Arial"/>
          <w:sz w:val="19"/>
          <w:szCs w:val="19"/>
          <w:b w:val="1"/>
          <w:bCs w:val="1"/>
          <w:color w:val="FF0000"/>
        </w:rPr>
        <w:t xml:space="preserve"> </w:t>
      </w:r>
      <w:r>
        <w:rPr>
          <w:rFonts w:ascii="Arial" w:cs="Arial" w:eastAsia="Arial" w:hAnsi="Arial"/>
          <w:sz w:val="19"/>
          <w:szCs w:val="19"/>
          <w:b w:val="1"/>
          <w:bCs w:val="1"/>
          <w:color w:val="FF0000"/>
          <w:strike w:val="1"/>
        </w:rPr>
        <w:t>(rounded upwards, if necessary, to the next 1/100 of 1%)</w:t>
      </w:r>
      <w:r>
        <w:rPr>
          <w:rFonts w:ascii="Arial" w:cs="Arial" w:eastAsia="Arial" w:hAnsi="Arial"/>
          <w:sz w:val="19"/>
          <w:szCs w:val="19"/>
          <w:b w:val="1"/>
          <w:bCs w:val="1"/>
          <w:color w:val="FF0000"/>
        </w:rPr>
        <w:t xml:space="preserve"> </w:t>
      </w:r>
      <w:r>
        <w:rPr>
          <w:rFonts w:ascii="Arial" w:cs="Arial" w:eastAsia="Arial" w:hAnsi="Arial"/>
          <w:sz w:val="19"/>
          <w:szCs w:val="19"/>
          <w:color w:val="000000"/>
        </w:rPr>
        <w:t>equal to (a)</w:t>
      </w:r>
      <w:r>
        <w:rPr>
          <w:rFonts w:ascii="Arial" w:cs="Arial" w:eastAsia="Arial" w:hAnsi="Arial"/>
          <w:sz w:val="19"/>
          <w:szCs w:val="19"/>
          <w:b w:val="1"/>
          <w:bCs w:val="1"/>
          <w:color w:val="FF0000"/>
        </w:rPr>
        <w:t xml:space="preserve"> </w:t>
      </w:r>
      <w:r>
        <w:rPr>
          <w:rFonts w:ascii="Arial" w:cs="Arial" w:eastAsia="Arial" w:hAnsi="Arial"/>
          <w:sz w:val="19"/>
          <w:szCs w:val="19"/>
          <w:color w:val="000000"/>
        </w:rPr>
        <w:t xml:space="preserve">the </w:t>
      </w:r>
      <w:r>
        <w:rPr>
          <w:rFonts w:ascii="Arial" w:cs="Arial" w:eastAsia="Arial" w:hAnsi="Arial"/>
          <w:sz w:val="19"/>
          <w:szCs w:val="19"/>
          <w:b w:val="1"/>
          <w:bCs w:val="1"/>
          <w:color w:val="FF0000"/>
          <w:strike w:val="1"/>
        </w:rPr>
        <w:t>Eurocurrency</w:t>
      </w:r>
      <w:r>
        <w:rPr>
          <w:rFonts w:ascii="Arial" w:cs="Arial" w:eastAsia="Arial" w:hAnsi="Arial"/>
          <w:sz w:val="19"/>
          <w:szCs w:val="19"/>
          <w:b w:val="1"/>
          <w:bCs w:val="1"/>
          <w:u w:val="single" w:color="auto"/>
          <w:color w:val="0000FF"/>
        </w:rPr>
        <w:t>Term SOFR</w:t>
      </w:r>
      <w:r>
        <w:rPr>
          <w:rFonts w:ascii="Arial" w:cs="Arial" w:eastAsia="Arial" w:hAnsi="Arial"/>
          <w:sz w:val="19"/>
          <w:szCs w:val="19"/>
          <w:color w:val="000000"/>
        </w:rPr>
        <w:t xml:space="preserve"> Rate for </w:t>
      </w:r>
      <w:r>
        <w:rPr>
          <w:rFonts w:ascii="Arial" w:cs="Arial" w:eastAsia="Arial" w:hAnsi="Arial"/>
          <w:sz w:val="19"/>
          <w:szCs w:val="19"/>
          <w:b w:val="1"/>
          <w:bCs w:val="1"/>
          <w:color w:val="FF0000"/>
          <w:strike w:val="1"/>
        </w:rPr>
        <w:t>US Dollars for</w:t>
      </w:r>
      <w:r>
        <w:rPr>
          <w:rFonts w:ascii="Arial" w:cs="Arial" w:eastAsia="Arial" w:hAnsi="Arial"/>
          <w:sz w:val="19"/>
          <w:szCs w:val="19"/>
          <w:color w:val="000000"/>
        </w:rPr>
        <w:t xml:space="preserve"> such Interest Period </w:t>
      </w:r>
      <w:r>
        <w:rPr>
          <w:rFonts w:ascii="Arial" w:cs="Arial" w:eastAsia="Arial" w:hAnsi="Arial"/>
          <w:sz w:val="19"/>
          <w:szCs w:val="19"/>
          <w:b w:val="1"/>
          <w:bCs w:val="1"/>
          <w:color w:val="FF0000"/>
          <w:strike w:val="1"/>
        </w:rPr>
        <w:t>multiplied by (b) the Statutory Reserve Rate</w:t>
      </w:r>
      <w:r>
        <w:rPr>
          <w:rFonts w:ascii="Arial" w:cs="Arial" w:eastAsia="Arial" w:hAnsi="Arial"/>
          <w:sz w:val="19"/>
          <w:szCs w:val="19"/>
          <w:b w:val="1"/>
          <w:bCs w:val="1"/>
          <w:u w:val="single" w:color="auto"/>
          <w:color w:val="0000FF"/>
        </w:rPr>
        <w:t>, 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2064385</wp:posOffset>
            </wp:positionH>
            <wp:positionV relativeFrom="paragraph">
              <wp:posOffset>-273685</wp:posOffset>
            </wp:positionV>
            <wp:extent cx="30353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03530" cy="8255"/>
                    </a:xfrm>
                    <a:prstGeom prst="rect">
                      <a:avLst/>
                    </a:prstGeom>
                    <a:noFill/>
                  </pic:spPr>
                </pic:pic>
              </a:graphicData>
            </a:graphic>
          </wp:anchor>
        </w:drawing>
      </w:r>
    </w:p>
    <w:p>
      <w:pPr>
        <w:ind w:firstLine="6"/>
        <w:spacing w:after="0" w:line="231" w:lineRule="auto"/>
        <w:tabs>
          <w:tab w:leader="none" w:pos="319" w:val="left"/>
        </w:tabs>
        <w:numPr>
          <w:ilvl w:val="0"/>
          <w:numId w:val="92"/>
        </w:numPr>
        <w:rPr>
          <w:rFonts w:ascii="Arial" w:cs="Arial" w:eastAsia="Arial" w:hAnsi="Arial"/>
          <w:sz w:val="21"/>
          <w:szCs w:val="21"/>
          <w:b w:val="1"/>
          <w:bCs w:val="1"/>
          <w:u w:val="single" w:color="auto"/>
          <w:color w:val="0000FF"/>
        </w:rPr>
      </w:pPr>
      <w:r>
        <w:rPr>
          <w:rFonts w:ascii="Arial" w:cs="Arial" w:eastAsia="Arial" w:hAnsi="Arial"/>
          <w:sz w:val="21"/>
          <w:szCs w:val="21"/>
          <w:b w:val="1"/>
          <w:bCs w:val="1"/>
          <w:u w:val="single" w:color="auto"/>
          <w:color w:val="0000FF"/>
        </w:rPr>
        <w:t>0.10%; provided that if the Adjusted Term SOFR Rate as so determined would be less than the Floor, such rate shall be deemed to be equal to the Floor for the purposes of this Agreement</w:t>
      </w:r>
      <w:r>
        <w:rPr>
          <w:rFonts w:ascii="Arial" w:cs="Arial" w:eastAsia="Arial" w:hAnsi="Arial"/>
          <w:sz w:val="21"/>
          <w:szCs w:val="21"/>
          <w:color w:val="000000"/>
        </w:rPr>
        <w:t>.</w:t>
      </w:r>
    </w:p>
    <w:p>
      <w:pPr>
        <w:spacing w:after="0" w:line="153" w:lineRule="exact"/>
        <w:rPr>
          <w:sz w:val="20"/>
          <w:szCs w:val="20"/>
          <w:color w:val="auto"/>
        </w:rPr>
      </w:pPr>
    </w:p>
    <w:p>
      <w:pPr>
        <w:jc w:val="both"/>
        <w:ind w:firstLine="624"/>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means JPMCB, in its capacity as administrative agent under the Loan Documents, or any successor administrative agent. Unless the context requires otherwise, the term “Administrative Agent” shall include any Affiliate of JPMCB through which JPMCB shall perform any of its obligations in such capacity under the Loan Documents.</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Questionnaire</w:t>
      </w:r>
      <w:r>
        <w:rPr>
          <w:rFonts w:ascii="Arial" w:cs="Arial" w:eastAsia="Arial" w:hAnsi="Arial"/>
          <w:sz w:val="19"/>
          <w:szCs w:val="19"/>
          <w:color w:val="auto"/>
        </w:rPr>
        <w:t>” means an Administrative Questionnaire in a customary form supplied by the Administrative</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color w:val="auto"/>
        </w:rPr>
        <w:t>Agent.</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Affected Financial Institution</w:t>
      </w:r>
      <w:r>
        <w:rPr>
          <w:rFonts w:ascii="Arial" w:cs="Arial" w:eastAsia="Arial" w:hAnsi="Arial"/>
          <w:sz w:val="21"/>
          <w:szCs w:val="21"/>
          <w:color w:val="auto"/>
        </w:rPr>
        <w:t>” means (a) any EEA Financial Institution or (b) any UK Financial Institution.</w:t>
      </w:r>
    </w:p>
    <w:p>
      <w:pPr>
        <w:spacing w:after="0" w:line="183" w:lineRule="exact"/>
        <w:rPr>
          <w:sz w:val="20"/>
          <w:szCs w:val="20"/>
          <w:color w:val="auto"/>
        </w:rPr>
      </w:pPr>
    </w:p>
    <w:p>
      <w:pPr>
        <w:jc w:val="both"/>
        <w:ind w:firstLine="624"/>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means, with respect to any Person, another Person that, directly or indirectly through one or more intermediaries, Controls or is Controlled by or is under common Control with the Person specified.</w:t>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Agent-Related Person</w:t>
      </w:r>
      <w:r>
        <w:rPr>
          <w:rFonts w:ascii="Arial" w:cs="Arial" w:eastAsia="Arial" w:hAnsi="Arial"/>
          <w:sz w:val="21"/>
          <w:szCs w:val="21"/>
          <w:color w:val="auto"/>
        </w:rPr>
        <w:t>” has the meaning assigned to such term in Section 11.04(c).</w:t>
      </w:r>
    </w:p>
    <w:p>
      <w:pPr>
        <w:spacing w:after="0" w:line="183" w:lineRule="exact"/>
        <w:rPr>
          <w:sz w:val="20"/>
          <w:szCs w:val="20"/>
          <w:color w:val="auto"/>
        </w:rPr>
      </w:pPr>
    </w:p>
    <w:p>
      <w:pPr>
        <w:jc w:val="both"/>
        <w:ind w:firstLine="624"/>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Aggregate Commitments</w:t>
      </w:r>
      <w:r>
        <w:rPr>
          <w:rFonts w:ascii="Arial" w:cs="Arial" w:eastAsia="Arial" w:hAnsi="Arial"/>
          <w:sz w:val="21"/>
          <w:szCs w:val="21"/>
          <w:color w:val="auto"/>
        </w:rPr>
        <w:t>” means the aggregate amount of the Commitments of all the Lenders. As of the Effective Date, the Aggregate Commitments are $500,000,000.</w:t>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Agreement</w:t>
      </w:r>
      <w:r>
        <w:rPr>
          <w:rFonts w:ascii="Arial" w:cs="Arial" w:eastAsia="Arial" w:hAnsi="Arial"/>
          <w:sz w:val="21"/>
          <w:szCs w:val="21"/>
          <w:color w:val="auto"/>
        </w:rPr>
        <w:t>” has the meaning specified in the preamble hereto.</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Agreement Currency</w:t>
      </w:r>
      <w:r>
        <w:rPr>
          <w:rFonts w:ascii="Arial" w:cs="Arial" w:eastAsia="Arial" w:hAnsi="Arial"/>
          <w:sz w:val="21"/>
          <w:szCs w:val="21"/>
          <w:color w:val="auto"/>
        </w:rPr>
        <w:t xml:space="preserve">” has the meaning specified in </w:t>
      </w:r>
      <w:r>
        <w:rPr>
          <w:rFonts w:ascii="Arial" w:cs="Arial" w:eastAsia="Arial" w:hAnsi="Arial"/>
          <w:sz w:val="21"/>
          <w:szCs w:val="21"/>
          <w:u w:val="single" w:color="auto"/>
          <w:color w:val="auto"/>
        </w:rPr>
        <w:t>Section 11.17</w:t>
      </w:r>
      <w:r>
        <w:rPr>
          <w:rFonts w:ascii="Arial" w:cs="Arial" w:eastAsia="Arial" w:hAnsi="Arial"/>
          <w:sz w:val="21"/>
          <w:szCs w:val="21"/>
          <w:color w:val="auto"/>
        </w:rPr>
        <w:t>.</w:t>
      </w:r>
    </w:p>
    <w:p>
      <w:pPr>
        <w:spacing w:after="0" w:line="177" w:lineRule="exact"/>
        <w:rPr>
          <w:sz w:val="20"/>
          <w:szCs w:val="20"/>
          <w:color w:val="auto"/>
        </w:rPr>
      </w:pPr>
    </w:p>
    <w:p>
      <w:pPr>
        <w:jc w:val="both"/>
        <w:ind w:firstLine="624"/>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Alternative Currency</w:t>
      </w:r>
      <w:r>
        <w:rPr>
          <w:rFonts w:ascii="Arial" w:cs="Arial" w:eastAsia="Arial" w:hAnsi="Arial"/>
          <w:sz w:val="21"/>
          <w:szCs w:val="21"/>
          <w:color w:val="auto"/>
        </w:rPr>
        <w:t xml:space="preserve">” means each currency (other than US Dollars) that is approved in accordance with </w:t>
      </w:r>
      <w:r>
        <w:rPr>
          <w:rFonts w:ascii="Arial" w:cs="Arial" w:eastAsia="Arial" w:hAnsi="Arial"/>
          <w:sz w:val="21"/>
          <w:szCs w:val="21"/>
          <w:u w:val="single" w:color="auto"/>
          <w:color w:val="auto"/>
        </w:rPr>
        <w:t>Section 1.05</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0000FF"/>
        </w:rPr>
        <w:t>No</w:t>
      </w:r>
      <w:r>
        <w:rPr>
          <w:rFonts w:ascii="Arial" w:cs="Arial" w:eastAsia="Arial" w:hAnsi="Arial"/>
          <w:sz w:val="21"/>
          <w:szCs w:val="21"/>
          <w:color w:val="auto"/>
        </w:rPr>
        <w:t xml:space="preserve"> Loans denominated in an Alternative Currency may </w:t>
      </w:r>
      <w:r>
        <w:rPr>
          <w:rFonts w:ascii="Arial" w:cs="Arial" w:eastAsia="Arial" w:hAnsi="Arial"/>
          <w:sz w:val="21"/>
          <w:szCs w:val="21"/>
          <w:b w:val="1"/>
          <w:bCs w:val="1"/>
          <w:color w:val="FF0000"/>
          <w:strike w:val="1"/>
        </w:rPr>
        <w:t>only be Eurocurrency</w:t>
      </w:r>
      <w:r>
        <w:rPr>
          <w:rFonts w:ascii="Arial" w:cs="Arial" w:eastAsia="Arial" w:hAnsi="Arial"/>
          <w:sz w:val="21"/>
          <w:szCs w:val="21"/>
          <w:b w:val="1"/>
          <w:bCs w:val="1"/>
          <w:u w:val="single" w:color="auto"/>
          <w:color w:val="0000FF"/>
        </w:rPr>
        <w:t>be Base Rate Loans or Absolute</w:t>
      </w:r>
      <w:r>
        <w:rPr>
          <w:rFonts w:ascii="Arial" w:cs="Arial" w:eastAsia="Arial" w:hAnsi="Arial"/>
          <w:sz w:val="21"/>
          <w:szCs w:val="21"/>
          <w:color w:val="auto"/>
        </w:rPr>
        <w:t xml:space="preserve"> Rate Loans. </w:t>
      </w:r>
      <w:r>
        <w:rPr>
          <w:rFonts w:ascii="Arial" w:cs="Arial" w:eastAsia="Arial" w:hAnsi="Arial"/>
          <w:sz w:val="21"/>
          <w:szCs w:val="21"/>
          <w:b w:val="1"/>
          <w:bCs w:val="1"/>
          <w:u w:val="single" w:color="auto"/>
          <w:color w:val="0000FF"/>
        </w:rPr>
        <w:t>As of the</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0000FF"/>
        </w:rPr>
        <w:t>Amendment No. 1 Effective Date, there are no Alternative Currencies.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152" w:right="339" w:bottom="1440" w:gutter="0" w:footer="0" w:header="0"/>
        </w:sectPr>
      </w:pPr>
    </w:p>
    <w:bookmarkStart w:id="141" w:name="page142"/>
    <w:bookmarkEnd w:id="141"/>
    <w:p>
      <w:pPr>
        <w:jc w:val="both"/>
        <w:ind w:firstLine="636"/>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Alternative Currency Sublimit</w:t>
      </w:r>
      <w:r>
        <w:rPr>
          <w:rFonts w:ascii="Arial" w:cs="Arial" w:eastAsia="Arial" w:hAnsi="Arial"/>
          <w:sz w:val="21"/>
          <w:szCs w:val="21"/>
          <w:color w:val="auto"/>
        </w:rPr>
        <w:t>” means an amount equal to the lesser of the Aggregate Commitments and $25,000,000. The Alternative Currency Sublimit is part of, and not in addition to, the Aggregate Commitments.</w:t>
      </w:r>
    </w:p>
    <w:p>
      <w:pPr>
        <w:spacing w:after="0" w:line="176" w:lineRule="exact"/>
        <w:rPr>
          <w:sz w:val="20"/>
          <w:szCs w:val="20"/>
          <w:color w:val="auto"/>
        </w:rPr>
      </w:pPr>
    </w:p>
    <w:p>
      <w:pPr>
        <w:jc w:val="both"/>
        <w:ind w:firstLine="624"/>
        <w:spacing w:after="0" w:line="297" w:lineRule="auto"/>
        <w:rPr>
          <w:sz w:val="20"/>
          <w:szCs w:val="20"/>
          <w:color w:val="auto"/>
        </w:rPr>
      </w:pPr>
      <w:r>
        <w:rPr>
          <w:rFonts w:ascii="Arial" w:cs="Arial" w:eastAsia="Arial" w:hAnsi="Arial"/>
          <w:sz w:val="19"/>
          <w:szCs w:val="19"/>
          <w:b w:val="1"/>
          <w:bCs w:val="1"/>
          <w:u w:val="single" w:color="auto"/>
          <w:color w:val="0000FF"/>
        </w:rPr>
        <w:t>“Amendment No. 1” means Amendment No. 1 to this Agreement, dated as of the Amendment No. 1 Effective Date, by and among the Administrative Agent, the Borrower, the other Loan Parties party thereto and the Lenders party thereto.</w:t>
      </w:r>
    </w:p>
    <w:p>
      <w:pPr>
        <w:spacing w:after="0" w:line="95" w:lineRule="exact"/>
        <w:rPr>
          <w:sz w:val="20"/>
          <w:szCs w:val="20"/>
          <w:color w:val="auto"/>
        </w:rPr>
      </w:pPr>
    </w:p>
    <w:p>
      <w:pPr>
        <w:ind w:left="620"/>
        <w:spacing w:after="0"/>
        <w:rPr>
          <w:sz w:val="20"/>
          <w:szCs w:val="20"/>
          <w:color w:val="auto"/>
        </w:rPr>
      </w:pPr>
      <w:r>
        <w:rPr>
          <w:rFonts w:ascii="Arial" w:cs="Arial" w:eastAsia="Arial" w:hAnsi="Arial"/>
          <w:sz w:val="21"/>
          <w:szCs w:val="21"/>
          <w:b w:val="1"/>
          <w:bCs w:val="1"/>
          <w:u w:val="single" w:color="auto"/>
          <w:color w:val="0000FF"/>
        </w:rPr>
        <w:t>“Amendment No. 1 Effective Date” means May 10, 2023.</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Ancillary Document</w:t>
      </w:r>
      <w:r>
        <w:rPr>
          <w:rFonts w:ascii="Arial" w:cs="Arial" w:eastAsia="Arial" w:hAnsi="Arial"/>
          <w:sz w:val="21"/>
          <w:szCs w:val="21"/>
          <w:color w:val="auto"/>
        </w:rPr>
        <w:t xml:space="preserve">” has the meaning specified in </w:t>
      </w:r>
      <w:r>
        <w:rPr>
          <w:rFonts w:ascii="Arial" w:cs="Arial" w:eastAsia="Arial" w:hAnsi="Arial"/>
          <w:sz w:val="21"/>
          <w:szCs w:val="21"/>
          <w:u w:val="single" w:color="auto"/>
          <w:color w:val="auto"/>
        </w:rPr>
        <w:t>Section 11.10</w:t>
      </w:r>
      <w:r>
        <w:rPr>
          <w:rFonts w:ascii="Arial" w:cs="Arial" w:eastAsia="Arial" w:hAnsi="Arial"/>
          <w:sz w:val="21"/>
          <w:szCs w:val="21"/>
          <w:color w:val="auto"/>
        </w:rPr>
        <w:t>.</w:t>
      </w:r>
    </w:p>
    <w:p>
      <w:pPr>
        <w:spacing w:after="0" w:line="183" w:lineRule="exact"/>
        <w:rPr>
          <w:sz w:val="20"/>
          <w:szCs w:val="20"/>
          <w:color w:val="auto"/>
        </w:rPr>
      </w:pPr>
    </w:p>
    <w:p>
      <w:pPr>
        <w:jc w:val="both"/>
        <w:ind w:firstLine="624"/>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Anti-Corruption Laws</w:t>
      </w:r>
      <w:r>
        <w:rPr>
          <w:rFonts w:ascii="Arial" w:cs="Arial" w:eastAsia="Arial" w:hAnsi="Arial"/>
          <w:sz w:val="21"/>
          <w:szCs w:val="21"/>
          <w:color w:val="auto"/>
        </w:rPr>
        <w:t>” shall mean all laws, rules, and regulations of any jurisdiction applicable to Borrower or its Subsidiaries from time to time concerning or relating to bribery or corruption.</w:t>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Party</w:t>
      </w:r>
      <w:r>
        <w:rPr>
          <w:rFonts w:ascii="Arial" w:cs="Arial" w:eastAsia="Arial" w:hAnsi="Arial"/>
          <w:sz w:val="21"/>
          <w:szCs w:val="21"/>
          <w:color w:val="auto"/>
        </w:rPr>
        <w:t xml:space="preserve">” has the meaning assigned to it in </w:t>
      </w:r>
      <w:r>
        <w:rPr>
          <w:rFonts w:ascii="Arial" w:cs="Arial" w:eastAsia="Arial" w:hAnsi="Arial"/>
          <w:sz w:val="21"/>
          <w:szCs w:val="21"/>
          <w:u w:val="single" w:color="auto"/>
          <w:color w:val="auto"/>
        </w:rPr>
        <w:t>Section 10.03(c)</w:t>
      </w:r>
      <w:r>
        <w:rPr>
          <w:rFonts w:ascii="Arial" w:cs="Arial" w:eastAsia="Arial" w:hAnsi="Arial"/>
          <w:sz w:val="21"/>
          <w:szCs w:val="21"/>
          <w:color w:val="auto"/>
        </w:rPr>
        <w:t>.</w:t>
      </w:r>
    </w:p>
    <w:p>
      <w:pPr>
        <w:spacing w:after="0" w:line="183" w:lineRule="exact"/>
        <w:rPr>
          <w:sz w:val="20"/>
          <w:szCs w:val="20"/>
          <w:color w:val="auto"/>
        </w:rPr>
      </w:pPr>
    </w:p>
    <w:p>
      <w:pPr>
        <w:jc w:val="both"/>
        <w:ind w:firstLine="624"/>
        <w:spacing w:after="0" w:line="22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Percentage</w:t>
      </w:r>
      <w:r>
        <w:rPr>
          <w:rFonts w:ascii="Arial" w:cs="Arial" w:eastAsia="Arial" w:hAnsi="Arial"/>
          <w:sz w:val="21"/>
          <w:szCs w:val="21"/>
          <w:color w:val="auto"/>
        </w:rPr>
        <w:t xml:space="preserve">” means, subject to </w:t>
      </w:r>
      <w:r>
        <w:rPr>
          <w:rFonts w:ascii="Arial" w:cs="Arial" w:eastAsia="Arial" w:hAnsi="Arial"/>
          <w:sz w:val="21"/>
          <w:szCs w:val="21"/>
          <w:u w:val="single" w:color="auto"/>
          <w:color w:val="auto"/>
        </w:rPr>
        <w:t>Section 2.16(a)(iv)</w:t>
      </w:r>
      <w:r>
        <w:rPr>
          <w:rFonts w:ascii="Arial" w:cs="Arial" w:eastAsia="Arial" w:hAnsi="Arial"/>
          <w:sz w:val="21"/>
          <w:szCs w:val="21"/>
          <w:color w:val="auto"/>
        </w:rPr>
        <w:t>, with respect to any Lender at any time, the percentage (carried out to the ninth decimal place) of the Aggregate Commitments represented by such Lender’s Commitment at such time. If all the Commitments have terminated, then the Applicable Percentage of each Lender will be determined based on the Commitments of the Lenders most recently in effect, giving effect to any assignments and to any Lender’s status as a Defaulting Lender at the time of determination.</w:t>
      </w:r>
    </w:p>
    <w:p>
      <w:pPr>
        <w:spacing w:after="0" w:line="149" w:lineRule="exact"/>
        <w:rPr>
          <w:sz w:val="20"/>
          <w:szCs w:val="20"/>
          <w:color w:val="auto"/>
        </w:rPr>
      </w:pPr>
    </w:p>
    <w:p>
      <w:pPr>
        <w:jc w:val="both"/>
        <w:ind w:firstLine="624"/>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Rate</w:t>
      </w:r>
      <w:r>
        <w:rPr>
          <w:rFonts w:ascii="Arial" w:cs="Arial" w:eastAsia="Arial" w:hAnsi="Arial"/>
          <w:sz w:val="21"/>
          <w:szCs w:val="21"/>
          <w:color w:val="auto"/>
        </w:rPr>
        <w:t xml:space="preserve">” means, for any day with respect to Unused Commitment Fees, Letter of Credit Fees, </w:t>
      </w:r>
      <w:r>
        <w:rPr>
          <w:rFonts w:ascii="Arial" w:cs="Arial" w:eastAsia="Arial" w:hAnsi="Arial"/>
          <w:sz w:val="21"/>
          <w:szCs w:val="21"/>
          <w:b w:val="1"/>
          <w:bCs w:val="1"/>
          <w:color w:val="FF0000"/>
          <w:strike w:val="1"/>
        </w:rPr>
        <w:t>Eurocurrency</w:t>
      </w:r>
      <w:r>
        <w:rPr>
          <w:rFonts w:ascii="Arial" w:cs="Arial" w:eastAsia="Arial" w:hAnsi="Arial"/>
          <w:sz w:val="21"/>
          <w:szCs w:val="21"/>
          <w:color w:val="auto"/>
        </w:rPr>
        <w:t xml:space="preserve"> </w:t>
      </w:r>
      <w:r>
        <w:rPr>
          <w:rFonts w:ascii="Arial" w:cs="Arial" w:eastAsia="Arial" w:hAnsi="Arial"/>
          <w:sz w:val="21"/>
          <w:szCs w:val="21"/>
          <w:b w:val="1"/>
          <w:bCs w:val="1"/>
          <w:color w:val="FF0000"/>
          <w:strike w:val="1"/>
        </w:rPr>
        <w:t>Rate</w:t>
      </w:r>
      <w:r>
        <w:rPr>
          <w:rFonts w:ascii="Arial" w:cs="Arial" w:eastAsia="Arial" w:hAnsi="Arial"/>
          <w:sz w:val="21"/>
          <w:szCs w:val="21"/>
          <w:b w:val="1"/>
          <w:bCs w:val="1"/>
          <w:u w:val="single" w:color="auto"/>
          <w:color w:val="0000FF"/>
        </w:rPr>
        <w:t>Term Benchmark Loans, RFR</w:t>
      </w:r>
      <w:r>
        <w:rPr>
          <w:rFonts w:ascii="Arial" w:cs="Arial" w:eastAsia="Arial" w:hAnsi="Arial"/>
          <w:sz w:val="21"/>
          <w:szCs w:val="21"/>
          <w:b w:val="1"/>
          <w:bCs w:val="1"/>
          <w:color w:val="FF0000"/>
        </w:rPr>
        <w:t xml:space="preserve"> </w:t>
      </w:r>
      <w:r>
        <w:rPr>
          <w:rFonts w:ascii="Arial" w:cs="Arial" w:eastAsia="Arial" w:hAnsi="Arial"/>
          <w:sz w:val="21"/>
          <w:szCs w:val="21"/>
          <w:color w:val="000000"/>
        </w:rPr>
        <w:t>Loans and Base Rate Loans, the percentages per annum specified in the applicable column</w:t>
      </w:r>
      <w:r>
        <w:rPr>
          <w:rFonts w:ascii="Arial" w:cs="Arial" w:eastAsia="Arial" w:hAnsi="Arial"/>
          <w:sz w:val="21"/>
          <w:szCs w:val="21"/>
          <w:b w:val="1"/>
          <w:bCs w:val="1"/>
          <w:color w:val="FF0000"/>
        </w:rPr>
        <w:t xml:space="preserve"> </w:t>
      </w:r>
      <w:r>
        <w:rPr>
          <w:rFonts w:ascii="Arial" w:cs="Arial" w:eastAsia="Arial" w:hAnsi="Arial"/>
          <w:sz w:val="21"/>
          <w:szCs w:val="21"/>
          <w:color w:val="000000"/>
        </w:rPr>
        <w:t>below, based upon the Consolidated Leverage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152" w:right="339" w:bottom="1440" w:gutter="0" w:footer="0" w:header="0"/>
        </w:sectPr>
      </w:pPr>
    </w:p>
    <w:bookmarkStart w:id="142" w:name="page143"/>
    <w:bookmarkEnd w:id="142"/>
    <w:tbl>
      <w:tblPr>
        <w:tblLayout w:type="fixed"/>
        <w:tblInd w:w="10" w:type="dxa"/>
        <w:tblCellMar>
          <w:top w:w="0" w:type="dxa"/>
          <w:left w:w="0" w:type="dxa"/>
          <w:bottom w:w="0" w:type="dxa"/>
          <w:right w:w="0" w:type="dxa"/>
        </w:tblCellMar>
      </w:tblPr>
      <w:tr>
        <w:trPr>
          <w:trHeight w:val="291"/>
        </w:trPr>
        <w:tc>
          <w:tcPr>
            <w:tcW w:w="1360" w:type="dxa"/>
            <w:vAlign w:val="bottom"/>
            <w:tcBorders>
              <w:top w:val="single" w:sz="8" w:color="auto"/>
              <w:left w:val="single" w:sz="8" w:color="auto"/>
              <w:right w:val="single" w:sz="8" w:color="auto"/>
            </w:tcBorders>
          </w:tcPr>
          <w:p>
            <w:pPr>
              <w:spacing w:after="0"/>
              <w:rPr>
                <w:sz w:val="24"/>
                <w:szCs w:val="24"/>
                <w:color w:val="auto"/>
              </w:rPr>
            </w:pPr>
          </w:p>
        </w:tc>
        <w:tc>
          <w:tcPr>
            <w:tcW w:w="2200" w:type="dxa"/>
            <w:vAlign w:val="bottom"/>
            <w:tcBorders>
              <w:top w:val="single" w:sz="8" w:color="auto"/>
              <w:right w:val="single" w:sz="8" w:color="auto"/>
            </w:tcBorders>
          </w:tcPr>
          <w:p>
            <w:pPr>
              <w:spacing w:after="0"/>
              <w:rPr>
                <w:sz w:val="24"/>
                <w:szCs w:val="24"/>
                <w:color w:val="auto"/>
              </w:rPr>
            </w:pPr>
          </w:p>
        </w:tc>
        <w:tc>
          <w:tcPr>
            <w:tcW w:w="2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1"/>
                <w:szCs w:val="21"/>
                <w:b w:val="1"/>
                <w:bCs w:val="1"/>
                <w:color w:val="auto"/>
                <w:w w:val="88"/>
              </w:rPr>
              <w:t>Unused</w:t>
            </w:r>
          </w:p>
        </w:tc>
        <w:tc>
          <w:tcPr>
            <w:tcW w:w="1360" w:type="dxa"/>
            <w:vAlign w:val="bottom"/>
            <w:tcBorders>
              <w:top w:val="single" w:sz="8" w:color="auto"/>
              <w:right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60" w:type="dxa"/>
            <w:vAlign w:val="bottom"/>
            <w:tcBorders>
              <w:top w:val="single" w:sz="8" w:color="auto"/>
              <w:right w:val="single" w:sz="8" w:color="auto"/>
            </w:tcBorders>
          </w:tcPr>
          <w:p>
            <w:pPr>
              <w:spacing w:after="0"/>
              <w:rPr>
                <w:sz w:val="24"/>
                <w:szCs w:val="24"/>
                <w:color w:val="auto"/>
              </w:rPr>
            </w:pPr>
          </w:p>
        </w:tc>
        <w:tc>
          <w:tcPr>
            <w:tcW w:w="13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360" w:type="dxa"/>
            <w:vAlign w:val="bottom"/>
            <w:tcBorders>
              <w:left w:val="single" w:sz="8" w:color="auto"/>
              <w:right w:val="single" w:sz="8" w:color="auto"/>
            </w:tcBorders>
          </w:tcPr>
          <w:p>
            <w:pPr>
              <w:spacing w:after="0"/>
              <w:rPr>
                <w:sz w:val="19"/>
                <w:szCs w:val="19"/>
                <w:color w:val="auto"/>
              </w:rPr>
            </w:pPr>
          </w:p>
        </w:tc>
        <w:tc>
          <w:tcPr>
            <w:tcW w:w="2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1"/>
                <w:szCs w:val="21"/>
                <w:b w:val="1"/>
                <w:bCs w:val="1"/>
                <w:color w:val="auto"/>
                <w:w w:val="89"/>
              </w:rPr>
              <w:t>Consolidated Leverage</w:t>
            </w:r>
          </w:p>
        </w:tc>
        <w:tc>
          <w:tcPr>
            <w:tcW w:w="2260" w:type="dxa"/>
            <w:vAlign w:val="bottom"/>
            <w:tcBorders>
              <w:right w:val="single" w:sz="8" w:color="auto"/>
            </w:tcBorders>
          </w:tcPr>
          <w:p>
            <w:pPr>
              <w:jc w:val="center"/>
              <w:spacing w:after="0" w:line="226" w:lineRule="exact"/>
              <w:rPr>
                <w:sz w:val="20"/>
                <w:szCs w:val="20"/>
                <w:color w:val="auto"/>
              </w:rPr>
            </w:pPr>
            <w:r>
              <w:rPr>
                <w:rFonts w:ascii="Arial" w:cs="Arial" w:eastAsia="Arial" w:hAnsi="Arial"/>
                <w:sz w:val="21"/>
                <w:szCs w:val="21"/>
                <w:b w:val="1"/>
                <w:bCs w:val="1"/>
                <w:color w:val="auto"/>
                <w:w w:val="93"/>
              </w:rPr>
              <w:t>Commitment</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1"/>
                <w:szCs w:val="21"/>
                <w:b w:val="1"/>
                <w:bCs w:val="1"/>
                <w:color w:val="auto"/>
                <w:w w:val="92"/>
              </w:rPr>
              <w:t>Letter of</w:t>
            </w:r>
          </w:p>
        </w:tc>
        <w:tc>
          <w:tcPr>
            <w:tcW w:w="1980" w:type="dxa"/>
            <w:vAlign w:val="bottom"/>
            <w:gridSpan w:val="3"/>
          </w:tcPr>
          <w:p>
            <w:pPr>
              <w:ind w:left="240"/>
              <w:spacing w:after="0" w:line="226" w:lineRule="exact"/>
              <w:rPr>
                <w:sz w:val="20"/>
                <w:szCs w:val="20"/>
                <w:color w:val="auto"/>
              </w:rPr>
            </w:pPr>
            <w:r>
              <w:rPr>
                <w:rFonts w:ascii="Arial" w:cs="Arial" w:eastAsia="Arial" w:hAnsi="Arial"/>
                <w:sz w:val="21"/>
                <w:szCs w:val="21"/>
                <w:b w:val="1"/>
                <w:bCs w:val="1"/>
                <w:color w:val="FF0000"/>
                <w:strike w:val="1"/>
                <w:w w:val="91"/>
              </w:rPr>
              <w:t>Eurocurrency Rate</w:t>
            </w:r>
          </w:p>
        </w:tc>
        <w:tc>
          <w:tcPr>
            <w:tcW w:w="740" w:type="dxa"/>
            <w:vAlign w:val="bottom"/>
            <w:tcBorders>
              <w:right w:val="single" w:sz="8" w:color="auto"/>
            </w:tcBorders>
            <w:gridSpan w:val="2"/>
          </w:tcPr>
          <w:p>
            <w:pPr>
              <w:spacing w:after="0" w:line="226" w:lineRule="exact"/>
              <w:rPr>
                <w:sz w:val="20"/>
                <w:szCs w:val="20"/>
                <w:color w:val="auto"/>
              </w:rPr>
            </w:pPr>
            <w:r>
              <w:rPr>
                <w:rFonts w:ascii="Arial" w:cs="Arial" w:eastAsia="Arial" w:hAnsi="Arial"/>
                <w:sz w:val="21"/>
                <w:szCs w:val="21"/>
                <w:b w:val="1"/>
                <w:bCs w:val="1"/>
                <w:color w:val="0000FF"/>
              </w:rPr>
              <w:t>Term</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1"/>
                <w:szCs w:val="21"/>
                <w:b w:val="1"/>
                <w:bCs w:val="1"/>
                <w:color w:val="auto"/>
                <w:w w:val="88"/>
              </w:rPr>
              <w:t>Base Rate</w:t>
            </w:r>
          </w:p>
        </w:tc>
        <w:tc>
          <w:tcPr>
            <w:tcW w:w="0" w:type="dxa"/>
            <w:vAlign w:val="bottom"/>
          </w:tcPr>
          <w:p>
            <w:pPr>
              <w:spacing w:after="0"/>
              <w:rPr>
                <w:sz w:val="1"/>
                <w:szCs w:val="1"/>
                <w:color w:val="auto"/>
              </w:rPr>
            </w:pPr>
          </w:p>
        </w:tc>
      </w:tr>
      <w:tr>
        <w:trPr>
          <w:trHeight w:val="20"/>
        </w:trPr>
        <w:tc>
          <w:tcPr>
            <w:tcW w:w="1360" w:type="dxa"/>
            <w:vAlign w:val="bottom"/>
            <w:tcBorders>
              <w:left w:val="single" w:sz="8" w:color="auto"/>
              <w:right w:val="single" w:sz="8" w:color="auto"/>
            </w:tcBorders>
          </w:tcPr>
          <w:p>
            <w:pPr>
              <w:spacing w:after="0" w:line="20" w:lineRule="exact"/>
              <w:rPr>
                <w:sz w:val="1"/>
                <w:szCs w:val="1"/>
                <w:color w:val="auto"/>
              </w:rPr>
            </w:pPr>
          </w:p>
        </w:tc>
        <w:tc>
          <w:tcPr>
            <w:tcW w:w="2200" w:type="dxa"/>
            <w:vAlign w:val="bottom"/>
            <w:tcBorders>
              <w:right w:val="single" w:sz="8" w:color="auto"/>
            </w:tcBorders>
            <w:vMerge w:val="continue"/>
          </w:tcPr>
          <w:p>
            <w:pPr>
              <w:spacing w:after="0" w:line="20" w:lineRule="exact"/>
              <w:rPr>
                <w:sz w:val="1"/>
                <w:szCs w:val="1"/>
                <w:color w:val="auto"/>
              </w:rPr>
            </w:pPr>
          </w:p>
        </w:tc>
        <w:tc>
          <w:tcPr>
            <w:tcW w:w="2260" w:type="dxa"/>
            <w:vAlign w:val="bottom"/>
            <w:tcBorders>
              <w:right w:val="single" w:sz="8" w:color="auto"/>
            </w:tcBorders>
          </w:tcPr>
          <w:p>
            <w:pPr>
              <w:spacing w:after="0" w:line="20" w:lineRule="exact"/>
              <w:rPr>
                <w:sz w:val="1"/>
                <w:szCs w:val="1"/>
                <w:color w:val="auto"/>
              </w:rPr>
            </w:pPr>
          </w:p>
        </w:tc>
        <w:tc>
          <w:tcPr>
            <w:tcW w:w="1360" w:type="dxa"/>
            <w:vAlign w:val="bottom"/>
            <w:tcBorders>
              <w:right w:val="single" w:sz="8" w:color="auto"/>
            </w:tcBorders>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340" w:type="dxa"/>
            <w:vAlign w:val="bottom"/>
            <w:tcBorders>
              <w:right w:val="single" w:sz="8" w:color="auto"/>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
        </w:trPr>
        <w:tc>
          <w:tcPr>
            <w:tcW w:w="1360" w:type="dxa"/>
            <w:vAlign w:val="bottom"/>
            <w:tcBorders>
              <w:left w:val="single" w:sz="8" w:color="auto"/>
              <w:right w:val="single" w:sz="8" w:color="auto"/>
            </w:tcBorders>
          </w:tcPr>
          <w:p>
            <w:pPr>
              <w:spacing w:after="0"/>
              <w:rPr>
                <w:sz w:val="4"/>
                <w:szCs w:val="4"/>
                <w:color w:val="auto"/>
              </w:rPr>
            </w:pPr>
          </w:p>
        </w:tc>
        <w:tc>
          <w:tcPr>
            <w:tcW w:w="2200" w:type="dxa"/>
            <w:vAlign w:val="bottom"/>
            <w:tcBorders>
              <w:right w:val="single" w:sz="8" w:color="auto"/>
            </w:tcBorders>
            <w:vMerge w:val="continue"/>
          </w:tcPr>
          <w:p>
            <w:pPr>
              <w:spacing w:after="0"/>
              <w:rPr>
                <w:sz w:val="4"/>
                <w:szCs w:val="4"/>
                <w:color w:val="auto"/>
              </w:rPr>
            </w:pP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1"/>
                <w:szCs w:val="21"/>
                <w:b w:val="1"/>
                <w:bCs w:val="1"/>
                <w:color w:val="auto"/>
                <w:w w:val="83"/>
              </w:rPr>
              <w:t>Fees</w:t>
            </w:r>
          </w:p>
        </w:tc>
        <w:tc>
          <w:tcPr>
            <w:tcW w:w="1360" w:type="dxa"/>
            <w:vAlign w:val="bottom"/>
            <w:tcBorders>
              <w:right w:val="single" w:sz="8" w:color="auto"/>
            </w:tcBorders>
            <w:vMerge w:val="continue"/>
          </w:tcPr>
          <w:p>
            <w:pPr>
              <w:spacing w:after="0"/>
              <w:rPr>
                <w:sz w:val="4"/>
                <w:szCs w:val="4"/>
                <w:color w:val="auto"/>
              </w:rPr>
            </w:pPr>
          </w:p>
        </w:tc>
        <w:tc>
          <w:tcPr>
            <w:tcW w:w="260" w:type="dxa"/>
            <w:vAlign w:val="bottom"/>
          </w:tcPr>
          <w:p>
            <w:pPr>
              <w:spacing w:after="0"/>
              <w:rPr>
                <w:sz w:val="4"/>
                <w:szCs w:val="4"/>
                <w:color w:val="auto"/>
              </w:rPr>
            </w:pPr>
          </w:p>
        </w:tc>
        <w:tc>
          <w:tcPr>
            <w:tcW w:w="1560" w:type="dxa"/>
            <w:vAlign w:val="bottom"/>
            <w:vMerge w:val="restart"/>
          </w:tcPr>
          <w:p>
            <w:pPr>
              <w:jc w:val="right"/>
              <w:spacing w:after="0" w:line="232" w:lineRule="exact"/>
              <w:rPr>
                <w:sz w:val="20"/>
                <w:szCs w:val="20"/>
                <w:color w:val="auto"/>
              </w:rPr>
            </w:pPr>
            <w:r>
              <w:rPr>
                <w:rFonts w:ascii="Arial" w:cs="Arial" w:eastAsia="Arial" w:hAnsi="Arial"/>
                <w:sz w:val="21"/>
                <w:szCs w:val="21"/>
                <w:b w:val="1"/>
                <w:bCs w:val="1"/>
                <w:color w:val="0000FF"/>
                <w:w w:val="94"/>
              </w:rPr>
              <w:t>Benchmark/RFR</w:t>
            </w:r>
          </w:p>
        </w:tc>
        <w:tc>
          <w:tcPr>
            <w:tcW w:w="90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21"/>
                <w:szCs w:val="21"/>
                <w:b w:val="1"/>
                <w:bCs w:val="1"/>
                <w:color w:val="auto"/>
              </w:rPr>
              <w:t>Loans</w:t>
            </w:r>
          </w:p>
        </w:tc>
        <w:tc>
          <w:tcPr>
            <w:tcW w:w="13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1360" w:type="dxa"/>
            <w:vAlign w:val="bottom"/>
            <w:tcBorders>
              <w:left w:val="single" w:sz="8" w:color="auto"/>
              <w:right w:val="single" w:sz="8" w:color="auto"/>
            </w:tcBorders>
          </w:tcPr>
          <w:p>
            <w:pPr>
              <w:jc w:val="center"/>
              <w:spacing w:after="0" w:line="192" w:lineRule="exact"/>
              <w:rPr>
                <w:sz w:val="20"/>
                <w:szCs w:val="20"/>
                <w:color w:val="auto"/>
              </w:rPr>
            </w:pPr>
            <w:r>
              <w:rPr>
                <w:rFonts w:ascii="Arial" w:cs="Arial" w:eastAsia="Arial" w:hAnsi="Arial"/>
                <w:sz w:val="21"/>
                <w:szCs w:val="21"/>
                <w:b w:val="1"/>
                <w:bCs w:val="1"/>
                <w:color w:val="auto"/>
                <w:w w:val="91"/>
              </w:rPr>
              <w:t>Pricing Level</w:t>
            </w:r>
          </w:p>
        </w:tc>
        <w:tc>
          <w:tcPr>
            <w:tcW w:w="220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21"/>
                <w:szCs w:val="21"/>
                <w:b w:val="1"/>
                <w:bCs w:val="1"/>
                <w:color w:val="auto"/>
                <w:w w:val="91"/>
              </w:rPr>
              <w:t>Ratio</w:t>
            </w:r>
          </w:p>
        </w:tc>
        <w:tc>
          <w:tcPr>
            <w:tcW w:w="2260" w:type="dxa"/>
            <w:vAlign w:val="bottom"/>
            <w:tcBorders>
              <w:right w:val="single" w:sz="8" w:color="auto"/>
            </w:tcBorders>
            <w:vMerge w:val="continue"/>
          </w:tcPr>
          <w:p>
            <w:pPr>
              <w:spacing w:after="0"/>
              <w:rPr>
                <w:sz w:val="17"/>
                <w:szCs w:val="17"/>
                <w:color w:val="auto"/>
              </w:rPr>
            </w:pPr>
          </w:p>
        </w:tc>
        <w:tc>
          <w:tcPr>
            <w:tcW w:w="136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21"/>
                <w:szCs w:val="21"/>
                <w:b w:val="1"/>
                <w:bCs w:val="1"/>
                <w:color w:val="auto"/>
                <w:w w:val="90"/>
              </w:rPr>
              <w:t>Credit Fees</w:t>
            </w:r>
          </w:p>
        </w:tc>
        <w:tc>
          <w:tcPr>
            <w:tcW w:w="260" w:type="dxa"/>
            <w:vAlign w:val="bottom"/>
          </w:tcPr>
          <w:p>
            <w:pPr>
              <w:spacing w:after="0"/>
              <w:rPr>
                <w:sz w:val="17"/>
                <w:szCs w:val="17"/>
                <w:color w:val="auto"/>
              </w:rPr>
            </w:pPr>
          </w:p>
        </w:tc>
        <w:tc>
          <w:tcPr>
            <w:tcW w:w="1560" w:type="dxa"/>
            <w:vAlign w:val="bottom"/>
            <w:tcBorders>
              <w:bottom w:val="single" w:sz="8" w:color="0000FF"/>
            </w:tcBorders>
            <w:vMerge w:val="continue"/>
          </w:tcPr>
          <w:p>
            <w:pPr>
              <w:spacing w:after="0"/>
              <w:rPr>
                <w:sz w:val="17"/>
                <w:szCs w:val="17"/>
                <w:color w:val="auto"/>
              </w:rPr>
            </w:pPr>
          </w:p>
        </w:tc>
        <w:tc>
          <w:tcPr>
            <w:tcW w:w="900" w:type="dxa"/>
            <w:vAlign w:val="bottom"/>
            <w:tcBorders>
              <w:right w:val="single" w:sz="8" w:color="auto"/>
            </w:tcBorders>
            <w:gridSpan w:val="3"/>
            <w:vMerge w:val="continue"/>
          </w:tcPr>
          <w:p>
            <w:pPr>
              <w:spacing w:after="0"/>
              <w:rPr>
                <w:sz w:val="17"/>
                <w:szCs w:val="17"/>
                <w:color w:val="auto"/>
              </w:rPr>
            </w:pPr>
          </w:p>
        </w:tc>
        <w:tc>
          <w:tcPr>
            <w:tcW w:w="134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21"/>
                <w:szCs w:val="21"/>
                <w:b w:val="1"/>
                <w:bCs w:val="1"/>
                <w:color w:val="auto"/>
                <w:w w:val="90"/>
              </w:rPr>
              <w:t>Loans</w:t>
            </w:r>
          </w:p>
        </w:tc>
        <w:tc>
          <w:tcPr>
            <w:tcW w:w="0" w:type="dxa"/>
            <w:vAlign w:val="bottom"/>
          </w:tcPr>
          <w:p>
            <w:pPr>
              <w:spacing w:after="0"/>
              <w:rPr>
                <w:sz w:val="1"/>
                <w:szCs w:val="1"/>
                <w:color w:val="auto"/>
              </w:rPr>
            </w:pP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2200" w:type="dxa"/>
            <w:vAlign w:val="bottom"/>
            <w:tcBorders>
              <w:bottom w:val="single" w:sz="8" w:color="auto"/>
              <w:right w:val="single" w:sz="8" w:color="auto"/>
            </w:tcBorders>
          </w:tcPr>
          <w:p>
            <w:pPr>
              <w:spacing w:after="0"/>
              <w:rPr>
                <w:sz w:val="5"/>
                <w:szCs w:val="5"/>
                <w:color w:val="auto"/>
              </w:rPr>
            </w:pPr>
          </w:p>
        </w:tc>
        <w:tc>
          <w:tcPr>
            <w:tcW w:w="226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6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60" w:type="dxa"/>
            <w:vAlign w:val="bottom"/>
            <w:tcBorders>
              <w:left w:val="single" w:sz="8" w:color="auto"/>
              <w:right w:val="single" w:sz="8" w:color="auto"/>
            </w:tcBorders>
          </w:tcPr>
          <w:p>
            <w:pPr>
              <w:spacing w:after="0"/>
              <w:rPr>
                <w:sz w:val="24"/>
                <w:szCs w:val="24"/>
                <w:color w:val="auto"/>
              </w:rPr>
            </w:pP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w w:val="89"/>
              </w:rPr>
              <w:t>Less than or equal to</w:t>
            </w:r>
          </w:p>
        </w:tc>
        <w:tc>
          <w:tcPr>
            <w:tcW w:w="226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1"/>
                <w:szCs w:val="21"/>
                <w:color w:val="auto"/>
              </w:rPr>
              <w:t>I</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w w:val="93"/>
              </w:rPr>
              <w:t>1:00 to 1:00</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w w:val="92"/>
              </w:rPr>
              <w:t>0.150%</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w w:val="92"/>
              </w:rPr>
              <w:t>1.125%</w:t>
            </w:r>
          </w:p>
        </w:tc>
        <w:tc>
          <w:tcPr>
            <w:tcW w:w="1820" w:type="dxa"/>
            <w:vAlign w:val="bottom"/>
            <w:gridSpan w:val="2"/>
          </w:tcPr>
          <w:p>
            <w:pPr>
              <w:jc w:val="right"/>
              <w:ind w:right="34"/>
              <w:spacing w:after="0"/>
              <w:rPr>
                <w:sz w:val="20"/>
                <w:szCs w:val="20"/>
                <w:color w:val="auto"/>
              </w:rPr>
            </w:pPr>
            <w:r>
              <w:rPr>
                <w:rFonts w:ascii="Arial" w:cs="Arial" w:eastAsia="Arial" w:hAnsi="Arial"/>
                <w:sz w:val="21"/>
                <w:szCs w:val="21"/>
                <w:color w:val="auto"/>
              </w:rPr>
              <w:t>1.125%</w:t>
            </w: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w w:val="89"/>
              </w:rPr>
              <w:t>0.125%</w:t>
            </w:r>
          </w:p>
        </w:tc>
        <w:tc>
          <w:tcPr>
            <w:tcW w:w="0" w:type="dxa"/>
            <w:vAlign w:val="bottom"/>
          </w:tcPr>
          <w:p>
            <w:pPr>
              <w:spacing w:after="0"/>
              <w:rPr>
                <w:sz w:val="1"/>
                <w:szCs w:val="1"/>
                <w:color w:val="auto"/>
              </w:rPr>
            </w:pPr>
          </w:p>
        </w:tc>
      </w:tr>
      <w:tr>
        <w:trPr>
          <w:trHeight w:val="29"/>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360" w:type="dxa"/>
            <w:vAlign w:val="bottom"/>
            <w:tcBorders>
              <w:left w:val="single" w:sz="8" w:color="auto"/>
              <w:right w:val="single" w:sz="8" w:color="auto"/>
            </w:tcBorders>
          </w:tcPr>
          <w:p>
            <w:pPr>
              <w:spacing w:after="0"/>
              <w:rPr>
                <w:sz w:val="24"/>
                <w:szCs w:val="24"/>
                <w:color w:val="auto"/>
              </w:rPr>
            </w:pP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w w:val="90"/>
              </w:rPr>
              <w:t>Greater than 1:00 to</w:t>
            </w:r>
          </w:p>
        </w:tc>
        <w:tc>
          <w:tcPr>
            <w:tcW w:w="226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1360" w:type="dxa"/>
            <w:vAlign w:val="bottom"/>
            <w:tcBorders>
              <w:left w:val="single" w:sz="8" w:color="auto"/>
              <w:right w:val="single" w:sz="8" w:color="auto"/>
            </w:tcBorders>
          </w:tcPr>
          <w:p>
            <w:pPr>
              <w:spacing w:after="0"/>
              <w:rPr>
                <w:sz w:val="23"/>
                <w:szCs w:val="23"/>
                <w:color w:val="auto"/>
              </w:rPr>
            </w:pP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w w:val="90"/>
              </w:rPr>
              <w:t>1:00 but less than or</w:t>
            </w:r>
          </w:p>
        </w:tc>
        <w:tc>
          <w:tcPr>
            <w:tcW w:w="2260" w:type="dxa"/>
            <w:vAlign w:val="bottom"/>
            <w:tcBorders>
              <w:right w:val="single" w:sz="8" w:color="auto"/>
            </w:tcBorders>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c>
          <w:tcPr>
            <w:tcW w:w="1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1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1"/>
                <w:szCs w:val="21"/>
                <w:color w:val="auto"/>
              </w:rPr>
              <w:t>II</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w w:val="91"/>
              </w:rPr>
              <w:t>equal to 2:00 to 1.00</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w w:val="92"/>
              </w:rPr>
              <w:t>0.175%</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w w:val="92"/>
              </w:rPr>
              <w:t>1.375%</w:t>
            </w:r>
          </w:p>
        </w:tc>
        <w:tc>
          <w:tcPr>
            <w:tcW w:w="1820" w:type="dxa"/>
            <w:vAlign w:val="bottom"/>
            <w:gridSpan w:val="2"/>
          </w:tcPr>
          <w:p>
            <w:pPr>
              <w:jc w:val="right"/>
              <w:ind w:right="34"/>
              <w:spacing w:after="0"/>
              <w:rPr>
                <w:sz w:val="20"/>
                <w:szCs w:val="20"/>
                <w:color w:val="auto"/>
              </w:rPr>
            </w:pPr>
            <w:r>
              <w:rPr>
                <w:rFonts w:ascii="Arial" w:cs="Arial" w:eastAsia="Arial" w:hAnsi="Arial"/>
                <w:sz w:val="21"/>
                <w:szCs w:val="21"/>
                <w:color w:val="auto"/>
              </w:rPr>
              <w:t>1.375%</w:t>
            </w: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w w:val="89"/>
              </w:rPr>
              <w:t>0.375%</w:t>
            </w:r>
          </w:p>
        </w:tc>
        <w:tc>
          <w:tcPr>
            <w:tcW w:w="0" w:type="dxa"/>
            <w:vAlign w:val="bottom"/>
          </w:tcPr>
          <w:p>
            <w:pPr>
              <w:spacing w:after="0"/>
              <w:rPr>
                <w:sz w:val="1"/>
                <w:szCs w:val="1"/>
                <w:color w:val="auto"/>
              </w:rPr>
            </w:pPr>
          </w:p>
        </w:tc>
      </w:tr>
      <w:tr>
        <w:trPr>
          <w:trHeight w:val="29"/>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360" w:type="dxa"/>
            <w:vAlign w:val="bottom"/>
            <w:tcBorders>
              <w:left w:val="single" w:sz="8" w:color="auto"/>
              <w:right w:val="single" w:sz="8" w:color="auto"/>
            </w:tcBorders>
          </w:tcPr>
          <w:p>
            <w:pPr>
              <w:spacing w:after="0"/>
              <w:rPr>
                <w:sz w:val="24"/>
                <w:szCs w:val="24"/>
                <w:color w:val="auto"/>
              </w:rPr>
            </w:pP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w w:val="90"/>
              </w:rPr>
              <w:t>Greater than 2:00 to</w:t>
            </w:r>
          </w:p>
        </w:tc>
        <w:tc>
          <w:tcPr>
            <w:tcW w:w="226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1360" w:type="dxa"/>
            <w:vAlign w:val="bottom"/>
            <w:tcBorders>
              <w:left w:val="single" w:sz="8" w:color="auto"/>
              <w:right w:val="single" w:sz="8" w:color="auto"/>
            </w:tcBorders>
          </w:tcPr>
          <w:p>
            <w:pPr>
              <w:spacing w:after="0"/>
              <w:rPr>
                <w:sz w:val="23"/>
                <w:szCs w:val="23"/>
                <w:color w:val="auto"/>
              </w:rPr>
            </w:pP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w w:val="90"/>
              </w:rPr>
              <w:t>1:00 but less than or</w:t>
            </w:r>
          </w:p>
        </w:tc>
        <w:tc>
          <w:tcPr>
            <w:tcW w:w="2260" w:type="dxa"/>
            <w:vAlign w:val="bottom"/>
            <w:tcBorders>
              <w:right w:val="single" w:sz="8" w:color="auto"/>
            </w:tcBorders>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c>
          <w:tcPr>
            <w:tcW w:w="1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1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1"/>
                <w:szCs w:val="21"/>
                <w:color w:val="auto"/>
              </w:rPr>
              <w:t>III</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w w:val="91"/>
              </w:rPr>
              <w:t>equal to 3:00 to 1.00</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w w:val="92"/>
              </w:rPr>
              <w:t>0.200%</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w w:val="92"/>
              </w:rPr>
              <w:t>1.625%</w:t>
            </w:r>
          </w:p>
        </w:tc>
        <w:tc>
          <w:tcPr>
            <w:tcW w:w="1820" w:type="dxa"/>
            <w:vAlign w:val="bottom"/>
            <w:gridSpan w:val="2"/>
          </w:tcPr>
          <w:p>
            <w:pPr>
              <w:jc w:val="right"/>
              <w:ind w:right="34"/>
              <w:spacing w:after="0"/>
              <w:rPr>
                <w:sz w:val="20"/>
                <w:szCs w:val="20"/>
                <w:color w:val="auto"/>
              </w:rPr>
            </w:pPr>
            <w:r>
              <w:rPr>
                <w:rFonts w:ascii="Arial" w:cs="Arial" w:eastAsia="Arial" w:hAnsi="Arial"/>
                <w:sz w:val="21"/>
                <w:szCs w:val="21"/>
                <w:color w:val="auto"/>
              </w:rPr>
              <w:t>1.625%</w:t>
            </w: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w w:val="89"/>
              </w:rPr>
              <w:t>0.625%</w:t>
            </w:r>
          </w:p>
        </w:tc>
        <w:tc>
          <w:tcPr>
            <w:tcW w:w="0" w:type="dxa"/>
            <w:vAlign w:val="bottom"/>
          </w:tcPr>
          <w:p>
            <w:pPr>
              <w:spacing w:after="0"/>
              <w:rPr>
                <w:sz w:val="1"/>
                <w:szCs w:val="1"/>
                <w:color w:val="auto"/>
              </w:rPr>
            </w:pPr>
          </w:p>
        </w:tc>
      </w:tr>
      <w:tr>
        <w:trPr>
          <w:trHeight w:val="29"/>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360" w:type="dxa"/>
            <w:vAlign w:val="bottom"/>
            <w:tcBorders>
              <w:left w:val="single" w:sz="8" w:color="auto"/>
              <w:right w:val="single" w:sz="8" w:color="auto"/>
            </w:tcBorders>
          </w:tcPr>
          <w:p>
            <w:pPr>
              <w:spacing w:after="0"/>
              <w:rPr>
                <w:sz w:val="24"/>
                <w:szCs w:val="24"/>
                <w:color w:val="auto"/>
              </w:rPr>
            </w:pP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w w:val="90"/>
              </w:rPr>
              <w:t>Greater than 3:00 to</w:t>
            </w:r>
          </w:p>
        </w:tc>
        <w:tc>
          <w:tcPr>
            <w:tcW w:w="226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1"/>
                <w:szCs w:val="21"/>
                <w:color w:val="auto"/>
              </w:rPr>
              <w:t>IV</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w w:val="87"/>
              </w:rPr>
              <w:t>1:00</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w w:val="92"/>
              </w:rPr>
              <w:t>0.225%</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w w:val="92"/>
              </w:rPr>
              <w:t>1.875%</w:t>
            </w:r>
          </w:p>
        </w:tc>
        <w:tc>
          <w:tcPr>
            <w:tcW w:w="1820" w:type="dxa"/>
            <w:vAlign w:val="bottom"/>
            <w:gridSpan w:val="2"/>
          </w:tcPr>
          <w:p>
            <w:pPr>
              <w:jc w:val="right"/>
              <w:ind w:right="34"/>
              <w:spacing w:after="0"/>
              <w:rPr>
                <w:sz w:val="20"/>
                <w:szCs w:val="20"/>
                <w:color w:val="auto"/>
              </w:rPr>
            </w:pPr>
            <w:r>
              <w:rPr>
                <w:rFonts w:ascii="Arial" w:cs="Arial" w:eastAsia="Arial" w:hAnsi="Arial"/>
                <w:sz w:val="21"/>
                <w:szCs w:val="21"/>
                <w:color w:val="auto"/>
              </w:rPr>
              <w:t>1.875%</w:t>
            </w: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w w:val="89"/>
              </w:rPr>
              <w:t>0.875%</w:t>
            </w:r>
          </w:p>
        </w:tc>
        <w:tc>
          <w:tcPr>
            <w:tcW w:w="0" w:type="dxa"/>
            <w:vAlign w:val="bottom"/>
          </w:tcPr>
          <w:p>
            <w:pPr>
              <w:spacing w:after="0"/>
              <w:rPr>
                <w:sz w:val="1"/>
                <w:szCs w:val="1"/>
                <w:color w:val="auto"/>
              </w:rPr>
            </w:pPr>
          </w:p>
        </w:tc>
      </w:tr>
      <w:tr>
        <w:trPr>
          <w:trHeight w:val="29"/>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jc w:val="both"/>
        <w:ind w:firstLine="624"/>
        <w:spacing w:after="0" w:line="225" w:lineRule="auto"/>
        <w:rPr>
          <w:sz w:val="20"/>
          <w:szCs w:val="20"/>
          <w:color w:val="auto"/>
        </w:rPr>
      </w:pPr>
      <w:r>
        <w:rPr>
          <w:rFonts w:ascii="Arial" w:cs="Arial" w:eastAsia="Arial" w:hAnsi="Arial"/>
          <w:sz w:val="20"/>
          <w:szCs w:val="20"/>
          <w:color w:val="auto"/>
        </w:rPr>
        <w:t xml:space="preserve">The Applicable Rate shall be determined and adjusted quarterly on the third Business Day after the day on which the Borrower provides a Compliance Certificate of a Responsible Officer pursuant to </w:t>
      </w:r>
      <w:r>
        <w:rPr>
          <w:rFonts w:ascii="Arial" w:cs="Arial" w:eastAsia="Arial" w:hAnsi="Arial"/>
          <w:sz w:val="20"/>
          <w:szCs w:val="20"/>
          <w:u w:val="single" w:color="auto"/>
          <w:color w:val="auto"/>
        </w:rPr>
        <w:t>Sections 6.02(a)</w:t>
      </w:r>
      <w:r>
        <w:rPr>
          <w:rFonts w:ascii="Arial" w:cs="Arial" w:eastAsia="Arial" w:hAnsi="Arial"/>
          <w:sz w:val="20"/>
          <w:szCs w:val="20"/>
          <w:color w:val="auto"/>
        </w:rPr>
        <w:t>, for the most recently ended fiscal quarter (or fiscal year, as applicable) of the Borrower (each such date, a “</w:t>
      </w:r>
      <w:r>
        <w:rPr>
          <w:rFonts w:ascii="Arial" w:cs="Arial" w:eastAsia="Arial" w:hAnsi="Arial"/>
          <w:sz w:val="20"/>
          <w:szCs w:val="20"/>
          <w:u w:val="single" w:color="auto"/>
          <w:color w:val="auto"/>
        </w:rPr>
        <w:t>Calculation Date</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the Applicable Rate shall be based on Pricing Level I until the first Calculation Date occurring after the Closing Date and, thereafter the Pricing Level shall be determined by reference to the Consolidated Leverage Ratio as of the last day of the most recently ended fiscal quarter of the Borrower preceding the applicable Calculation Date and (b) if the Borrower fails to provide an Officer’s Compliance Certificate when due as required by </w:t>
      </w:r>
      <w:r>
        <w:rPr>
          <w:rFonts w:ascii="Arial" w:cs="Arial" w:eastAsia="Arial" w:hAnsi="Arial"/>
          <w:sz w:val="20"/>
          <w:szCs w:val="20"/>
          <w:u w:val="single" w:color="auto"/>
          <w:color w:val="auto"/>
        </w:rPr>
        <w:t>Section 6.02(a)</w:t>
      </w:r>
      <w:r>
        <w:rPr>
          <w:rFonts w:ascii="Arial" w:cs="Arial" w:eastAsia="Arial" w:hAnsi="Arial"/>
          <w:sz w:val="20"/>
          <w:szCs w:val="20"/>
          <w:color w:val="auto"/>
        </w:rPr>
        <w:t xml:space="preserve"> for the most recently ended fiscal quarter (or fiscal year, as applicable) of the Borrower preceding the applicable Calculation Date, then, at the option of the Administrative Agent or upon the request of the Required Lenders, the Applicable Rate from the date on which such Officer’s Compliance Certificate was required to have been delivered shall be based on Pricing Level IV until such time as such Officer’s Compliance Certificate is delivered, at which time the Pricing Level shall be determined by reference to the Consolidated Leverage Ratio as of the last day of the most recently ended fiscal quarter of the Borrower preceding such Calculation Date. The applicable Pricing Level shall be effective from one Calculation Date until the next Calculation Date. Any adjustment in the Pricing Level shall be applicable to all Credit Extensions then existing or subsequently made or issued.</w:t>
      </w:r>
    </w:p>
    <w:p>
      <w:pPr>
        <w:spacing w:after="0" w:line="162" w:lineRule="exact"/>
        <w:rPr>
          <w:sz w:val="20"/>
          <w:szCs w:val="20"/>
          <w:color w:val="auto"/>
        </w:rPr>
      </w:pPr>
    </w:p>
    <w:p>
      <w:pPr>
        <w:jc w:val="both"/>
        <w:ind w:firstLine="624"/>
        <w:spacing w:after="0" w:line="222" w:lineRule="auto"/>
        <w:rPr>
          <w:sz w:val="20"/>
          <w:szCs w:val="20"/>
          <w:color w:val="auto"/>
        </w:rPr>
      </w:pPr>
      <w:r>
        <w:rPr>
          <w:rFonts w:ascii="Arial" w:cs="Arial" w:eastAsia="Arial" w:hAnsi="Arial"/>
          <w:sz w:val="21"/>
          <w:szCs w:val="21"/>
          <w:color w:val="auto"/>
        </w:rPr>
        <w:t xml:space="preserve">Notwithstanding the foregoing, in the event that any Compliance Certificate of a Responsible Officer delivered pursuant to </w:t>
      </w:r>
      <w:r>
        <w:rPr>
          <w:rFonts w:ascii="Arial" w:cs="Arial" w:eastAsia="Arial" w:hAnsi="Arial"/>
          <w:sz w:val="21"/>
          <w:szCs w:val="21"/>
          <w:u w:val="single" w:color="auto"/>
          <w:color w:val="auto"/>
        </w:rPr>
        <w:t>Sections 6.02(a)</w:t>
      </w:r>
      <w:r>
        <w:rPr>
          <w:rFonts w:ascii="Arial" w:cs="Arial" w:eastAsia="Arial" w:hAnsi="Arial"/>
          <w:sz w:val="21"/>
          <w:szCs w:val="21"/>
          <w:color w:val="auto"/>
        </w:rPr>
        <w:t xml:space="preserve"> is shown to be inaccurate, and such inaccuracy, if corrected, would have led to the application of a higher Pricing Level for any period (an “</w:t>
      </w:r>
      <w:r>
        <w:rPr>
          <w:rFonts w:ascii="Arial" w:cs="Arial" w:eastAsia="Arial" w:hAnsi="Arial"/>
          <w:sz w:val="21"/>
          <w:szCs w:val="21"/>
          <w:u w:val="single" w:color="auto"/>
          <w:color w:val="auto"/>
        </w:rPr>
        <w:t>Applicable Period</w:t>
      </w:r>
      <w:r>
        <w:rPr>
          <w:rFonts w:ascii="Arial" w:cs="Arial" w:eastAsia="Arial" w:hAnsi="Arial"/>
          <w:sz w:val="21"/>
          <w:szCs w:val="21"/>
          <w:color w:val="auto"/>
        </w:rPr>
        <w:t>”) than the Applicable Rate applied for such Applicable Period, then the Borrower shall promptly deliver to the Administrative Agent a corrected Compliance Certificate for such Applicable Period and the Applicable Rate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193" w:right="339" w:bottom="1440" w:gutter="0" w:footer="0" w:header="0"/>
        </w:sectPr>
      </w:pPr>
    </w:p>
    <w:bookmarkStart w:id="143" w:name="page144"/>
    <w:bookmarkEnd w:id="143"/>
    <w:p>
      <w:pPr>
        <w:spacing w:after="0"/>
        <w:rPr>
          <w:sz w:val="20"/>
          <w:szCs w:val="20"/>
          <w:color w:val="auto"/>
        </w:rPr>
      </w:pPr>
      <w:r>
        <w:rPr>
          <w:rFonts w:ascii="Arial" w:cs="Arial" w:eastAsia="Arial" w:hAnsi="Arial"/>
          <w:sz w:val="20"/>
          <w:szCs w:val="20"/>
          <w:color w:val="auto"/>
        </w:rPr>
        <w:t>such period shall be the higher Pricing Level. This provision shall survive the Discharge of the Obligations for sixty (60) days.</w:t>
      </w:r>
    </w:p>
    <w:p>
      <w:pPr>
        <w:spacing w:after="0" w:line="194" w:lineRule="exact"/>
        <w:rPr>
          <w:sz w:val="20"/>
          <w:szCs w:val="20"/>
          <w:color w:val="auto"/>
        </w:rPr>
      </w:pPr>
    </w:p>
    <w:p>
      <w:pPr>
        <w:jc w:val="both"/>
        <w:ind w:firstLine="624"/>
        <w:spacing w:after="0" w:line="23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Time</w:t>
      </w:r>
      <w:r>
        <w:rPr>
          <w:rFonts w:ascii="Arial" w:cs="Arial" w:eastAsia="Arial" w:hAnsi="Arial"/>
          <w:sz w:val="21"/>
          <w:szCs w:val="21"/>
          <w:color w:val="auto"/>
        </w:rPr>
        <w:t>” means, with respect to any borrowings and payments in any Alternative Currency or Discretionary Alternative Currency, such local time in the place of settlement for such Alternative Currency or Discretionary Alternative Currency as, in each case, shall have been specified by the Administrative Agent.</w:t>
      </w:r>
    </w:p>
    <w:p>
      <w:pPr>
        <w:spacing w:after="0" w:line="15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Approved Electronic Platform</w:t>
      </w:r>
      <w:r>
        <w:rPr>
          <w:rFonts w:ascii="Arial" w:cs="Arial" w:eastAsia="Arial" w:hAnsi="Arial"/>
          <w:sz w:val="21"/>
          <w:szCs w:val="21"/>
          <w:color w:val="auto"/>
        </w:rPr>
        <w:t xml:space="preserve">” has the meaning specified in </w:t>
      </w:r>
      <w:r>
        <w:rPr>
          <w:rFonts w:ascii="Arial" w:cs="Arial" w:eastAsia="Arial" w:hAnsi="Arial"/>
          <w:sz w:val="21"/>
          <w:szCs w:val="21"/>
          <w:u w:val="single" w:color="auto"/>
          <w:color w:val="auto"/>
        </w:rPr>
        <w:t>Section 10.03(a)</w:t>
      </w:r>
      <w:r>
        <w:rPr>
          <w:rFonts w:ascii="Arial" w:cs="Arial" w:eastAsia="Arial" w:hAnsi="Arial"/>
          <w:sz w:val="21"/>
          <w:szCs w:val="21"/>
          <w:color w:val="auto"/>
        </w:rPr>
        <w:t>.</w:t>
      </w:r>
    </w:p>
    <w:p>
      <w:pPr>
        <w:spacing w:after="0" w:line="183" w:lineRule="exact"/>
        <w:rPr>
          <w:sz w:val="20"/>
          <w:szCs w:val="20"/>
          <w:color w:val="auto"/>
        </w:rPr>
      </w:pPr>
    </w:p>
    <w:p>
      <w:pPr>
        <w:jc w:val="both"/>
        <w:ind w:firstLine="624"/>
        <w:spacing w:after="0" w:line="239"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Approved Fund</w:t>
      </w:r>
      <w:r>
        <w:rPr>
          <w:rFonts w:ascii="Arial" w:cs="Arial" w:eastAsia="Arial" w:hAnsi="Arial"/>
          <w:sz w:val="21"/>
          <w:szCs w:val="21"/>
          <w:color w:val="auto"/>
        </w:rPr>
        <w:t>” means any Fund that is administered or managed by (a) a Lender, (b) an Affiliate of a Lender or (c) an entity or an Affiliate of an entity that administers or manages a Lender.</w:t>
      </w:r>
    </w:p>
    <w:p>
      <w:pPr>
        <w:spacing w:after="0" w:line="155" w:lineRule="exact"/>
        <w:rPr>
          <w:sz w:val="20"/>
          <w:szCs w:val="20"/>
          <w:color w:val="auto"/>
        </w:rPr>
      </w:pPr>
    </w:p>
    <w:p>
      <w:pPr>
        <w:jc w:val="both"/>
        <w:ind w:firstLine="624"/>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Arrangers</w:t>
      </w:r>
      <w:r>
        <w:rPr>
          <w:rFonts w:ascii="Arial" w:cs="Arial" w:eastAsia="Arial" w:hAnsi="Arial"/>
          <w:sz w:val="21"/>
          <w:szCs w:val="21"/>
          <w:color w:val="auto"/>
        </w:rPr>
        <w:t>” means JPMCB, Bank of America, N.A. and Mizuho Bank, Ltd., in their capacities as joint lead arrangers and joint bookrunners for the credit facility provided for herein.</w:t>
      </w:r>
    </w:p>
    <w:p>
      <w:pPr>
        <w:spacing w:after="0" w:line="155" w:lineRule="exact"/>
        <w:rPr>
          <w:sz w:val="20"/>
          <w:szCs w:val="20"/>
          <w:color w:val="auto"/>
        </w:rPr>
      </w:pPr>
    </w:p>
    <w:p>
      <w:pPr>
        <w:jc w:val="both"/>
        <w:ind w:firstLine="624"/>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Assignee Group</w:t>
      </w:r>
      <w:r>
        <w:rPr>
          <w:rFonts w:ascii="Arial" w:cs="Arial" w:eastAsia="Arial" w:hAnsi="Arial"/>
          <w:sz w:val="21"/>
          <w:szCs w:val="21"/>
          <w:color w:val="auto"/>
        </w:rPr>
        <w:t>” means two or more Eligible Assignees that are Affiliates of one another or two or more Approved Funds managed by the same investment advisor.</w:t>
      </w:r>
    </w:p>
    <w:p>
      <w:pPr>
        <w:spacing w:after="0" w:line="155" w:lineRule="exact"/>
        <w:rPr>
          <w:sz w:val="20"/>
          <w:szCs w:val="20"/>
          <w:color w:val="auto"/>
        </w:rPr>
      </w:pPr>
    </w:p>
    <w:p>
      <w:pPr>
        <w:jc w:val="both"/>
        <w:ind w:firstLine="624"/>
        <w:spacing w:after="0" w:line="22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Assignment and Assumption</w:t>
      </w:r>
      <w:r>
        <w:rPr>
          <w:rFonts w:ascii="Arial" w:cs="Arial" w:eastAsia="Arial" w:hAnsi="Arial"/>
          <w:sz w:val="21"/>
          <w:szCs w:val="21"/>
          <w:color w:val="auto"/>
        </w:rPr>
        <w:t xml:space="preserve">” means an assignment and assumption entered into by a Lender and an Eligible Assignee (with the consent of any party whose consent is required by </w:t>
      </w:r>
      <w:r>
        <w:rPr>
          <w:rFonts w:ascii="Arial" w:cs="Arial" w:eastAsia="Arial" w:hAnsi="Arial"/>
          <w:sz w:val="21"/>
          <w:szCs w:val="21"/>
          <w:u w:val="single" w:color="auto"/>
          <w:color w:val="auto"/>
        </w:rPr>
        <w:t>Section 11.06(b)</w:t>
      </w:r>
      <w:r>
        <w:rPr>
          <w:rFonts w:ascii="Arial" w:cs="Arial" w:eastAsia="Arial" w:hAnsi="Arial"/>
          <w:sz w:val="21"/>
          <w:szCs w:val="21"/>
          <w:color w:val="auto"/>
        </w:rPr>
        <w:t xml:space="preserve">), and accepted by the Administrative Agent, in substantially the form of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or any other form (including electronic records generated by the use of an electronic platform) approved by the Administrative Agent.</w:t>
      </w:r>
    </w:p>
    <w:p>
      <w:pPr>
        <w:spacing w:after="0" w:line="154" w:lineRule="exact"/>
        <w:rPr>
          <w:sz w:val="20"/>
          <w:szCs w:val="20"/>
          <w:color w:val="auto"/>
        </w:rPr>
      </w:pPr>
    </w:p>
    <w:p>
      <w:pPr>
        <w:jc w:val="both"/>
        <w:ind w:firstLine="624"/>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Audited Financial Statements</w:t>
      </w:r>
      <w:r>
        <w:rPr>
          <w:rFonts w:ascii="Arial" w:cs="Arial" w:eastAsia="Arial" w:hAnsi="Arial"/>
          <w:sz w:val="20"/>
          <w:szCs w:val="20"/>
          <w:color w:val="auto"/>
        </w:rPr>
        <w:t>” means the audited consolidated balance sheet of the Borrower and its Subsidiaries as of December 31, 2020, and the related consolidated statements of operations, comprehensive income / (loss), stockholders’ equity and cash flows for the fiscal year of the Borrower and its Subsidiaries then ended, including the notes thereto.</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Auto-Extension Letter of Credit</w:t>
      </w:r>
      <w:r>
        <w:rPr>
          <w:rFonts w:ascii="Arial" w:cs="Arial" w:eastAsia="Arial" w:hAnsi="Arial"/>
          <w:sz w:val="21"/>
          <w:szCs w:val="21"/>
          <w:color w:val="auto"/>
        </w:rPr>
        <w:t>” has the meaning specified in Section 2.04(b)(iii).</w:t>
      </w:r>
    </w:p>
    <w:p>
      <w:pPr>
        <w:spacing w:after="0" w:line="177" w:lineRule="exact"/>
        <w:rPr>
          <w:sz w:val="20"/>
          <w:szCs w:val="20"/>
          <w:color w:val="auto"/>
        </w:rPr>
      </w:pPr>
    </w:p>
    <w:p>
      <w:pPr>
        <w:ind w:left="620"/>
        <w:spacing w:after="0"/>
        <w:rPr>
          <w:sz w:val="20"/>
          <w:szCs w:val="20"/>
          <w:color w:val="auto"/>
        </w:rPr>
      </w:pPr>
      <w:r>
        <w:rPr>
          <w:rFonts w:ascii="Arial" w:cs="Arial" w:eastAsia="Arial" w:hAnsi="Arial"/>
          <w:sz w:val="21"/>
          <w:szCs w:val="21"/>
          <w:b w:val="1"/>
          <w:bCs w:val="1"/>
          <w:u w:val="single" w:color="auto"/>
          <w:color w:val="0000FF"/>
        </w:rPr>
        <w:t>“Available Tenor” has the meaning specified in Section 2.17(g).</w:t>
      </w:r>
    </w:p>
    <w:p>
      <w:pPr>
        <w:spacing w:after="0" w:line="189" w:lineRule="exact"/>
        <w:rPr>
          <w:sz w:val="20"/>
          <w:szCs w:val="20"/>
          <w:color w:val="auto"/>
        </w:rPr>
      </w:pPr>
    </w:p>
    <w:p>
      <w:pPr>
        <w:jc w:val="both"/>
        <w:ind w:firstLine="624"/>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Availability Period</w:t>
      </w:r>
      <w:r>
        <w:rPr>
          <w:rFonts w:ascii="Arial" w:cs="Arial" w:eastAsia="Arial" w:hAnsi="Arial"/>
          <w:sz w:val="21"/>
          <w:szCs w:val="21"/>
          <w:color w:val="auto"/>
        </w:rPr>
        <w:t xml:space="preserve">” means the period from and including the Effective Date to the earlier of the Maturity Date and the date of termination of the Aggregate Commitments pursuant to </w:t>
      </w:r>
      <w:r>
        <w:rPr>
          <w:rFonts w:ascii="Arial" w:cs="Arial" w:eastAsia="Arial" w:hAnsi="Arial"/>
          <w:sz w:val="21"/>
          <w:szCs w:val="21"/>
          <w:u w:val="single" w:color="auto"/>
          <w:color w:val="auto"/>
        </w:rPr>
        <w:t>Section 2.06</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8.02</w:t>
      </w:r>
      <w:r>
        <w:rPr>
          <w:rFonts w:ascii="Arial" w:cs="Arial" w:eastAsia="Arial" w:hAnsi="Arial"/>
          <w:sz w:val="21"/>
          <w:szCs w:val="21"/>
          <w:color w:val="auto"/>
        </w:rPr>
        <w:t>.</w:t>
      </w:r>
    </w:p>
    <w:p>
      <w:pPr>
        <w:spacing w:after="0" w:line="155" w:lineRule="exact"/>
        <w:rPr>
          <w:sz w:val="20"/>
          <w:szCs w:val="20"/>
          <w:color w:val="auto"/>
        </w:rPr>
      </w:pPr>
    </w:p>
    <w:p>
      <w:pPr>
        <w:jc w:val="both"/>
        <w:ind w:firstLine="624"/>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Bail-In Action</w:t>
      </w:r>
      <w:r>
        <w:rPr>
          <w:rFonts w:ascii="Arial" w:cs="Arial" w:eastAsia="Arial" w:hAnsi="Arial"/>
          <w:sz w:val="21"/>
          <w:szCs w:val="21"/>
          <w:color w:val="auto"/>
        </w:rPr>
        <w:t xml:space="preserve"> ” means the exercise of any Write-Down and Conversion Powers by the applicable Resolution Authority in respect of any liability of an Affected Financial Institution.</w:t>
      </w:r>
    </w:p>
    <w:p>
      <w:pPr>
        <w:spacing w:after="0" w:line="155" w:lineRule="exact"/>
        <w:rPr>
          <w:sz w:val="20"/>
          <w:szCs w:val="20"/>
          <w:color w:val="auto"/>
        </w:rPr>
      </w:pPr>
    </w:p>
    <w:p>
      <w:pPr>
        <w:jc w:val="both"/>
        <w:ind w:firstLine="624"/>
        <w:spacing w:after="0" w:line="23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Legislation</w:t>
      </w:r>
      <w:r>
        <w:rPr>
          <w:rFonts w:ascii="Arial" w:cs="Arial" w:eastAsia="Arial" w:hAnsi="Arial"/>
          <w:sz w:val="20"/>
          <w:szCs w:val="20"/>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152" w:right="339" w:bottom="1440" w:gutter="0" w:footer="0" w:header="0"/>
        </w:sectPr>
      </w:pPr>
    </w:p>
    <w:bookmarkStart w:id="144" w:name="page145"/>
    <w:bookmarkEnd w:id="144"/>
    <w:p>
      <w:pPr>
        <w:jc w:val="both"/>
        <w:spacing w:after="0" w:line="239" w:lineRule="auto"/>
        <w:rPr>
          <w:sz w:val="20"/>
          <w:szCs w:val="20"/>
          <w:color w:val="auto"/>
        </w:rPr>
      </w:pPr>
      <w:r>
        <w:rPr>
          <w:rFonts w:ascii="Arial" w:cs="Arial" w:eastAsia="Arial" w:hAnsi="Arial"/>
          <w:sz w:val="21"/>
          <w:szCs w:val="21"/>
          <w:color w:val="auto"/>
        </w:rPr>
        <w:t>banks, investment firms or other financial institutions or their affiliates (other than through liquidation, administration or other insolvency proceedings).</w:t>
      </w:r>
    </w:p>
    <w:p>
      <w:pPr>
        <w:spacing w:after="0" w:line="155" w:lineRule="exact"/>
        <w:rPr>
          <w:sz w:val="20"/>
          <w:szCs w:val="20"/>
          <w:color w:val="auto"/>
        </w:rPr>
      </w:pPr>
    </w:p>
    <w:p>
      <w:pPr>
        <w:jc w:val="both"/>
        <w:ind w:firstLine="624"/>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Bankruptcy Code</w:t>
      </w:r>
      <w:r>
        <w:rPr>
          <w:rFonts w:ascii="Arial" w:cs="Arial" w:eastAsia="Arial" w:hAnsi="Arial"/>
          <w:sz w:val="21"/>
          <w:szCs w:val="21"/>
          <w:color w:val="auto"/>
        </w:rPr>
        <w:t>” means Title 11 of the United States Code entitled “Bankruptcy”, as now and hereafter in effect, or any successor statute.</w:t>
      </w:r>
    </w:p>
    <w:p>
      <w:pPr>
        <w:spacing w:after="0" w:line="155" w:lineRule="exact"/>
        <w:rPr>
          <w:sz w:val="20"/>
          <w:szCs w:val="20"/>
          <w:color w:val="auto"/>
        </w:rPr>
      </w:pPr>
    </w:p>
    <w:p>
      <w:pPr>
        <w:jc w:val="both"/>
        <w:ind w:firstLine="624"/>
        <w:spacing w:after="0" w:line="225"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Base Rate</w:t>
      </w:r>
      <w:r>
        <w:rPr>
          <w:rFonts w:ascii="Arial" w:cs="Arial" w:eastAsia="Arial" w:hAnsi="Arial"/>
          <w:sz w:val="20"/>
          <w:szCs w:val="20"/>
          <w:color w:val="auto"/>
        </w:rPr>
        <w:t xml:space="preserve">” means, for any day, a rate per annum equal to the greatest of (a) the Prime Rate in effect on such day, (b) the NYFRB Rate in effect on such day plus ½ of 1% </w:t>
      </w:r>
      <w:r>
        <w:rPr>
          <w:rFonts w:ascii="Arial" w:cs="Arial" w:eastAsia="Arial" w:hAnsi="Arial"/>
          <w:sz w:val="20"/>
          <w:szCs w:val="20"/>
          <w:b w:val="1"/>
          <w:bCs w:val="1"/>
          <w:color w:val="FF0000"/>
          <w:strike w:val="1"/>
        </w:rPr>
        <w:t>per annum</w:t>
      </w:r>
      <w:r>
        <w:rPr>
          <w:rFonts w:ascii="Arial" w:cs="Arial" w:eastAsia="Arial" w:hAnsi="Arial"/>
          <w:sz w:val="20"/>
          <w:szCs w:val="20"/>
          <w:color w:val="auto"/>
        </w:rPr>
        <w:t xml:space="preserve"> and (c) the Adjusted </w:t>
      </w:r>
      <w:r>
        <w:rPr>
          <w:rFonts w:ascii="Arial" w:cs="Arial" w:eastAsia="Arial" w:hAnsi="Arial"/>
          <w:sz w:val="20"/>
          <w:szCs w:val="20"/>
          <w:b w:val="1"/>
          <w:bCs w:val="1"/>
          <w:color w:val="FF0000"/>
          <w:strike w:val="1"/>
        </w:rPr>
        <w:t>LIBO</w:t>
      </w:r>
      <w:r>
        <w:rPr>
          <w:rFonts w:ascii="Arial" w:cs="Arial" w:eastAsia="Arial" w:hAnsi="Arial"/>
          <w:sz w:val="20"/>
          <w:szCs w:val="20"/>
          <w:b w:val="1"/>
          <w:bCs w:val="1"/>
          <w:u w:val="single" w:color="auto"/>
          <w:color w:val="0000FF"/>
        </w:rPr>
        <w:t>Term SOFR</w:t>
      </w:r>
      <w:r>
        <w:rPr>
          <w:rFonts w:ascii="Arial" w:cs="Arial" w:eastAsia="Arial" w:hAnsi="Arial"/>
          <w:sz w:val="20"/>
          <w:szCs w:val="20"/>
          <w:color w:val="auto"/>
        </w:rPr>
        <w:t xml:space="preserve"> Rate </w:t>
      </w:r>
      <w:r>
        <w:rPr>
          <w:rFonts w:ascii="Arial" w:cs="Arial" w:eastAsia="Arial" w:hAnsi="Arial"/>
          <w:sz w:val="20"/>
          <w:szCs w:val="20"/>
          <w:b w:val="1"/>
          <w:bCs w:val="1"/>
          <w:color w:val="FF0000"/>
          <w:strike w:val="1"/>
        </w:rPr>
        <w:t>on</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0000FF"/>
        </w:rPr>
        <w:t>for a one month</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0000FF"/>
        </w:rPr>
        <w:t>Interest Period as published two U.S. Government Securities Business Days prior to</w:t>
      </w:r>
      <w:r>
        <w:rPr>
          <w:rFonts w:ascii="Arial" w:cs="Arial" w:eastAsia="Arial" w:hAnsi="Arial"/>
          <w:sz w:val="20"/>
          <w:szCs w:val="20"/>
          <w:b w:val="1"/>
          <w:bCs w:val="1"/>
          <w:color w:val="0000FF"/>
        </w:rPr>
        <w:t xml:space="preserve"> </w:t>
      </w:r>
      <w:r>
        <w:rPr>
          <w:rFonts w:ascii="Arial" w:cs="Arial" w:eastAsia="Arial" w:hAnsi="Arial"/>
          <w:sz w:val="20"/>
          <w:szCs w:val="20"/>
          <w:color w:val="000000"/>
        </w:rPr>
        <w:t>such day (or if such day is not a</w:t>
      </w:r>
      <w:r>
        <w:rPr>
          <w:rFonts w:ascii="Arial" w:cs="Arial" w:eastAsia="Arial" w:hAnsi="Arial"/>
          <w:sz w:val="20"/>
          <w:szCs w:val="20"/>
          <w:b w:val="1"/>
          <w:bCs w:val="1"/>
          <w:color w:val="0000FF"/>
        </w:rPr>
        <w:t xml:space="preserve"> </w:t>
      </w:r>
      <w:r>
        <w:rPr>
          <w:rFonts w:ascii="Arial" w:cs="Arial" w:eastAsia="Arial" w:hAnsi="Arial"/>
          <w:sz w:val="20"/>
          <w:szCs w:val="20"/>
          <w:b w:val="1"/>
          <w:bCs w:val="1"/>
          <w:u w:val="single" w:color="auto"/>
          <w:color w:val="0000FF"/>
        </w:rPr>
        <w:t>U.S.</w:t>
      </w:r>
      <w:r>
        <w:rPr>
          <w:rFonts w:ascii="Arial" w:cs="Arial" w:eastAsia="Arial" w:hAnsi="Arial"/>
          <w:sz w:val="20"/>
          <w:szCs w:val="20"/>
          <w:b w:val="1"/>
          <w:bCs w:val="1"/>
          <w:color w:val="0000FF"/>
        </w:rPr>
        <w:t xml:space="preserve"> </w:t>
      </w:r>
      <w:r>
        <w:rPr>
          <w:rFonts w:ascii="Arial" w:cs="Arial" w:eastAsia="Arial" w:hAnsi="Arial"/>
          <w:sz w:val="20"/>
          <w:szCs w:val="20"/>
          <w:b w:val="1"/>
          <w:bCs w:val="1"/>
          <w:u w:val="single" w:color="auto"/>
          <w:color w:val="0000FF"/>
        </w:rPr>
        <w:t>Government Securities</w:t>
      </w:r>
      <w:r>
        <w:rPr>
          <w:rFonts w:ascii="Arial" w:cs="Arial" w:eastAsia="Arial" w:hAnsi="Arial"/>
          <w:sz w:val="20"/>
          <w:szCs w:val="20"/>
          <w:b w:val="1"/>
          <w:bCs w:val="1"/>
          <w:color w:val="0000FF"/>
        </w:rPr>
        <w:t xml:space="preserve"> </w:t>
      </w:r>
      <w:r>
        <w:rPr>
          <w:rFonts w:ascii="Arial" w:cs="Arial" w:eastAsia="Arial" w:hAnsi="Arial"/>
          <w:sz w:val="20"/>
          <w:szCs w:val="20"/>
          <w:color w:val="000000"/>
        </w:rPr>
        <w:t>Business Day, the immediately preceding</w:t>
      </w:r>
      <w:r>
        <w:rPr>
          <w:rFonts w:ascii="Arial" w:cs="Arial" w:eastAsia="Arial" w:hAnsi="Arial"/>
          <w:sz w:val="20"/>
          <w:szCs w:val="20"/>
          <w:b w:val="1"/>
          <w:bCs w:val="1"/>
          <w:color w:val="0000FF"/>
        </w:rPr>
        <w:t xml:space="preserve"> </w:t>
      </w:r>
      <w:r>
        <w:rPr>
          <w:rFonts w:ascii="Arial" w:cs="Arial" w:eastAsia="Arial" w:hAnsi="Arial"/>
          <w:sz w:val="20"/>
          <w:szCs w:val="20"/>
          <w:b w:val="1"/>
          <w:bCs w:val="1"/>
          <w:u w:val="single" w:color="auto"/>
          <w:color w:val="0000FF"/>
        </w:rPr>
        <w:t>U.S. Government Securities</w:t>
      </w:r>
      <w:r>
        <w:rPr>
          <w:rFonts w:ascii="Arial" w:cs="Arial" w:eastAsia="Arial" w:hAnsi="Arial"/>
          <w:sz w:val="20"/>
          <w:szCs w:val="20"/>
          <w:b w:val="1"/>
          <w:bCs w:val="1"/>
          <w:color w:val="0000FF"/>
        </w:rPr>
        <w:t xml:space="preserve"> </w:t>
      </w:r>
      <w:r>
        <w:rPr>
          <w:rFonts w:ascii="Arial" w:cs="Arial" w:eastAsia="Arial" w:hAnsi="Arial"/>
          <w:sz w:val="20"/>
          <w:szCs w:val="20"/>
          <w:color w:val="000000"/>
        </w:rPr>
        <w:t>Business Day)</w:t>
      </w:r>
      <w:r>
        <w:rPr>
          <w:rFonts w:ascii="Arial" w:cs="Arial" w:eastAsia="Arial" w:hAnsi="Arial"/>
          <w:sz w:val="20"/>
          <w:szCs w:val="20"/>
          <w:b w:val="1"/>
          <w:bCs w:val="1"/>
          <w:color w:val="0000FF"/>
        </w:rPr>
        <w:t xml:space="preserve"> </w:t>
      </w:r>
      <w:r>
        <w:rPr>
          <w:rFonts w:ascii="Arial" w:cs="Arial" w:eastAsia="Arial" w:hAnsi="Arial"/>
          <w:sz w:val="20"/>
          <w:szCs w:val="20"/>
          <w:b w:val="1"/>
          <w:bCs w:val="1"/>
          <w:color w:val="FF0000"/>
          <w:strike w:val="1"/>
        </w:rPr>
        <w:t>for a deposit in US</w:t>
      </w:r>
      <w:r>
        <w:rPr>
          <w:rFonts w:ascii="Arial" w:cs="Arial" w:eastAsia="Arial" w:hAnsi="Arial"/>
          <w:sz w:val="20"/>
          <w:szCs w:val="20"/>
          <w:b w:val="1"/>
          <w:bCs w:val="1"/>
          <w:color w:val="0000FF"/>
        </w:rPr>
        <w:t xml:space="preserve"> </w:t>
      </w:r>
      <w:r>
        <w:rPr>
          <w:rFonts w:ascii="Arial" w:cs="Arial" w:eastAsia="Arial" w:hAnsi="Arial"/>
          <w:sz w:val="20"/>
          <w:szCs w:val="20"/>
          <w:b w:val="1"/>
          <w:bCs w:val="1"/>
          <w:color w:val="FF0000"/>
          <w:strike w:val="1"/>
        </w:rPr>
        <w:t>Dollars with a maturity of one month</w:t>
      </w:r>
      <w:r>
        <w:rPr>
          <w:rFonts w:ascii="Arial" w:cs="Arial" w:eastAsia="Arial" w:hAnsi="Arial"/>
          <w:sz w:val="20"/>
          <w:szCs w:val="20"/>
          <w:b w:val="1"/>
          <w:bCs w:val="1"/>
          <w:color w:val="FF0000"/>
        </w:rPr>
        <w:t xml:space="preserve"> </w:t>
      </w:r>
      <w:r>
        <w:rPr>
          <w:rFonts w:ascii="Arial" w:cs="Arial" w:eastAsia="Arial" w:hAnsi="Arial"/>
          <w:sz w:val="20"/>
          <w:szCs w:val="20"/>
          <w:color w:val="000000"/>
        </w:rPr>
        <w:t>plus 1%</w:t>
      </w:r>
      <w:r>
        <w:rPr>
          <w:rFonts w:ascii="Arial" w:cs="Arial" w:eastAsia="Arial" w:hAnsi="Arial"/>
          <w:sz w:val="20"/>
          <w:szCs w:val="20"/>
          <w:b w:val="1"/>
          <w:bCs w:val="1"/>
          <w:color w:val="FF0000"/>
        </w:rPr>
        <w:t xml:space="preserve"> per annum</w:t>
      </w:r>
      <w:r>
        <w:rPr>
          <w:rFonts w:ascii="Arial" w:cs="Arial" w:eastAsia="Arial" w:hAnsi="Arial"/>
          <w:sz w:val="20"/>
          <w:szCs w:val="20"/>
          <w:color w:val="000000"/>
        </w:rPr>
        <w:t>;</w:t>
      </w:r>
      <w:r>
        <w:rPr>
          <w:rFonts w:ascii="Arial" w:cs="Arial" w:eastAsia="Arial" w:hAnsi="Arial"/>
          <w:sz w:val="20"/>
          <w:szCs w:val="20"/>
          <w:b w:val="1"/>
          <w:bCs w:val="1"/>
          <w:color w:val="FF0000"/>
        </w:rPr>
        <w:t xml:space="preserve"> </w:t>
      </w:r>
      <w:r>
        <w:rPr>
          <w:rFonts w:ascii="Arial" w:cs="Arial" w:eastAsia="Arial" w:hAnsi="Arial"/>
          <w:sz w:val="20"/>
          <w:szCs w:val="20"/>
          <w:u w:val="single" w:color="auto"/>
          <w:color w:val="000000"/>
        </w:rPr>
        <w:t>provided</w:t>
      </w:r>
      <w:r>
        <w:rPr>
          <w:rFonts w:ascii="Arial" w:cs="Arial" w:eastAsia="Arial" w:hAnsi="Arial"/>
          <w:sz w:val="20"/>
          <w:szCs w:val="20"/>
          <w:b w:val="1"/>
          <w:bCs w:val="1"/>
          <w:color w:val="FF0000"/>
        </w:rPr>
        <w:t xml:space="preserve"> </w:t>
      </w:r>
      <w:r>
        <w:rPr>
          <w:rFonts w:ascii="Arial" w:cs="Arial" w:eastAsia="Arial" w:hAnsi="Arial"/>
          <w:sz w:val="20"/>
          <w:szCs w:val="20"/>
          <w:color w:val="000000"/>
        </w:rPr>
        <w:t>that for the purpose of this definition, the Adjusted</w:t>
      </w:r>
      <w:r>
        <w:rPr>
          <w:rFonts w:ascii="Arial" w:cs="Arial" w:eastAsia="Arial" w:hAnsi="Arial"/>
          <w:sz w:val="20"/>
          <w:szCs w:val="20"/>
          <w:b w:val="1"/>
          <w:bCs w:val="1"/>
          <w:color w:val="FF0000"/>
        </w:rPr>
        <w:t xml:space="preserve"> </w:t>
      </w:r>
      <w:r>
        <w:rPr>
          <w:rFonts w:ascii="Arial" w:cs="Arial" w:eastAsia="Arial" w:hAnsi="Arial"/>
          <w:sz w:val="20"/>
          <w:szCs w:val="20"/>
          <w:b w:val="1"/>
          <w:bCs w:val="1"/>
          <w:color w:val="FF0000"/>
          <w:strike w:val="1"/>
        </w:rPr>
        <w:t>LIBO</w:t>
      </w:r>
      <w:r>
        <w:rPr>
          <w:rFonts w:ascii="Arial" w:cs="Arial" w:eastAsia="Arial" w:hAnsi="Arial"/>
          <w:sz w:val="20"/>
          <w:szCs w:val="20"/>
          <w:b w:val="1"/>
          <w:bCs w:val="1"/>
          <w:u w:val="single" w:color="auto"/>
          <w:color w:val="0000FF"/>
        </w:rPr>
        <w:t>Term SOFR</w:t>
      </w:r>
      <w:r>
        <w:rPr>
          <w:rFonts w:ascii="Arial" w:cs="Arial" w:eastAsia="Arial" w:hAnsi="Arial"/>
          <w:sz w:val="20"/>
          <w:szCs w:val="20"/>
          <w:b w:val="1"/>
          <w:bCs w:val="1"/>
          <w:color w:val="FF0000"/>
        </w:rPr>
        <w:t xml:space="preserve"> </w:t>
      </w:r>
      <w:r>
        <w:rPr>
          <w:rFonts w:ascii="Arial" w:cs="Arial" w:eastAsia="Arial" w:hAnsi="Arial"/>
          <w:sz w:val="20"/>
          <w:szCs w:val="20"/>
          <w:color w:val="000000"/>
        </w:rPr>
        <w:t>Rate for any day shall be based on the</w:t>
      </w:r>
      <w:r>
        <w:rPr>
          <w:rFonts w:ascii="Arial" w:cs="Arial" w:eastAsia="Arial" w:hAnsi="Arial"/>
          <w:sz w:val="20"/>
          <w:szCs w:val="20"/>
          <w:b w:val="1"/>
          <w:bCs w:val="1"/>
          <w:color w:val="FF0000"/>
        </w:rPr>
        <w:t xml:space="preserve"> </w:t>
      </w:r>
      <w:r>
        <w:rPr>
          <w:rFonts w:ascii="Arial" w:cs="Arial" w:eastAsia="Arial" w:hAnsi="Arial"/>
          <w:sz w:val="20"/>
          <w:szCs w:val="20"/>
          <w:b w:val="1"/>
          <w:bCs w:val="1"/>
          <w:color w:val="FF0000"/>
          <w:strike w:val="1"/>
        </w:rPr>
        <w:t>LIBO Screen Rate (or if the LIBO Screen Rate is not available for</w:t>
      </w:r>
      <w:r>
        <w:rPr>
          <w:rFonts w:ascii="Arial" w:cs="Arial" w:eastAsia="Arial" w:hAnsi="Arial"/>
          <w:sz w:val="20"/>
          <w:szCs w:val="20"/>
          <w:b w:val="1"/>
          <w:bCs w:val="1"/>
          <w:color w:val="FF0000"/>
        </w:rPr>
        <w:t xml:space="preserve"> </w:t>
      </w:r>
      <w:r>
        <w:rPr>
          <w:rFonts w:ascii="Arial" w:cs="Arial" w:eastAsia="Arial" w:hAnsi="Arial"/>
          <w:sz w:val="20"/>
          <w:szCs w:val="20"/>
          <w:b w:val="1"/>
          <w:bCs w:val="1"/>
          <w:color w:val="FF0000"/>
          <w:strike w:val="1"/>
        </w:rPr>
        <w:t>such one month Interest Period, the Interpolated Rate)</w:t>
      </w:r>
      <w:r>
        <w:rPr>
          <w:rFonts w:ascii="Arial" w:cs="Arial" w:eastAsia="Arial" w:hAnsi="Arial"/>
          <w:sz w:val="20"/>
          <w:szCs w:val="20"/>
          <w:b w:val="1"/>
          <w:bCs w:val="1"/>
          <w:u w:val="single" w:color="auto"/>
          <w:color w:val="0000FF"/>
        </w:rPr>
        <w:t>Term SOFR Reference Rate</w:t>
      </w:r>
      <w:r>
        <w:rPr>
          <w:rFonts w:ascii="Arial" w:cs="Arial" w:eastAsia="Arial" w:hAnsi="Arial"/>
          <w:sz w:val="20"/>
          <w:szCs w:val="20"/>
          <w:b w:val="1"/>
          <w:bCs w:val="1"/>
          <w:color w:val="FF0000"/>
        </w:rPr>
        <w:t xml:space="preserve"> </w:t>
      </w:r>
      <w:r>
        <w:rPr>
          <w:rFonts w:ascii="Arial" w:cs="Arial" w:eastAsia="Arial" w:hAnsi="Arial"/>
          <w:sz w:val="20"/>
          <w:szCs w:val="20"/>
          <w:color w:val="000000"/>
        </w:rPr>
        <w:t>at approximately</w:t>
      </w:r>
      <w:r>
        <w:rPr>
          <w:rFonts w:ascii="Arial" w:cs="Arial" w:eastAsia="Arial" w:hAnsi="Arial"/>
          <w:sz w:val="20"/>
          <w:szCs w:val="20"/>
          <w:b w:val="1"/>
          <w:bCs w:val="1"/>
          <w:color w:val="FF0000"/>
        </w:rPr>
        <w:t xml:space="preserve"> </w:t>
      </w:r>
      <w:r>
        <w:rPr>
          <w:rFonts w:ascii="Arial" w:cs="Arial" w:eastAsia="Arial" w:hAnsi="Arial"/>
          <w:sz w:val="20"/>
          <w:szCs w:val="20"/>
          <w:b w:val="1"/>
          <w:bCs w:val="1"/>
          <w:color w:val="FF0000"/>
          <w:strike w:val="1"/>
        </w:rPr>
        <w:t>11:00 a.m. London time</w:t>
      </w:r>
      <w:r>
        <w:rPr>
          <w:rFonts w:ascii="Arial" w:cs="Arial" w:eastAsia="Arial" w:hAnsi="Arial"/>
          <w:sz w:val="20"/>
          <w:szCs w:val="20"/>
          <w:b w:val="1"/>
          <w:bCs w:val="1"/>
          <w:color w:val="FF0000"/>
        </w:rPr>
        <w:t xml:space="preserve"> </w:t>
      </w:r>
      <w:r>
        <w:rPr>
          <w:rFonts w:ascii="Arial" w:cs="Arial" w:eastAsia="Arial" w:hAnsi="Arial"/>
          <w:sz w:val="20"/>
          <w:szCs w:val="20"/>
          <w:b w:val="1"/>
          <w:bCs w:val="1"/>
          <w:color w:val="FF0000"/>
          <w:strike w:val="1"/>
        </w:rPr>
        <w:t xml:space="preserve">on such day </w:t>
      </w:r>
      <w:r>
        <w:rPr>
          <w:rFonts w:ascii="Arial" w:cs="Arial" w:eastAsia="Arial" w:hAnsi="Arial"/>
          <w:sz w:val="20"/>
          <w:szCs w:val="20"/>
          <w:b w:val="1"/>
          <w:bCs w:val="1"/>
          <w:u w:val="single" w:color="auto"/>
          <w:color w:val="0000FF"/>
          <w:strike w:val="1"/>
        </w:rPr>
        <w:t>5:00 a.m., Chicago time, on such day (or any amended publication time for the Term SOFR Reference Rate, as</w:t>
      </w:r>
      <w:r>
        <w:rPr>
          <w:rFonts w:ascii="Arial" w:cs="Arial" w:eastAsia="Arial" w:hAnsi="Arial"/>
          <w:sz w:val="20"/>
          <w:szCs w:val="20"/>
          <w:b w:val="1"/>
          <w:bCs w:val="1"/>
          <w:color w:val="FF0000"/>
          <w:strike w:val="1"/>
        </w:rPr>
        <w:t xml:space="preserve"> </w:t>
      </w:r>
      <w:r>
        <w:rPr>
          <w:rFonts w:ascii="Arial" w:cs="Arial" w:eastAsia="Arial" w:hAnsi="Arial"/>
          <w:sz w:val="20"/>
          <w:szCs w:val="20"/>
          <w:b w:val="1"/>
          <w:bCs w:val="1"/>
          <w:u w:val="single" w:color="auto"/>
          <w:color w:val="0000FF"/>
          <w:strike w:val="1"/>
        </w:rPr>
        <w:t>specified by the CME Term SOFR Administrator in the Term SOFR Reference Rate methodology)</w:t>
      </w:r>
      <w:r>
        <w:rPr>
          <w:rFonts w:ascii="Arial" w:cs="Arial" w:eastAsia="Arial" w:hAnsi="Arial"/>
          <w:sz w:val="20"/>
          <w:szCs w:val="20"/>
          <w:color w:val="000000"/>
          <w:strike w:val="1"/>
        </w:rPr>
        <w:t>. Any change in the Base</w:t>
      </w:r>
      <w:r>
        <w:rPr>
          <w:rFonts w:ascii="Arial" w:cs="Arial" w:eastAsia="Arial" w:hAnsi="Arial"/>
          <w:sz w:val="20"/>
          <w:szCs w:val="20"/>
          <w:b w:val="1"/>
          <w:bCs w:val="1"/>
          <w:color w:val="0000FF"/>
          <w:strike w:val="1"/>
        </w:rPr>
        <w:t xml:space="preserve"> </w:t>
      </w:r>
      <w:r>
        <w:rPr>
          <w:rFonts w:ascii="Arial" w:cs="Arial" w:eastAsia="Arial" w:hAnsi="Arial"/>
          <w:sz w:val="20"/>
          <w:szCs w:val="20"/>
          <w:color w:val="000000"/>
          <w:strike w:val="1"/>
        </w:rPr>
        <w:t xml:space="preserve">Rate due to a change in the Prime Rate, the NYFRB Rate or the Adjusted </w:t>
      </w:r>
      <w:r>
        <w:rPr>
          <w:rFonts w:ascii="Arial" w:cs="Arial" w:eastAsia="Arial" w:hAnsi="Arial"/>
          <w:sz w:val="20"/>
          <w:szCs w:val="20"/>
          <w:b w:val="1"/>
          <w:bCs w:val="1"/>
          <w:color w:val="FF0000"/>
          <w:strike w:val="1"/>
        </w:rPr>
        <w:t>LIBO</w:t>
      </w:r>
      <w:r>
        <w:rPr>
          <w:rFonts w:ascii="Arial" w:cs="Arial" w:eastAsia="Arial" w:hAnsi="Arial"/>
          <w:sz w:val="20"/>
          <w:szCs w:val="20"/>
          <w:b w:val="1"/>
          <w:bCs w:val="1"/>
          <w:u w:val="single" w:color="auto"/>
          <w:color w:val="0000FF"/>
          <w:strike w:val="1"/>
        </w:rPr>
        <w:t>Term SOFR</w:t>
      </w:r>
      <w:r>
        <w:rPr>
          <w:rFonts w:ascii="Arial" w:cs="Arial" w:eastAsia="Arial" w:hAnsi="Arial"/>
          <w:sz w:val="20"/>
          <w:szCs w:val="20"/>
          <w:color w:val="000000"/>
          <w:strike w:val="1"/>
        </w:rPr>
        <w:t xml:space="preserve"> Rate shall be effective from and including the effective date of such change in the Prime Rate, the NYFRB Rate or the Adjusted </w:t>
      </w:r>
      <w:r>
        <w:rPr>
          <w:rFonts w:ascii="Arial" w:cs="Arial" w:eastAsia="Arial" w:hAnsi="Arial"/>
          <w:sz w:val="20"/>
          <w:szCs w:val="20"/>
          <w:b w:val="1"/>
          <w:bCs w:val="1"/>
          <w:color w:val="FF0000"/>
          <w:strike w:val="1"/>
        </w:rPr>
        <w:t>LIBO</w:t>
      </w:r>
      <w:r>
        <w:rPr>
          <w:rFonts w:ascii="Arial" w:cs="Arial" w:eastAsia="Arial" w:hAnsi="Arial"/>
          <w:sz w:val="20"/>
          <w:szCs w:val="20"/>
          <w:b w:val="1"/>
          <w:bCs w:val="1"/>
          <w:u w:val="single" w:color="auto"/>
          <w:color w:val="0000FF"/>
          <w:strike w:val="1"/>
        </w:rPr>
        <w:t>Term SOFR</w:t>
      </w:r>
      <w:r>
        <w:rPr>
          <w:rFonts w:ascii="Arial" w:cs="Arial" w:eastAsia="Arial" w:hAnsi="Arial"/>
          <w:sz w:val="20"/>
          <w:szCs w:val="20"/>
          <w:color w:val="000000"/>
          <w:strike w:val="1"/>
        </w:rPr>
        <w:t xml:space="preserve"> Rate, respectively. If the Base Rate is being used as an alternate rate of interest pursuant to Section 2.17 (for the avoidance of doubt, only until the Benchmark Replacement has been determined pursuant to Section 2.17(b)), then the Base Rate shall be the greater of clauses (a) and (b) above and shall be determined without reference to clause (c) above. For the avoidance of doubt, if the Base Rate as determined pursuant to the foregoing would be less than 1.00%, such rate shall be deemed to be 1.00% for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-1562100</wp:posOffset>
            </wp:positionV>
            <wp:extent cx="7188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820" cy="8255"/>
                    </a:xfrm>
                    <a:prstGeom prst="rect">
                      <a:avLst/>
                    </a:prstGeom>
                    <a:noFill/>
                  </pic:spPr>
                </pic:pic>
              </a:graphicData>
            </a:graphic>
          </wp:anchor>
        </w:drawing>
      </w:r>
    </w:p>
    <w:p>
      <w:pPr>
        <w:spacing w:after="0" w:line="13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Base Rate Borrowing</w:t>
      </w:r>
      <w:r>
        <w:rPr>
          <w:rFonts w:ascii="Arial" w:cs="Arial" w:eastAsia="Arial" w:hAnsi="Arial"/>
          <w:sz w:val="21"/>
          <w:szCs w:val="21"/>
          <w:color w:val="auto"/>
        </w:rPr>
        <w:t>” means a Borrowing comprised of Base Rate Loans.</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Base Rate Committed Borrowing</w:t>
      </w:r>
      <w:r>
        <w:rPr>
          <w:rFonts w:ascii="Arial" w:cs="Arial" w:eastAsia="Arial" w:hAnsi="Arial"/>
          <w:sz w:val="21"/>
          <w:szCs w:val="21"/>
          <w:color w:val="auto"/>
        </w:rPr>
        <w:t>” means a Committed Borrowing comprised of Base Rate Committed Loans.</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Base Rate Committed Loan</w:t>
      </w:r>
      <w:r>
        <w:rPr>
          <w:rFonts w:ascii="Arial" w:cs="Arial" w:eastAsia="Arial" w:hAnsi="Arial"/>
          <w:sz w:val="21"/>
          <w:szCs w:val="21"/>
          <w:color w:val="auto"/>
        </w:rPr>
        <w:t>” means a Committed Loan that is a Base Rate Loan.</w:t>
      </w:r>
    </w:p>
    <w:p>
      <w:pPr>
        <w:spacing w:after="0" w:line="183" w:lineRule="exact"/>
        <w:rPr>
          <w:sz w:val="20"/>
          <w:szCs w:val="20"/>
          <w:color w:val="auto"/>
        </w:rPr>
      </w:pPr>
    </w:p>
    <w:p>
      <w:pPr>
        <w:jc w:val="both"/>
        <w:ind w:firstLine="624"/>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Base Rate Loan</w:t>
      </w:r>
      <w:r>
        <w:rPr>
          <w:rFonts w:ascii="Arial" w:cs="Arial" w:eastAsia="Arial" w:hAnsi="Arial"/>
          <w:sz w:val="21"/>
          <w:szCs w:val="21"/>
          <w:color w:val="auto"/>
        </w:rPr>
        <w:t xml:space="preserve"> ” means a Committed Loan that bears interest by reference to the Base Rate. Base Rate Loans may be denominated only in US Dollars.</w:t>
      </w:r>
    </w:p>
    <w:p>
      <w:pPr>
        <w:spacing w:after="0" w:line="149" w:lineRule="exact"/>
        <w:rPr>
          <w:sz w:val="20"/>
          <w:szCs w:val="20"/>
          <w:color w:val="auto"/>
        </w:rPr>
      </w:pPr>
    </w:p>
    <w:p>
      <w:pPr>
        <w:ind w:left="620"/>
        <w:spacing w:after="0"/>
        <w:rPr>
          <w:sz w:val="20"/>
          <w:szCs w:val="20"/>
          <w:color w:val="auto"/>
        </w:rPr>
      </w:pPr>
      <w:r>
        <w:rPr>
          <w:rFonts w:ascii="Arial" w:cs="Arial" w:eastAsia="Arial" w:hAnsi="Arial"/>
          <w:sz w:val="21"/>
          <w:szCs w:val="21"/>
          <w:b w:val="1"/>
          <w:bCs w:val="1"/>
          <w:u w:val="single" w:color="auto"/>
          <w:color w:val="0000FF"/>
        </w:rPr>
        <w:t>“Benchmark” has the meaning specified in Section 2.17(g).</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21"/>
          <w:szCs w:val="21"/>
          <w:b w:val="1"/>
          <w:bCs w:val="1"/>
          <w:u w:val="single" w:color="auto"/>
          <w:color w:val="0000FF"/>
        </w:rPr>
        <w:t>“Benchmark Replacement” has the meaning specified in Section 2.17(g).</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21"/>
          <w:szCs w:val="21"/>
          <w:b w:val="1"/>
          <w:bCs w:val="1"/>
          <w:u w:val="single" w:color="auto"/>
          <w:color w:val="0000FF"/>
        </w:rPr>
        <w:t>“Benchmark Replacement Adjustment” has the meaning specified in Section 2.17(g).</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21"/>
          <w:szCs w:val="21"/>
          <w:b w:val="1"/>
          <w:bCs w:val="1"/>
          <w:u w:val="single" w:color="auto"/>
          <w:color w:val="0000FF"/>
        </w:rPr>
        <w:t>“Benchmark Replacement Conforming Changes” has the meaning specified in Section 2.17(g).</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21"/>
          <w:szCs w:val="21"/>
          <w:b w:val="1"/>
          <w:bCs w:val="1"/>
          <w:u w:val="single" w:color="auto"/>
          <w:color w:val="0000FF"/>
        </w:rPr>
        <w:t>“Benchmark Replacement Date” has the meaning specified in Section 2.17(g).</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21"/>
          <w:szCs w:val="21"/>
          <w:b w:val="1"/>
          <w:bCs w:val="1"/>
          <w:u w:val="single" w:color="auto"/>
          <w:color w:val="0000FF"/>
        </w:rPr>
        <w:t>“Benchmark Transition Event” has the meaning specified in Section 2.17(g).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152" w:right="339" w:bottom="1440" w:gutter="0" w:footer="0" w:header="0"/>
        </w:sectPr>
      </w:pPr>
    </w:p>
    <w:bookmarkStart w:id="145" w:name="page146"/>
    <w:bookmarkEnd w:id="145"/>
    <w:p>
      <w:pPr>
        <w:ind w:left="620"/>
        <w:spacing w:after="0"/>
        <w:rPr>
          <w:sz w:val="20"/>
          <w:szCs w:val="20"/>
          <w:color w:val="auto"/>
        </w:rPr>
      </w:pPr>
      <w:r>
        <w:rPr>
          <w:rFonts w:ascii="Arial" w:cs="Arial" w:eastAsia="Arial" w:hAnsi="Arial"/>
          <w:sz w:val="21"/>
          <w:szCs w:val="21"/>
          <w:b w:val="1"/>
          <w:bCs w:val="1"/>
          <w:u w:val="single" w:color="auto"/>
          <w:color w:val="0000FF"/>
        </w:rPr>
        <w:t>“Benchmark Unavailability Period” has the meaning specified in Section 2.17(g).</w:t>
      </w:r>
    </w:p>
    <w:p>
      <w:pPr>
        <w:spacing w:after="0" w:line="189" w:lineRule="exact"/>
        <w:rPr>
          <w:sz w:val="20"/>
          <w:szCs w:val="20"/>
          <w:color w:val="auto"/>
        </w:rPr>
      </w:pPr>
    </w:p>
    <w:p>
      <w:pPr>
        <w:jc w:val="both"/>
        <w:ind w:firstLine="624"/>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Beneficial Ownership Certification</w:t>
      </w:r>
      <w:r>
        <w:rPr>
          <w:rFonts w:ascii="Arial" w:cs="Arial" w:eastAsia="Arial" w:hAnsi="Arial"/>
          <w:sz w:val="21"/>
          <w:szCs w:val="21"/>
          <w:color w:val="auto"/>
        </w:rPr>
        <w:t>” means a certification regarding beneficial ownership or control as required by the Beneficial Ownership Regulation.</w:t>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Beneficial Ownership Regulation</w:t>
      </w:r>
      <w:r>
        <w:rPr>
          <w:rFonts w:ascii="Arial" w:cs="Arial" w:eastAsia="Arial" w:hAnsi="Arial"/>
          <w:sz w:val="21"/>
          <w:szCs w:val="21"/>
          <w:color w:val="auto"/>
        </w:rPr>
        <w:t>” means 31 C.F.R. § 1010.230.</w:t>
      </w:r>
    </w:p>
    <w:p>
      <w:pPr>
        <w:spacing w:after="0" w:line="183" w:lineRule="exact"/>
        <w:rPr>
          <w:sz w:val="20"/>
          <w:szCs w:val="20"/>
          <w:color w:val="auto"/>
        </w:rPr>
      </w:pPr>
    </w:p>
    <w:p>
      <w:pPr>
        <w:jc w:val="both"/>
        <w:ind w:firstLine="624"/>
        <w:spacing w:after="0" w:line="225"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Benefit Plan</w:t>
      </w:r>
      <w:r>
        <w:rPr>
          <w:rFonts w:ascii="Arial" w:cs="Arial" w:eastAsia="Arial" w:hAnsi="Arial"/>
          <w:sz w:val="21"/>
          <w:szCs w:val="21"/>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54" w:lineRule="exact"/>
        <w:rPr>
          <w:sz w:val="20"/>
          <w:szCs w:val="20"/>
          <w:color w:val="auto"/>
        </w:rPr>
      </w:pPr>
    </w:p>
    <w:p>
      <w:pPr>
        <w:jc w:val="both"/>
        <w:ind w:firstLine="624"/>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BHC Act Affiliate</w:t>
      </w:r>
      <w:r>
        <w:rPr>
          <w:rFonts w:ascii="Arial" w:cs="Arial" w:eastAsia="Arial" w:hAnsi="Arial"/>
          <w:sz w:val="21"/>
          <w:szCs w:val="21"/>
          <w:color w:val="auto"/>
        </w:rPr>
        <w:t>” of a party means an “affiliate” (as such term is defined under, and interpreted in accordance with, 12 U.S.C. 1841(k)) of such party.</w:t>
      </w:r>
    </w:p>
    <w:p>
      <w:pPr>
        <w:spacing w:after="0" w:line="155" w:lineRule="exact"/>
        <w:rPr>
          <w:sz w:val="20"/>
          <w:szCs w:val="20"/>
          <w:color w:val="auto"/>
        </w:rPr>
      </w:pPr>
    </w:p>
    <w:p>
      <w:pPr>
        <w:jc w:val="both"/>
        <w:ind w:firstLine="624"/>
        <w:spacing w:after="0" w:line="23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Bid Borrowing</w:t>
      </w:r>
      <w:r>
        <w:rPr>
          <w:rFonts w:ascii="Arial" w:cs="Arial" w:eastAsia="Arial" w:hAnsi="Arial"/>
          <w:sz w:val="21"/>
          <w:szCs w:val="21"/>
          <w:color w:val="auto"/>
        </w:rPr>
        <w:t xml:space="preserve">” means a borrowing consisting of simultaneous Bid Loans of the same Type and in the same currency from each of the Lenders whose offer to make one or more Bid Loans as part of such borrowing has been accepted under the auction bidding procedures described in </w:t>
      </w:r>
      <w:r>
        <w:rPr>
          <w:rFonts w:ascii="Arial" w:cs="Arial" w:eastAsia="Arial" w:hAnsi="Arial"/>
          <w:sz w:val="21"/>
          <w:szCs w:val="21"/>
          <w:u w:val="single" w:color="auto"/>
          <w:color w:val="auto"/>
        </w:rPr>
        <w:t>Section 2.03</w:t>
      </w:r>
      <w:r>
        <w:rPr>
          <w:rFonts w:ascii="Arial" w:cs="Arial" w:eastAsia="Arial" w:hAnsi="Arial"/>
          <w:sz w:val="21"/>
          <w:szCs w:val="21"/>
          <w:color w:val="auto"/>
        </w:rPr>
        <w:t>.</w:t>
      </w:r>
    </w:p>
    <w:p>
      <w:pPr>
        <w:spacing w:after="0" w:line="15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Bid Loan</w:t>
      </w:r>
      <w:r>
        <w:rPr>
          <w:rFonts w:ascii="Arial" w:cs="Arial" w:eastAsia="Arial" w:hAnsi="Arial"/>
          <w:sz w:val="21"/>
          <w:szCs w:val="21"/>
          <w:color w:val="auto"/>
        </w:rPr>
        <w:t xml:space="preserve">” has the meaning specified in </w:t>
      </w:r>
      <w:r>
        <w:rPr>
          <w:rFonts w:ascii="Arial" w:cs="Arial" w:eastAsia="Arial" w:hAnsi="Arial"/>
          <w:sz w:val="21"/>
          <w:szCs w:val="21"/>
          <w:u w:val="single" w:color="auto"/>
          <w:color w:val="auto"/>
        </w:rPr>
        <w:t>Section 2.03(a)</w:t>
      </w:r>
      <w:r>
        <w:rPr>
          <w:rFonts w:ascii="Arial" w:cs="Arial" w:eastAsia="Arial" w:hAnsi="Arial"/>
          <w:sz w:val="21"/>
          <w:szCs w:val="21"/>
          <w:color w:val="auto"/>
        </w:rPr>
        <w:t>.</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Bid Loan Lender</w:t>
      </w:r>
      <w:r>
        <w:rPr>
          <w:rFonts w:ascii="Arial" w:cs="Arial" w:eastAsia="Arial" w:hAnsi="Arial"/>
          <w:sz w:val="21"/>
          <w:szCs w:val="21"/>
          <w:color w:val="auto"/>
        </w:rPr>
        <w:t>” means, in respect of any Bid Loan, the Lender making such Bid Loan.</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Bid Request</w:t>
      </w:r>
      <w:r>
        <w:rPr>
          <w:rFonts w:ascii="Arial" w:cs="Arial" w:eastAsia="Arial" w:hAnsi="Arial"/>
          <w:sz w:val="21"/>
          <w:szCs w:val="21"/>
          <w:color w:val="auto"/>
        </w:rPr>
        <w:t xml:space="preserve">” means a written request for one or more Bid Loans substantially in the form of </w:t>
      </w:r>
      <w:r>
        <w:rPr>
          <w:rFonts w:ascii="Arial" w:cs="Arial" w:eastAsia="Arial" w:hAnsi="Arial"/>
          <w:sz w:val="21"/>
          <w:szCs w:val="21"/>
          <w:u w:val="single" w:color="auto"/>
          <w:color w:val="auto"/>
        </w:rPr>
        <w:t>Exhibit B-1</w:t>
      </w:r>
      <w:r>
        <w:rPr>
          <w:rFonts w:ascii="Arial" w:cs="Arial" w:eastAsia="Arial" w:hAnsi="Arial"/>
          <w:sz w:val="21"/>
          <w:szCs w:val="21"/>
          <w:color w:val="auto"/>
        </w:rPr>
        <w:t>.</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Borrower</w:t>
      </w:r>
      <w:r>
        <w:rPr>
          <w:rFonts w:ascii="Arial" w:cs="Arial" w:eastAsia="Arial" w:hAnsi="Arial"/>
          <w:sz w:val="21"/>
          <w:szCs w:val="21"/>
          <w:color w:val="auto"/>
        </w:rPr>
        <w:t>” means Incyte Corporation, a Delaware corporation.</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Borrowing</w:t>
      </w:r>
      <w:r>
        <w:rPr>
          <w:rFonts w:ascii="Arial" w:cs="Arial" w:eastAsia="Arial" w:hAnsi="Arial"/>
          <w:sz w:val="21"/>
          <w:szCs w:val="21"/>
          <w:color w:val="auto"/>
        </w:rPr>
        <w:t>” means a Committed Borrowing or a Bid Borrowing, as the context may require.</w:t>
      </w:r>
    </w:p>
    <w:p>
      <w:pPr>
        <w:spacing w:after="0" w:line="177" w:lineRule="exact"/>
        <w:rPr>
          <w:sz w:val="20"/>
          <w:szCs w:val="20"/>
          <w:color w:val="auto"/>
        </w:rPr>
      </w:pPr>
    </w:p>
    <w:p>
      <w:pPr>
        <w:jc w:val="both"/>
        <w:ind w:firstLine="624"/>
        <w:spacing w:after="0" w:line="223"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Borrowing Minimum</w:t>
      </w:r>
      <w:r>
        <w:rPr>
          <w:rFonts w:ascii="Arial" w:cs="Arial" w:eastAsia="Arial" w:hAnsi="Arial"/>
          <w:sz w:val="21"/>
          <w:szCs w:val="21"/>
          <w:color w:val="auto"/>
        </w:rPr>
        <w:t xml:space="preserve">” means (a) in the case of a </w:t>
      </w:r>
      <w:r>
        <w:rPr>
          <w:rFonts w:ascii="Arial" w:cs="Arial" w:eastAsia="Arial" w:hAnsi="Arial"/>
          <w:sz w:val="21"/>
          <w:szCs w:val="21"/>
          <w:b w:val="1"/>
          <w:bCs w:val="1"/>
          <w:color w:val="FF0000"/>
          <w:strike w:val="1"/>
        </w:rPr>
        <w:t>Eurocurrency Rate</w:t>
      </w:r>
      <w:r>
        <w:rPr>
          <w:rFonts w:ascii="Arial" w:cs="Arial" w:eastAsia="Arial" w:hAnsi="Arial"/>
          <w:sz w:val="21"/>
          <w:szCs w:val="21"/>
          <w:b w:val="1"/>
          <w:bCs w:val="1"/>
          <w:u w:val="single" w:color="auto"/>
          <w:color w:val="0000FF"/>
        </w:rPr>
        <w:t>Term Benchmark</w:t>
      </w:r>
      <w:r>
        <w:rPr>
          <w:rFonts w:ascii="Arial" w:cs="Arial" w:eastAsia="Arial" w:hAnsi="Arial"/>
          <w:sz w:val="21"/>
          <w:szCs w:val="21"/>
          <w:color w:val="auto"/>
        </w:rPr>
        <w:t xml:space="preserve"> Borrowing denominated in US Dollars, $5,000,000, (b) in the case of a Base Rate Borrowing, $500,000, (c) in the case of an Absolute Rate Borrowing denominated in US Dollars, $5,000,000 and (d) in the case of a Borrowing denominated in an Alternative Currency or in a Discretionary Alternative Currency, the smallest amount of such currency that is an integral multiple of 1,000,000 units of such currency and that has a US Dollar Equivalent in excess of $5,000,000.</w:t>
      </w:r>
    </w:p>
    <w:p>
      <w:pPr>
        <w:spacing w:after="0" w:line="150" w:lineRule="exact"/>
        <w:rPr>
          <w:sz w:val="20"/>
          <w:szCs w:val="20"/>
          <w:color w:val="auto"/>
        </w:rPr>
      </w:pPr>
    </w:p>
    <w:p>
      <w:pPr>
        <w:jc w:val="both"/>
        <w:ind w:firstLine="624"/>
        <w:spacing w:after="0" w:line="226"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Borrowing Multiple</w:t>
      </w:r>
      <w:r>
        <w:rPr>
          <w:rFonts w:ascii="Arial" w:cs="Arial" w:eastAsia="Arial" w:hAnsi="Arial"/>
          <w:sz w:val="21"/>
          <w:szCs w:val="21"/>
          <w:color w:val="auto"/>
        </w:rPr>
        <w:t xml:space="preserve">” means (a) in the case of a </w:t>
      </w:r>
      <w:r>
        <w:rPr>
          <w:rFonts w:ascii="Arial" w:cs="Arial" w:eastAsia="Arial" w:hAnsi="Arial"/>
          <w:sz w:val="21"/>
          <w:szCs w:val="21"/>
          <w:b w:val="1"/>
          <w:bCs w:val="1"/>
          <w:color w:val="FF0000"/>
          <w:strike w:val="1"/>
        </w:rPr>
        <w:t>Eurocurrency Rate</w:t>
      </w:r>
      <w:r>
        <w:rPr>
          <w:rFonts w:ascii="Arial" w:cs="Arial" w:eastAsia="Arial" w:hAnsi="Arial"/>
          <w:sz w:val="21"/>
          <w:szCs w:val="21"/>
          <w:b w:val="1"/>
          <w:bCs w:val="1"/>
          <w:u w:val="single" w:color="auto"/>
          <w:color w:val="0000FF"/>
        </w:rPr>
        <w:t>Term Benchmark</w:t>
      </w:r>
      <w:r>
        <w:rPr>
          <w:rFonts w:ascii="Arial" w:cs="Arial" w:eastAsia="Arial" w:hAnsi="Arial"/>
          <w:sz w:val="21"/>
          <w:szCs w:val="21"/>
          <w:color w:val="auto"/>
        </w:rPr>
        <w:t xml:space="preserve"> Borrowing denominated in US Dollars, $1,000,000, (b) in the case of a Base Rate Borrowing, $100,000, (c) in the case of an Absolute Rate Borrowing denominated in US Dollars, $1,000,000 and (d) in the case of a Borrowing denominated in any Alternative Currency or in a Discretionary Alternative Currency, 1,000,000 units of such currency.</w:t>
      </w:r>
    </w:p>
    <w:p>
      <w:pPr>
        <w:spacing w:after="0" w:line="150" w:lineRule="exact"/>
        <w:rPr>
          <w:sz w:val="20"/>
          <w:szCs w:val="20"/>
          <w:color w:val="auto"/>
        </w:rPr>
      </w:pPr>
    </w:p>
    <w:p>
      <w:pPr>
        <w:jc w:val="both"/>
        <w:ind w:firstLine="624"/>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Business Day</w:t>
      </w:r>
      <w:r>
        <w:rPr>
          <w:rFonts w:ascii="Arial" w:cs="Arial" w:eastAsia="Arial" w:hAnsi="Arial"/>
          <w:sz w:val="21"/>
          <w:szCs w:val="21"/>
          <w:color w:val="auto"/>
        </w:rPr>
        <w:t xml:space="preserve"> ” means any day </w:t>
      </w:r>
      <w:r>
        <w:rPr>
          <w:rFonts w:ascii="Arial" w:cs="Arial" w:eastAsia="Arial" w:hAnsi="Arial"/>
          <w:sz w:val="21"/>
          <w:szCs w:val="21"/>
          <w:b w:val="1"/>
          <w:bCs w:val="1"/>
          <w:u w:val="single" w:color="auto"/>
          <w:color w:val="0000FF"/>
        </w:rPr>
        <w:t>(</w:t>
      </w:r>
      <w:r>
        <w:rPr>
          <w:rFonts w:ascii="Arial" w:cs="Arial" w:eastAsia="Arial" w:hAnsi="Arial"/>
          <w:sz w:val="21"/>
          <w:szCs w:val="21"/>
          <w:color w:val="auto"/>
        </w:rPr>
        <w:t>other than a Saturday</w:t>
      </w:r>
      <w:r>
        <w:rPr>
          <w:rFonts w:ascii="Arial" w:cs="Arial" w:eastAsia="Arial" w:hAnsi="Arial"/>
          <w:sz w:val="21"/>
          <w:szCs w:val="21"/>
          <w:b w:val="1"/>
          <w:bCs w:val="1"/>
          <w:color w:val="FF0000"/>
          <w:strike w:val="1"/>
        </w:rPr>
        <w:t>,</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0000FF"/>
        </w:rPr>
        <w:t>or a</w:t>
      </w:r>
      <w:r>
        <w:rPr>
          <w:rFonts w:ascii="Arial" w:cs="Arial" w:eastAsia="Arial" w:hAnsi="Arial"/>
          <w:sz w:val="21"/>
          <w:szCs w:val="21"/>
          <w:color w:val="auto"/>
        </w:rPr>
        <w:t xml:space="preserve"> Sunday </w:t>
      </w:r>
      <w:r>
        <w:rPr>
          <w:rFonts w:ascii="Arial" w:cs="Arial" w:eastAsia="Arial" w:hAnsi="Arial"/>
          <w:sz w:val="21"/>
          <w:szCs w:val="21"/>
          <w:b w:val="1"/>
          <w:bCs w:val="1"/>
          <w:color w:val="FF0000"/>
        </w:rPr>
        <w:t>or other day</w:t>
      </w:r>
      <w:r>
        <w:rPr>
          <w:rFonts w:ascii="Arial" w:cs="Arial" w:eastAsia="Arial" w:hAnsi="Arial"/>
          <w:sz w:val="21"/>
          <w:szCs w:val="21"/>
          <w:b w:val="1"/>
          <w:bCs w:val="1"/>
          <w:u w:val="single" w:color="auto"/>
          <w:color w:val="0000FF"/>
        </w:rPr>
        <w:t>)</w:t>
      </w:r>
      <w:r>
        <w:rPr>
          <w:rFonts w:ascii="Arial" w:cs="Arial" w:eastAsia="Arial" w:hAnsi="Arial"/>
          <w:sz w:val="21"/>
          <w:szCs w:val="21"/>
          <w:color w:val="auto"/>
        </w:rPr>
        <w:t xml:space="preserve"> on which </w:t>
      </w:r>
      <w:r>
        <w:rPr>
          <w:rFonts w:ascii="Arial" w:cs="Arial" w:eastAsia="Arial" w:hAnsi="Arial"/>
          <w:sz w:val="21"/>
          <w:szCs w:val="21"/>
          <w:b w:val="1"/>
          <w:bCs w:val="1"/>
          <w:color w:val="FF0000"/>
          <w:strike w:val="1"/>
        </w:rPr>
        <w:t>commercial</w:t>
      </w:r>
      <w:r>
        <w:rPr>
          <w:rFonts w:ascii="Arial" w:cs="Arial" w:eastAsia="Arial" w:hAnsi="Arial"/>
          <w:sz w:val="21"/>
          <w:szCs w:val="21"/>
          <w:color w:val="auto"/>
        </w:rPr>
        <w:t xml:space="preserve"> banks are </w:t>
      </w:r>
      <w:r>
        <w:rPr>
          <w:rFonts w:ascii="Arial" w:cs="Arial" w:eastAsia="Arial" w:hAnsi="Arial"/>
          <w:sz w:val="21"/>
          <w:szCs w:val="21"/>
          <w:b w:val="1"/>
          <w:bCs w:val="1"/>
          <w:color w:val="FF0000"/>
          <w:strike w:val="1"/>
        </w:rPr>
        <w:t>authorized to remain closed under the Laws of, or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4352290</wp:posOffset>
            </wp:positionH>
            <wp:positionV relativeFrom="paragraph">
              <wp:posOffset>-219075</wp:posOffset>
            </wp:positionV>
            <wp:extent cx="822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146" w:right="339" w:bottom="1440" w:gutter="0" w:footer="0" w:header="0"/>
        </w:sectPr>
      </w:pPr>
    </w:p>
    <w:bookmarkStart w:id="146" w:name="page147"/>
    <w:bookmarkEnd w:id="146"/>
    <w:p>
      <w:pPr>
        <w:spacing w:after="0"/>
        <w:rPr>
          <w:sz w:val="20"/>
          <w:szCs w:val="20"/>
          <w:color w:val="auto"/>
        </w:rPr>
      </w:pPr>
      <w:r>
        <w:rPr>
          <w:rFonts w:ascii="Arial" w:cs="Arial" w:eastAsia="Arial" w:hAnsi="Arial"/>
          <w:sz w:val="19"/>
          <w:szCs w:val="19"/>
          <w:b w:val="1"/>
          <w:bCs w:val="1"/>
          <w:color w:val="FF0000"/>
          <w:strike w:val="1"/>
        </w:rPr>
        <w:t>in fact closed in,</w:t>
      </w:r>
      <w:r>
        <w:rPr>
          <w:rFonts w:ascii="Arial" w:cs="Arial" w:eastAsia="Arial" w:hAnsi="Arial"/>
          <w:sz w:val="19"/>
          <w:szCs w:val="19"/>
          <w:b w:val="1"/>
          <w:bCs w:val="1"/>
          <w:u w:val="single" w:color="auto"/>
          <w:color w:val="0000FF"/>
        </w:rPr>
        <w:t>open for business in</w:t>
      </w:r>
      <w:r>
        <w:rPr>
          <w:rFonts w:ascii="Arial" w:cs="Arial" w:eastAsia="Arial" w:hAnsi="Arial"/>
          <w:sz w:val="19"/>
          <w:szCs w:val="19"/>
          <w:b w:val="1"/>
          <w:bCs w:val="1"/>
          <w:color w:val="FF0000"/>
        </w:rPr>
        <w:t xml:space="preserve"> </w:t>
      </w:r>
      <w:r>
        <w:rPr>
          <w:rFonts w:ascii="Arial" w:cs="Arial" w:eastAsia="Arial" w:hAnsi="Arial"/>
          <w:sz w:val="19"/>
          <w:szCs w:val="19"/>
          <w:color w:val="000000"/>
        </w:rPr>
        <w:t>New York City, provided that</w:t>
      </w:r>
      <w:r>
        <w:rPr>
          <w:rFonts w:ascii="Arial" w:cs="Arial" w:eastAsia="Arial" w:hAnsi="Arial"/>
          <w:sz w:val="19"/>
          <w:szCs w:val="19"/>
          <w:b w:val="1"/>
          <w:bCs w:val="1"/>
          <w:u w:val="single" w:color="auto"/>
          <w:color w:val="0000FF"/>
        </w:rPr>
        <w:t>, in addition to the foregoing, a Business Day shall be</w:t>
      </w:r>
      <w:r>
        <w:rPr>
          <w:rFonts w:ascii="Arial" w:cs="Arial" w:eastAsia="Arial" w:hAnsi="Arial"/>
          <w:sz w:val="19"/>
          <w:szCs w:val="19"/>
          <w:color w:val="000000"/>
        </w:rPr>
        <w:t>:</w:t>
      </w:r>
    </w:p>
    <w:p>
      <w:pPr>
        <w:spacing w:after="0" w:line="232" w:lineRule="exact"/>
        <w:rPr>
          <w:sz w:val="20"/>
          <w:szCs w:val="20"/>
          <w:color w:val="auto"/>
        </w:rPr>
      </w:pPr>
    </w:p>
    <w:p>
      <w:pPr>
        <w:jc w:val="both"/>
        <w:ind w:left="960" w:right="40" w:firstLine="636"/>
        <w:spacing w:after="0" w:line="284" w:lineRule="auto"/>
        <w:tabs>
          <w:tab w:leader="none" w:pos="1886" w:val="left"/>
        </w:tabs>
        <w:numPr>
          <w:ilvl w:val="0"/>
          <w:numId w:val="93"/>
        </w:numPr>
        <w:rPr>
          <w:rFonts w:ascii="Arial" w:cs="Arial" w:eastAsia="Arial" w:hAnsi="Arial"/>
          <w:sz w:val="17"/>
          <w:szCs w:val="17"/>
          <w:b w:val="1"/>
          <w:bCs w:val="1"/>
          <w:color w:val="FF0000"/>
          <w:strike w:val="1"/>
        </w:rPr>
      </w:pPr>
      <w:r>
        <w:rPr>
          <w:rFonts w:ascii="Arial" w:cs="Arial" w:eastAsia="Arial" w:hAnsi="Arial"/>
          <w:sz w:val="19"/>
          <w:szCs w:val="19"/>
          <w:b w:val="1"/>
          <w:bCs w:val="1"/>
          <w:color w:val="FF0000"/>
          <w:strike w:val="1"/>
        </w:rPr>
        <w:t>when used in connection with a Eurocurrency Rate Loan, the term “Business Day” shall also exclude when used in connection with a Eurocurrency Rate Loan denominated in US Dollars, any Alternative Currency (other than Euro) or any Discretionary Alternative Currency, any day on which dealings in deposits in US Dollars or the applicable Alternative Currency or Discretionary Alternative Currency, as the case may be, are not conducted by and between banks in the London interbank eurodollar market; and</w:t>
      </w:r>
    </w:p>
    <w:p>
      <w:pPr>
        <w:spacing w:after="0" w:line="4" w:lineRule="exact"/>
        <w:rPr>
          <w:rFonts w:ascii="Arial" w:cs="Arial" w:eastAsia="Arial" w:hAnsi="Arial"/>
          <w:sz w:val="17"/>
          <w:szCs w:val="17"/>
          <w:b w:val="1"/>
          <w:bCs w:val="1"/>
          <w:color w:val="FF0000"/>
          <w:strike w:val="1"/>
        </w:rPr>
      </w:pPr>
    </w:p>
    <w:p>
      <w:pPr>
        <w:jc w:val="both"/>
        <w:ind w:left="960" w:right="40" w:firstLine="636"/>
        <w:spacing w:after="0" w:line="268" w:lineRule="auto"/>
        <w:rPr>
          <w:rFonts w:ascii="Arial" w:cs="Arial" w:eastAsia="Arial" w:hAnsi="Arial"/>
          <w:sz w:val="17"/>
          <w:szCs w:val="17"/>
          <w:b w:val="1"/>
          <w:bCs w:val="1"/>
          <w:color w:val="FF0000"/>
          <w:strike w:val="1"/>
        </w:rPr>
      </w:pPr>
      <w:r>
        <w:rPr>
          <w:rFonts w:ascii="Arial" w:cs="Arial" w:eastAsia="Arial" w:hAnsi="Arial"/>
          <w:sz w:val="19"/>
          <w:szCs w:val="19"/>
          <w:b w:val="1"/>
          <w:bCs w:val="1"/>
          <w:u w:val="single" w:color="auto"/>
          <w:color w:val="0000FF"/>
        </w:rPr>
        <w:t xml:space="preserve">(1) </w:t>
      </w:r>
      <w:r>
        <w:rPr>
          <w:rFonts w:ascii="Arial" w:cs="Arial" w:eastAsia="Arial" w:hAnsi="Arial"/>
          <w:sz w:val="21"/>
          <w:szCs w:val="21"/>
          <w:b w:val="1"/>
          <w:bCs w:val="1"/>
          <w:u w:val="single" w:color="auto"/>
          <w:color w:val="0000FF"/>
        </w:rPr>
        <w:t>in relation to RFR Loans and any interest rate settings, fundings, disbursements, settlements or</w:t>
      </w:r>
      <w:r>
        <w:rPr>
          <w:rFonts w:ascii="Arial" w:cs="Arial" w:eastAsia="Arial" w:hAnsi="Arial"/>
          <w:sz w:val="19"/>
          <w:szCs w:val="19"/>
          <w:b w:val="1"/>
          <w:bCs w:val="1"/>
          <w:u w:val="single" w:color="auto"/>
          <w:color w:val="0000FF"/>
        </w:rPr>
        <w:t xml:space="preserve"> </w:t>
      </w:r>
      <w:r>
        <w:rPr>
          <w:rFonts w:ascii="Arial" w:cs="Arial" w:eastAsia="Arial" w:hAnsi="Arial"/>
          <w:sz w:val="21"/>
          <w:szCs w:val="21"/>
          <w:b w:val="1"/>
          <w:bCs w:val="1"/>
          <w:u w:val="single" w:color="auto"/>
          <w:color w:val="0000FF"/>
        </w:rPr>
        <w:t>payments of any such RFR Loan, or any other dealings of such RFR Loan, any such day that is only a U.S. Government Securities Business Day;</w:t>
      </w:r>
    </w:p>
    <w:p>
      <w:pPr>
        <w:spacing w:after="0" w:line="199" w:lineRule="exact"/>
        <w:rPr>
          <w:sz w:val="20"/>
          <w:szCs w:val="20"/>
          <w:color w:val="auto"/>
        </w:rPr>
      </w:pPr>
    </w:p>
    <w:p>
      <w:pPr>
        <w:jc w:val="both"/>
        <w:ind w:left="960" w:right="40" w:firstLine="636"/>
        <w:spacing w:after="0" w:line="266" w:lineRule="auto"/>
        <w:tabs>
          <w:tab w:leader="none" w:pos="1914" w:val="left"/>
        </w:tabs>
        <w:numPr>
          <w:ilvl w:val="0"/>
          <w:numId w:val="94"/>
        </w:numPr>
        <w:rPr>
          <w:rFonts w:ascii="Arial" w:cs="Arial" w:eastAsia="Arial" w:hAnsi="Arial"/>
          <w:sz w:val="19"/>
          <w:szCs w:val="19"/>
          <w:b w:val="1"/>
          <w:bCs w:val="1"/>
          <w:u w:val="single" w:color="auto"/>
          <w:color w:val="0000FF"/>
        </w:rPr>
      </w:pPr>
      <w:r>
        <w:rPr>
          <w:rFonts w:ascii="Arial" w:cs="Arial" w:eastAsia="Arial" w:hAnsi="Arial"/>
          <w:sz w:val="21"/>
          <w:szCs w:val="21"/>
          <w:b w:val="1"/>
          <w:bCs w:val="1"/>
          <w:u w:val="single" w:color="auto"/>
          <w:color w:val="0000FF"/>
        </w:rPr>
        <w:t>in relation to Loans referencing the Adjusted Term SOFR Rate and any interest rate settings, fundings, disbursements, settlements or payments of any such Loans referencing the Adjusted Term SOFR Rate or any other dealings of such Loans referencing the Adjusted Term SOFR Rate, any such day that is only a U.S. Government Securities Business Day; and</w:t>
      </w:r>
    </w:p>
    <w:p>
      <w:pPr>
        <w:spacing w:after="0" w:line="201" w:lineRule="exact"/>
        <w:rPr>
          <w:rFonts w:ascii="Arial" w:cs="Arial" w:eastAsia="Arial" w:hAnsi="Arial"/>
          <w:sz w:val="19"/>
          <w:szCs w:val="19"/>
          <w:b w:val="1"/>
          <w:bCs w:val="1"/>
          <w:u w:val="single" w:color="auto"/>
          <w:color w:val="0000FF"/>
        </w:rPr>
      </w:pPr>
    </w:p>
    <w:p>
      <w:pPr>
        <w:jc w:val="both"/>
        <w:ind w:left="960" w:right="40" w:firstLine="636"/>
        <w:spacing w:after="0" w:line="315" w:lineRule="auto"/>
        <w:tabs>
          <w:tab w:leader="none" w:pos="1914" w:val="left"/>
        </w:tabs>
        <w:numPr>
          <w:ilvl w:val="0"/>
          <w:numId w:val="94"/>
        </w:numPr>
        <w:rPr>
          <w:rFonts w:ascii="Arial" w:cs="Arial" w:eastAsia="Arial" w:hAnsi="Arial"/>
          <w:sz w:val="17"/>
          <w:szCs w:val="17"/>
          <w:b w:val="1"/>
          <w:bCs w:val="1"/>
          <w:u w:val="single" w:color="auto"/>
          <w:color w:val="0000FF"/>
        </w:rPr>
      </w:pPr>
      <w:r>
        <w:rPr>
          <w:rFonts w:ascii="Arial" w:cs="Arial" w:eastAsia="Arial" w:hAnsi="Arial"/>
          <w:sz w:val="19"/>
          <w:szCs w:val="19"/>
          <w:b w:val="1"/>
          <w:bCs w:val="1"/>
          <w:color w:val="FF0000"/>
          <w:strike w:val="1"/>
        </w:rPr>
        <w:t>(b)</w:t>
      </w:r>
      <w:r>
        <w:rPr>
          <w:rFonts w:ascii="Arial" w:cs="Arial" w:eastAsia="Arial" w:hAnsi="Arial"/>
          <w:sz w:val="19"/>
          <w:szCs w:val="19"/>
          <w:b w:val="1"/>
          <w:bCs w:val="1"/>
          <w:color w:val="FF0000"/>
        </w:rPr>
        <w:t xml:space="preserve"> </w:t>
      </w:r>
      <w:r>
        <w:rPr>
          <w:rFonts w:ascii="Arial" w:cs="Arial" w:eastAsia="Arial" w:hAnsi="Arial"/>
          <w:sz w:val="19"/>
          <w:szCs w:val="19"/>
          <w:color w:val="000000"/>
        </w:rPr>
        <w:t>when used in connection with a Bid Loan that is an Absolute Rate Loan denominated in any</w:t>
      </w:r>
      <w:r>
        <w:rPr>
          <w:rFonts w:ascii="Arial" w:cs="Arial" w:eastAsia="Arial" w:hAnsi="Arial"/>
          <w:sz w:val="19"/>
          <w:szCs w:val="19"/>
          <w:b w:val="1"/>
          <w:bCs w:val="1"/>
          <w:color w:val="FF0000"/>
        </w:rPr>
        <w:t xml:space="preserve"> </w:t>
      </w:r>
      <w:r>
        <w:rPr>
          <w:rFonts w:ascii="Arial" w:cs="Arial" w:eastAsia="Arial" w:hAnsi="Arial"/>
          <w:sz w:val="19"/>
          <w:szCs w:val="19"/>
          <w:color w:val="000000"/>
        </w:rPr>
        <w:t>Discretionary Alternative Currency, the term “Business Day” shall also exclude any day on which banks are not open for foreign exchange business in the principal financial center of the country of such Discretionary Alternative Currency.</w:t>
      </w:r>
    </w:p>
    <w:p>
      <w:pPr>
        <w:spacing w:after="0" w:line="153" w:lineRule="exact"/>
        <w:rPr>
          <w:sz w:val="20"/>
          <w:szCs w:val="20"/>
          <w:color w:val="auto"/>
        </w:rPr>
      </w:pPr>
    </w:p>
    <w:p>
      <w:pPr>
        <w:jc w:val="both"/>
        <w:ind w:firstLine="624"/>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 Lease Obligations</w:t>
      </w:r>
      <w:r>
        <w:rPr>
          <w:rFonts w:ascii="Arial" w:cs="Arial" w:eastAsia="Arial" w:hAnsi="Arial"/>
          <w:sz w:val="20"/>
          <w:szCs w:val="20"/>
          <w:color w:val="auto"/>
        </w:rPr>
        <w:t xml:space="preserve">”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or financing leases on a balance sheet of such Person under GAAP, and the amount of such obligations shall be the capitalized amount thereof determined in accordance with GAAP;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all obligations of any Person that are or would have been treated as operating leases for purposes of GAAP prior to the issuance by the Financial Accounting Standards Board on February 25, 2016 of an Accounting Standards Update (the “ </w:t>
      </w:r>
      <w:r>
        <w:rPr>
          <w:rFonts w:ascii="Arial" w:cs="Arial" w:eastAsia="Arial" w:hAnsi="Arial"/>
          <w:sz w:val="20"/>
          <w:szCs w:val="20"/>
          <w:u w:val="single" w:color="auto"/>
          <w:color w:val="auto"/>
        </w:rPr>
        <w:t>ASU</w:t>
      </w:r>
      <w:r>
        <w:rPr>
          <w:rFonts w:ascii="Arial" w:cs="Arial" w:eastAsia="Arial" w:hAnsi="Arial"/>
          <w:sz w:val="20"/>
          <w:szCs w:val="20"/>
          <w:color w:val="auto"/>
        </w:rPr>
        <w:t xml:space="preserve">”) shall continue to be accounted for as operating leases for purposes of all financial definitions and calculations for purpose of this Agreement (whether or not such operating lease obligations were in effect on such date) notwithstanding the fact that such obligations are required in accordance with the ASU (on a prospective or retroactive basis or otherwise) to be treated as Capital Lease Obligations in the financial statements to be delivered pursuant to </w:t>
      </w:r>
      <w:r>
        <w:rPr>
          <w:rFonts w:ascii="Arial" w:cs="Arial" w:eastAsia="Arial" w:hAnsi="Arial"/>
          <w:sz w:val="20"/>
          <w:szCs w:val="20"/>
          <w:u w:val="single" w:color="auto"/>
          <w:color w:val="auto"/>
        </w:rPr>
        <w:t>Section 6.01</w:t>
      </w:r>
      <w:r>
        <w:rPr>
          <w:rFonts w:ascii="Arial" w:cs="Arial" w:eastAsia="Arial" w:hAnsi="Arial"/>
          <w:sz w:val="20"/>
          <w:szCs w:val="20"/>
          <w:color w:val="auto"/>
        </w:rPr>
        <w:t>.</w:t>
      </w:r>
    </w:p>
    <w:p>
      <w:pPr>
        <w:spacing w:after="0" w:line="157" w:lineRule="exact"/>
        <w:rPr>
          <w:sz w:val="20"/>
          <w:szCs w:val="20"/>
          <w:color w:val="auto"/>
        </w:rPr>
      </w:pPr>
    </w:p>
    <w:p>
      <w:pPr>
        <w:jc w:val="both"/>
        <w:ind w:firstLine="624"/>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Collateralize</w:t>
      </w:r>
      <w:r>
        <w:rPr>
          <w:rFonts w:ascii="Arial" w:cs="Arial" w:eastAsia="Arial" w:hAnsi="Arial"/>
          <w:sz w:val="19"/>
          <w:szCs w:val="19"/>
          <w:color w:val="auto"/>
        </w:rPr>
        <w:t>” means to pledge and deposit with or deliver to the Administrative Agent, for the benefit of the Administrative Agent, the applicable L/C Issuer and the Lenders, as collateral for L/C Obligations or obligations of Lenders to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40"/>
          </w:cols>
          <w:pgMar w:left="320" w:top="1146" w:right="339" w:bottom="1440" w:gutter="0" w:footer="0" w:header="0"/>
        </w:sectPr>
      </w:pPr>
    </w:p>
    <w:bookmarkStart w:id="147" w:name="page148"/>
    <w:bookmarkEnd w:id="147"/>
    <w:p>
      <w:pPr>
        <w:jc w:val="both"/>
        <w:spacing w:after="0" w:line="222" w:lineRule="auto"/>
        <w:rPr>
          <w:sz w:val="20"/>
          <w:szCs w:val="20"/>
          <w:color w:val="auto"/>
        </w:rPr>
      </w:pPr>
      <w:r>
        <w:rPr>
          <w:rFonts w:ascii="Arial" w:cs="Arial" w:eastAsia="Arial" w:hAnsi="Arial"/>
          <w:sz w:val="21"/>
          <w:szCs w:val="21"/>
          <w:color w:val="auto"/>
        </w:rPr>
        <w:t xml:space="preserve">participations in respect thereof (as the context may require), cash or deposit account balances or, if the applicable L/C Issuer benefitting from such collateral shall agree in its sole discretion, other credit support (including backstop letters of credit), in each case pursuant to documentation in form and substance reasonably satisfactory to (a) the Administrative Agent and (b) the applicable L/C Issuer. “ </w:t>
      </w:r>
      <w:r>
        <w:rPr>
          <w:rFonts w:ascii="Arial" w:cs="Arial" w:eastAsia="Arial" w:hAnsi="Arial"/>
          <w:sz w:val="21"/>
          <w:szCs w:val="21"/>
          <w:u w:val="single" w:color="auto"/>
          <w:color w:val="auto"/>
        </w:rPr>
        <w:t>Cash Collateral</w:t>
      </w:r>
      <w:r>
        <w:rPr>
          <w:rFonts w:ascii="Arial" w:cs="Arial" w:eastAsia="Arial" w:hAnsi="Arial"/>
          <w:sz w:val="21"/>
          <w:szCs w:val="21"/>
          <w:color w:val="auto"/>
        </w:rPr>
        <w:t>” shall have a meaning correlative to the foregoing and shall include the proceeds of such cash collateral and other credit support.</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CFC</w:t>
      </w:r>
      <w:r>
        <w:rPr>
          <w:rFonts w:ascii="Arial" w:cs="Arial" w:eastAsia="Arial" w:hAnsi="Arial"/>
          <w:sz w:val="21"/>
          <w:szCs w:val="21"/>
          <w:color w:val="auto"/>
        </w:rPr>
        <w:t>” means a “controlled foreign corporation” as defined in Section 957(a) of the Code.</w:t>
      </w:r>
    </w:p>
    <w:p>
      <w:pPr>
        <w:spacing w:after="0" w:line="183" w:lineRule="exact"/>
        <w:rPr>
          <w:sz w:val="20"/>
          <w:szCs w:val="20"/>
          <w:color w:val="auto"/>
        </w:rPr>
      </w:pPr>
    </w:p>
    <w:p>
      <w:pPr>
        <w:jc w:val="both"/>
        <w:ind w:firstLine="624"/>
        <w:spacing w:after="0" w:line="22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in Law</w:t>
      </w:r>
      <w:r>
        <w:rPr>
          <w:rFonts w:ascii="Arial" w:cs="Arial" w:eastAsia="Arial" w:hAnsi="Arial"/>
          <w:sz w:val="20"/>
          <w:szCs w:val="20"/>
          <w:color w:val="auto"/>
        </w:rPr>
        <w:t xml:space="preserve">” means the occurrence, after the Effective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notwithstanding anything herein to the contrary, (i) the Dodd-Frank Wall Street Reform and Consumer Protection Act and all requests, rules, guidelines or directives thereunder or issued in connection therewith or in the implementation thereof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54" w:lineRule="exact"/>
        <w:rPr>
          <w:sz w:val="20"/>
          <w:szCs w:val="20"/>
          <w:color w:val="auto"/>
        </w:rPr>
      </w:pPr>
    </w:p>
    <w:p>
      <w:pPr>
        <w:jc w:val="both"/>
        <w:ind w:firstLine="624"/>
        <w:spacing w:after="0" w:line="238"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Change of Control</w:t>
      </w:r>
      <w:r>
        <w:rPr>
          <w:rFonts w:ascii="Arial" w:cs="Arial" w:eastAsia="Arial" w:hAnsi="Arial"/>
          <w:sz w:val="19"/>
          <w:szCs w:val="19"/>
          <w:color w:val="auto"/>
        </w:rPr>
        <w:t>” means the occurrence of any of the following: (a) an event or series of events by which any “person” or “group” (as such terms are used in Sections 13(d) and 14(d) of the Securities Exchange Act, but excluding any employee benefit plan of the Borrower or its Subsidiaries, and any Person acting in its capacity as trustee, agent or other fiduciary or administrator of any such plan) is or becomes the “beneficial owner” (as defined in Rules 13d-3 and 13d-5 under the Securities Exchange Act), directly or indirectly, of more than 50% of the total voting power of the Equity Interests in Borrower on a fully-diluted basis or (b) within a period of twelve (12) consecutive calendar months, a majority of the members of the board of directors or other equivalent governing body of the Borrower cease to be composed of individuals (i) who were members of that board or equivalent governing body on the first day of such period, (ii) whose election, nomination or appointment to that board or equivalent governing body was approved by individuals referred to in clause (i) above constituting at the time of such election or nomination at least a majority of that board or equivalent governing body or (iii) whose election, nomination or appointment to that board or other equivalent governing body was approved by individuals referred to in clauses (i) and (ii) above constituting at the time of such election or nomination at least a majority of that board or equivalent governing body.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40"/>
          </w:cols>
          <w:pgMar w:left="320" w:top="1152" w:right="339" w:bottom="1440" w:gutter="0" w:footer="0" w:header="0"/>
        </w:sectPr>
      </w:pPr>
    </w:p>
    <w:bookmarkStart w:id="148" w:name="page149"/>
    <w:bookmarkEnd w:id="148"/>
    <w:p>
      <w:pPr>
        <w:jc w:val="both"/>
        <w:ind w:firstLine="636"/>
        <w:spacing w:after="0" w:line="245" w:lineRule="auto"/>
        <w:rPr>
          <w:sz w:val="20"/>
          <w:szCs w:val="20"/>
          <w:color w:val="auto"/>
        </w:rPr>
      </w:pPr>
      <w:r>
        <w:rPr>
          <w:rFonts w:ascii="Arial" w:cs="Arial" w:eastAsia="Arial" w:hAnsi="Arial"/>
          <w:sz w:val="21"/>
          <w:szCs w:val="21"/>
          <w:b w:val="1"/>
          <w:bCs w:val="1"/>
          <w:u w:val="single" w:color="auto"/>
          <w:color w:val="0000FF"/>
        </w:rPr>
        <w:t>“CME Term SOFR Administrator” means CME Group Benchmark Administration Limited as administrator of the forward-looking term Secured Overnight Financing Rate (SOFR) (or a successor administrator).</w:t>
      </w:r>
    </w:p>
    <w:p>
      <w:pPr>
        <w:spacing w:after="0" w:line="3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Code</w:t>
      </w:r>
      <w:r>
        <w:rPr>
          <w:rFonts w:ascii="Arial" w:cs="Arial" w:eastAsia="Arial" w:hAnsi="Arial"/>
          <w:sz w:val="21"/>
          <w:szCs w:val="21"/>
          <w:color w:val="auto"/>
        </w:rPr>
        <w:t>” means the Internal Revenue Code of 1986.</w:t>
      </w:r>
    </w:p>
    <w:p>
      <w:pPr>
        <w:spacing w:after="0" w:line="200" w:lineRule="exact"/>
        <w:rPr>
          <w:sz w:val="20"/>
          <w:szCs w:val="20"/>
          <w:color w:val="auto"/>
        </w:rPr>
      </w:pPr>
    </w:p>
    <w:p>
      <w:pPr>
        <w:spacing w:after="0" w:line="221"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Commitment</w:t>
      </w:r>
      <w:r>
        <w:rPr>
          <w:rFonts w:ascii="Arial" w:cs="Arial" w:eastAsia="Arial" w:hAnsi="Arial"/>
          <w:sz w:val="19"/>
          <w:szCs w:val="19"/>
          <w:color w:val="auto"/>
        </w:rPr>
        <w:t xml:space="preserve">” means, as to each Lender, its obligation (a) to make Committed Loans to the Borrower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2.01</w:t>
      </w:r>
      <w:r>
        <w:rPr>
          <w:rFonts w:ascii="Arial" w:cs="Arial" w:eastAsia="Arial" w:hAnsi="Arial"/>
          <w:sz w:val="19"/>
          <w:szCs w:val="19"/>
          <w:color w:val="auto"/>
        </w:rPr>
        <w:t xml:space="preserve"> and (b) to purchase participations in L/C Obligations pursuant to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in an aggregate principal amount at any one time outstanding not to exceed the amount set forth opposite such Lender’s name on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or in the Assignment and Assumption or the Incremental Joinder Agreement or other documentation or record (as such term is defined in Section 9-102(a)</w:t>
      </w:r>
    </w:p>
    <w:p>
      <w:pPr>
        <w:spacing w:after="0" w:line="3" w:lineRule="exact"/>
        <w:rPr>
          <w:sz w:val="20"/>
          <w:szCs w:val="20"/>
          <w:color w:val="auto"/>
        </w:rPr>
      </w:pPr>
    </w:p>
    <w:p>
      <w:pPr>
        <w:ind w:firstLine="6"/>
        <w:spacing w:after="0" w:line="231" w:lineRule="auto"/>
        <w:tabs>
          <w:tab w:leader="none" w:pos="457" w:val="left"/>
        </w:tabs>
        <w:numPr>
          <w:ilvl w:val="0"/>
          <w:numId w:val="95"/>
        </w:numPr>
        <w:rPr>
          <w:rFonts w:ascii="Arial" w:cs="Arial" w:eastAsia="Arial" w:hAnsi="Arial"/>
          <w:sz w:val="21"/>
          <w:szCs w:val="21"/>
          <w:color w:val="auto"/>
        </w:rPr>
      </w:pPr>
      <w:r>
        <w:rPr>
          <w:rFonts w:ascii="Arial" w:cs="Arial" w:eastAsia="Arial" w:hAnsi="Arial"/>
          <w:sz w:val="21"/>
          <w:szCs w:val="21"/>
          <w:color w:val="auto"/>
        </w:rPr>
        <w:t>of the New York Uniform Commercial Code) pursuant to which such Lender shall have assumed its Commitment, as applicable, as such amount may be adjusted from time to time in accordance with this Agreement.</w:t>
      </w:r>
    </w:p>
    <w:p>
      <w:pPr>
        <w:spacing w:after="0" w:line="392" w:lineRule="exact"/>
        <w:rPr>
          <w:sz w:val="20"/>
          <w:szCs w:val="20"/>
          <w:color w:val="auto"/>
        </w:rPr>
      </w:pPr>
    </w:p>
    <w:p>
      <w:pPr>
        <w:jc w:val="both"/>
        <w:ind w:firstLine="636"/>
        <w:spacing w:after="0" w:line="23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Committed Borrowing</w:t>
      </w:r>
      <w:r>
        <w:rPr>
          <w:rFonts w:ascii="Arial" w:cs="Arial" w:eastAsia="Arial" w:hAnsi="Arial"/>
          <w:sz w:val="21"/>
          <w:szCs w:val="21"/>
          <w:color w:val="auto"/>
        </w:rPr>
        <w:t xml:space="preserve">” means Committed Loans of the same Type and in the same currency made, converted or continued on the same date and, in the case of </w:t>
      </w:r>
      <w:r>
        <w:rPr>
          <w:rFonts w:ascii="Arial" w:cs="Arial" w:eastAsia="Arial" w:hAnsi="Arial"/>
          <w:sz w:val="21"/>
          <w:szCs w:val="21"/>
          <w:b w:val="1"/>
          <w:bCs w:val="1"/>
          <w:color w:val="FF0000"/>
          <w:strike w:val="1"/>
        </w:rPr>
        <w:t>Eurocurrency Rate</w:t>
      </w:r>
      <w:r>
        <w:rPr>
          <w:rFonts w:ascii="Arial" w:cs="Arial" w:eastAsia="Arial" w:hAnsi="Arial"/>
          <w:sz w:val="21"/>
          <w:szCs w:val="21"/>
          <w:b w:val="1"/>
          <w:bCs w:val="1"/>
          <w:u w:val="single" w:color="auto"/>
          <w:color w:val="0000FF"/>
        </w:rPr>
        <w:t>Term Benchmark</w:t>
      </w:r>
      <w:r>
        <w:rPr>
          <w:rFonts w:ascii="Arial" w:cs="Arial" w:eastAsia="Arial" w:hAnsi="Arial"/>
          <w:sz w:val="21"/>
          <w:szCs w:val="21"/>
          <w:color w:val="auto"/>
        </w:rPr>
        <w:t xml:space="preserve"> Committed Loans, as to which a single Interest Period is in effect.</w:t>
      </w:r>
    </w:p>
    <w:p>
      <w:pPr>
        <w:spacing w:after="0" w:line="15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Committed Loan</w:t>
      </w:r>
      <w:r>
        <w:rPr>
          <w:rFonts w:ascii="Arial" w:cs="Arial" w:eastAsia="Arial" w:hAnsi="Arial"/>
          <w:sz w:val="21"/>
          <w:szCs w:val="21"/>
          <w:color w:val="auto"/>
        </w:rPr>
        <w:t xml:space="preserve">” has the meaning specified in </w:t>
      </w:r>
      <w:r>
        <w:rPr>
          <w:rFonts w:ascii="Arial" w:cs="Arial" w:eastAsia="Arial" w:hAnsi="Arial"/>
          <w:sz w:val="21"/>
          <w:szCs w:val="21"/>
          <w:u w:val="single" w:color="auto"/>
          <w:color w:val="auto"/>
        </w:rPr>
        <w:t>Section 2.01</w:t>
      </w:r>
      <w:r>
        <w:rPr>
          <w:rFonts w:ascii="Arial" w:cs="Arial" w:eastAsia="Arial" w:hAnsi="Arial"/>
          <w:sz w:val="21"/>
          <w:szCs w:val="21"/>
          <w:color w:val="auto"/>
        </w:rPr>
        <w:t>.</w:t>
      </w:r>
    </w:p>
    <w:p>
      <w:pPr>
        <w:spacing w:after="0" w:line="183" w:lineRule="exact"/>
        <w:rPr>
          <w:sz w:val="20"/>
          <w:szCs w:val="20"/>
          <w:color w:val="auto"/>
        </w:rPr>
      </w:pPr>
    </w:p>
    <w:p>
      <w:pPr>
        <w:jc w:val="both"/>
        <w:ind w:firstLine="624"/>
        <w:spacing w:after="0" w:line="22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Committed Loan Notice</w:t>
      </w:r>
      <w:r>
        <w:rPr>
          <w:rFonts w:ascii="Arial" w:cs="Arial" w:eastAsia="Arial" w:hAnsi="Arial"/>
          <w:sz w:val="21"/>
          <w:szCs w:val="21"/>
          <w:color w:val="auto"/>
        </w:rPr>
        <w:t xml:space="preserve"> ” means a notice of (a) a borrowing of Committed Loans, (b) a conversion of any Committed Borrowing from one Type to the other or (c) a continuation of any </w:t>
      </w:r>
      <w:r>
        <w:rPr>
          <w:rFonts w:ascii="Arial" w:cs="Arial" w:eastAsia="Arial" w:hAnsi="Arial"/>
          <w:sz w:val="21"/>
          <w:szCs w:val="21"/>
          <w:b w:val="1"/>
          <w:bCs w:val="1"/>
          <w:color w:val="FF0000"/>
          <w:strike w:val="1"/>
        </w:rPr>
        <w:t>Eurocurrency Rate</w:t>
      </w:r>
      <w:r>
        <w:rPr>
          <w:rFonts w:ascii="Arial" w:cs="Arial" w:eastAsia="Arial" w:hAnsi="Arial"/>
          <w:sz w:val="21"/>
          <w:szCs w:val="21"/>
          <w:b w:val="1"/>
          <w:bCs w:val="1"/>
          <w:u w:val="single" w:color="auto"/>
          <w:color w:val="0000FF"/>
        </w:rPr>
        <w:t>Term Benchmark</w:t>
      </w:r>
      <w:r>
        <w:rPr>
          <w:rFonts w:ascii="Arial" w:cs="Arial" w:eastAsia="Arial" w:hAnsi="Arial"/>
          <w:sz w:val="21"/>
          <w:szCs w:val="21"/>
          <w:color w:val="auto"/>
        </w:rPr>
        <w:t xml:space="preserve"> Committed Borrowing, in each case pursuant to </w:t>
      </w:r>
      <w:r>
        <w:rPr>
          <w:rFonts w:ascii="Arial" w:cs="Arial" w:eastAsia="Arial" w:hAnsi="Arial"/>
          <w:sz w:val="21"/>
          <w:szCs w:val="21"/>
          <w:u w:val="single" w:color="auto"/>
          <w:color w:val="auto"/>
        </w:rPr>
        <w:t>Section 2.02(a)</w:t>
      </w:r>
      <w:r>
        <w:rPr>
          <w:rFonts w:ascii="Arial" w:cs="Arial" w:eastAsia="Arial" w:hAnsi="Arial"/>
          <w:sz w:val="21"/>
          <w:szCs w:val="21"/>
          <w:color w:val="auto"/>
        </w:rPr>
        <w:t xml:space="preserve">, which shall be substantially in the form of </w:t>
      </w:r>
      <w:r>
        <w:rPr>
          <w:rFonts w:ascii="Arial" w:cs="Arial" w:eastAsia="Arial" w:hAnsi="Arial"/>
          <w:sz w:val="21"/>
          <w:szCs w:val="21"/>
          <w:u w:val="single" w:color="auto"/>
          <w:color w:val="auto"/>
        </w:rPr>
        <w:t>Exhibit C</w:t>
      </w:r>
      <w:r>
        <w:rPr>
          <w:rFonts w:ascii="Arial" w:cs="Arial" w:eastAsia="Arial" w:hAnsi="Arial"/>
          <w:sz w:val="21"/>
          <w:szCs w:val="21"/>
          <w:color w:val="auto"/>
        </w:rPr>
        <w:t xml:space="preserve"> or any other form approved by the Administrative Agent.</w:t>
      </w:r>
    </w:p>
    <w:p>
      <w:pPr>
        <w:spacing w:after="0" w:line="154" w:lineRule="exact"/>
        <w:rPr>
          <w:sz w:val="20"/>
          <w:szCs w:val="20"/>
          <w:color w:val="auto"/>
        </w:rPr>
      </w:pPr>
    </w:p>
    <w:p>
      <w:pPr>
        <w:jc w:val="both"/>
        <w:ind w:firstLine="624"/>
        <w:spacing w:after="0" w:line="22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Communications</w:t>
      </w:r>
      <w:r>
        <w:rPr>
          <w:rFonts w:ascii="Arial" w:cs="Arial" w:eastAsia="Arial" w:hAnsi="Arial"/>
          <w:sz w:val="21"/>
          <w:szCs w:val="21"/>
          <w:color w:val="auto"/>
        </w:rPr>
        <w:t xml:space="preserve">” means, collectively, any notice, demand, communication, information, document or other material provided by or on behalf of any Loan Party pursuant to any Loan Document or the transactions contemplated therein which is distributed by the Administrative Agent, any Lender or the L/C Issuers by means of electronic communications pursuant to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10.03</w:t>
      </w:r>
      <w:r>
        <w:rPr>
          <w:rFonts w:ascii="Arial" w:cs="Arial" w:eastAsia="Arial" w:hAnsi="Arial"/>
          <w:sz w:val="21"/>
          <w:szCs w:val="21"/>
          <w:color w:val="auto"/>
        </w:rPr>
        <w:t>, including through an Approved Electronic Platform.</w:t>
      </w:r>
    </w:p>
    <w:p>
      <w:pPr>
        <w:spacing w:after="0" w:line="15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Materials</w:t>
      </w:r>
      <w:r>
        <w:rPr>
          <w:rFonts w:ascii="Arial" w:cs="Arial" w:eastAsia="Arial" w:hAnsi="Arial"/>
          <w:sz w:val="21"/>
          <w:szCs w:val="21"/>
          <w:color w:val="auto"/>
        </w:rPr>
        <w:t>” means materials and/or information provided by or on behalf of the Loan Parties hereunder.</w:t>
      </w:r>
    </w:p>
    <w:p>
      <w:pPr>
        <w:spacing w:after="0" w:line="183" w:lineRule="exact"/>
        <w:rPr>
          <w:sz w:val="20"/>
          <w:szCs w:val="20"/>
          <w:color w:val="auto"/>
        </w:rPr>
      </w:pPr>
    </w:p>
    <w:p>
      <w:pPr>
        <w:jc w:val="both"/>
        <w:ind w:firstLine="624"/>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Competitive Bid</w:t>
      </w:r>
      <w:r>
        <w:rPr>
          <w:rFonts w:ascii="Arial" w:cs="Arial" w:eastAsia="Arial" w:hAnsi="Arial"/>
          <w:sz w:val="21"/>
          <w:szCs w:val="21"/>
          <w:color w:val="auto"/>
        </w:rPr>
        <w:t xml:space="preserve">” means a written offer by a Lender to make one or more Bid Loans, substantially in the form of </w:t>
      </w:r>
      <w:r>
        <w:rPr>
          <w:rFonts w:ascii="Arial" w:cs="Arial" w:eastAsia="Arial" w:hAnsi="Arial"/>
          <w:sz w:val="21"/>
          <w:szCs w:val="21"/>
          <w:u w:val="single" w:color="auto"/>
          <w:color w:val="auto"/>
        </w:rPr>
        <w:t>Exhibit B-2</w:t>
      </w:r>
      <w:r>
        <w:rPr>
          <w:rFonts w:ascii="Arial" w:cs="Arial" w:eastAsia="Arial" w:hAnsi="Arial"/>
          <w:sz w:val="21"/>
          <w:szCs w:val="21"/>
          <w:color w:val="auto"/>
        </w:rPr>
        <w:t>, duly completed and signed by a Lender.</w:t>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Compliance Certificate</w:t>
      </w:r>
      <w:r>
        <w:rPr>
          <w:rFonts w:ascii="Arial" w:cs="Arial" w:eastAsia="Arial" w:hAnsi="Arial"/>
          <w:sz w:val="21"/>
          <w:szCs w:val="21"/>
          <w:color w:val="auto"/>
        </w:rPr>
        <w:t xml:space="preserve">” means a certificate substantially in the form of </w:t>
      </w:r>
      <w:r>
        <w:rPr>
          <w:rFonts w:ascii="Arial" w:cs="Arial" w:eastAsia="Arial" w:hAnsi="Arial"/>
          <w:sz w:val="21"/>
          <w:szCs w:val="21"/>
          <w:u w:val="single" w:color="auto"/>
          <w:color w:val="auto"/>
        </w:rPr>
        <w:t>Exhibit D</w:t>
      </w:r>
      <w:r>
        <w:rPr>
          <w:rFonts w:ascii="Arial" w:cs="Arial" w:eastAsia="Arial" w:hAnsi="Arial"/>
          <w:sz w:val="21"/>
          <w:szCs w:val="21"/>
          <w:color w:val="auto"/>
        </w:rPr>
        <w:t>.</w:t>
      </w:r>
    </w:p>
    <w:p>
      <w:pPr>
        <w:spacing w:after="0" w:line="183" w:lineRule="exact"/>
        <w:rPr>
          <w:sz w:val="20"/>
          <w:szCs w:val="20"/>
          <w:color w:val="auto"/>
        </w:rPr>
      </w:pPr>
    </w:p>
    <w:p>
      <w:pPr>
        <w:jc w:val="both"/>
        <w:ind w:firstLine="624"/>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EBITDA</w:t>
      </w:r>
      <w:r>
        <w:rPr>
          <w:rFonts w:ascii="Arial" w:cs="Arial" w:eastAsia="Arial" w:hAnsi="Arial"/>
          <w:sz w:val="21"/>
          <w:szCs w:val="21"/>
          <w:color w:val="auto"/>
        </w:rPr>
        <w:t>” means, for any period, for the Borrower and its Subsidiaries on a consolidated basis, an amount equal to:</w:t>
      </w:r>
    </w:p>
    <w:p>
      <w:pPr>
        <w:spacing w:after="0" w:line="155" w:lineRule="exact"/>
        <w:rPr>
          <w:sz w:val="20"/>
          <w:szCs w:val="20"/>
          <w:color w:val="auto"/>
        </w:rPr>
      </w:pPr>
    </w:p>
    <w:p>
      <w:pPr>
        <w:ind w:left="1280" w:hanging="762"/>
        <w:spacing w:after="0"/>
        <w:tabs>
          <w:tab w:leader="none" w:pos="1280" w:val="left"/>
        </w:tabs>
        <w:numPr>
          <w:ilvl w:val="0"/>
          <w:numId w:val="96"/>
        </w:numPr>
        <w:rPr>
          <w:rFonts w:ascii="Arial" w:cs="Arial" w:eastAsia="Arial" w:hAnsi="Arial"/>
          <w:sz w:val="21"/>
          <w:szCs w:val="21"/>
          <w:color w:val="auto"/>
        </w:rPr>
      </w:pPr>
      <w:r>
        <w:rPr>
          <w:rFonts w:ascii="Arial" w:cs="Arial" w:eastAsia="Arial" w:hAnsi="Arial"/>
          <w:sz w:val="21"/>
          <w:szCs w:val="21"/>
          <w:color w:val="auto"/>
        </w:rPr>
        <w:t>Consolidated Net Income for such period, 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40"/>
          </w:cols>
          <w:pgMar w:left="320" w:top="1146" w:right="339" w:bottom="1440" w:gutter="0" w:footer="0" w:header="0"/>
        </w:sectPr>
      </w:pPr>
    </w:p>
    <w:bookmarkStart w:id="149" w:name="page150"/>
    <w:bookmarkEnd w:id="149"/>
    <w:p>
      <w:pPr>
        <w:jc w:val="both"/>
        <w:ind w:left="-6" w:firstLine="459"/>
        <w:spacing w:after="0" w:line="233" w:lineRule="auto"/>
        <w:tabs>
          <w:tab w:leader="none" w:pos="1266" w:val="left"/>
        </w:tabs>
        <w:numPr>
          <w:ilvl w:val="1"/>
          <w:numId w:val="97"/>
        </w:numPr>
        <w:rPr>
          <w:rFonts w:ascii="Arial" w:cs="Arial" w:eastAsia="Arial" w:hAnsi="Arial"/>
          <w:sz w:val="19"/>
          <w:szCs w:val="19"/>
          <w:color w:val="auto"/>
        </w:rPr>
      </w:pPr>
      <w:r>
        <w:rPr>
          <w:rFonts w:ascii="Arial" w:cs="Arial" w:eastAsia="Arial" w:hAnsi="Arial"/>
          <w:sz w:val="19"/>
          <w:szCs w:val="19"/>
          <w:color w:val="auto"/>
        </w:rPr>
        <w:t>without duplication and only to the extent deducted in calculating Consolidated Net Income for such period, the sum of: (i) interest expense, (ii) income tax expense, (iii) depreciation and amortization expense, (iv) losses attributable to noncontrolling interest, (v) stock-based compensation expense, (vi) asset impairment charges (including impairment of intangibles or goodwill), (vii) restructuring charges, (viii) charges, losses and expenses associated with any Acquisition, including Milestone Payments, integration charges, charges associated with the revaluation of assets or liabilities (including noncash charges recorded in respect of purchase accounting), any contingent or deferred payments (including earn-outs, contingent liabilities that are based, in whole or in part, on future estimated cash flows, royalties, non-compete payments and consulting payments, but excluding ongoing royalties associated therewith paid in cash in such period) made in connection with such Acquisition and any revaluation adjustments thereof, (ix) one-time non-recurring up-front and milestone payments payable under research and development licensing agreements, collaboration agreements or development agreements relating to uncommercialized product candidates, (x) charges, losses and expenses associated with unrealized losses on long term investments, (xi) charges, losses and expenses associated with the sale of assets (other than sales of inventory in the ordinary course of business) and losses attributable to discontinued operations, (xii) transaction fees and expenses incurred in connection with any Acquisition (or other similar investment), sale of assets (other than sales of inventory in the ordinary course of business), issuance or repayment of Indebtedness, issuance of equity securities by the Borrower, refinancing transaction or amendment or other modification of definitive agreements governing any Indebtedness (in each case, including any such transaction consummated prior to the Effective Date and any such transaction undertaken but not completed), (xiii) losses attributable to early extinguishment of Indebtedness or obligations under any Swap Contract, (xiv) litigation charges and settlements, (xv) non-cash charges (including non-cash exchange, translation or performance losses) relating to foreign currency hedging transactions or extraordinary, unusual or nonrecurring non-cash charges related to currency fluctuations, (xvi) one time clinical research and outside services costs and expenses associated with the acquisition of priority review or similar vouchers in connection with applications for regulatory approval of product candidates,</w:t>
      </w:r>
    </w:p>
    <w:p>
      <w:pPr>
        <w:spacing w:after="0" w:line="15" w:lineRule="exact"/>
        <w:rPr>
          <w:rFonts w:ascii="Arial" w:cs="Arial" w:eastAsia="Arial" w:hAnsi="Arial"/>
          <w:sz w:val="19"/>
          <w:szCs w:val="19"/>
          <w:color w:val="auto"/>
        </w:rPr>
      </w:pPr>
    </w:p>
    <w:p>
      <w:pPr>
        <w:jc w:val="both"/>
        <w:ind w:left="-6" w:firstLine="6"/>
        <w:spacing w:after="0" w:line="224" w:lineRule="auto"/>
        <w:tabs>
          <w:tab w:leader="none" w:pos="575" w:val="left"/>
        </w:tabs>
        <w:numPr>
          <w:ilvl w:val="0"/>
          <w:numId w:val="98"/>
        </w:numPr>
        <w:rPr>
          <w:rFonts w:ascii="Arial" w:cs="Arial" w:eastAsia="Arial" w:hAnsi="Arial"/>
          <w:sz w:val="21"/>
          <w:szCs w:val="21"/>
          <w:color w:val="auto"/>
        </w:rPr>
      </w:pPr>
      <w:r>
        <w:rPr>
          <w:rFonts w:ascii="Arial" w:cs="Arial" w:eastAsia="Arial" w:hAnsi="Arial"/>
          <w:sz w:val="21"/>
          <w:szCs w:val="21"/>
          <w:color w:val="auto"/>
        </w:rPr>
        <w:t xml:space="preserve">the amount of any non-cash charges attributable to losses in a joint venture, (xviii) other extraordinary, unusual or nonrecurring charges or expenses and (xix) any other noncash charges not otherwise specified in the foregoing clauses (i) through (xviii), </w:t>
      </w:r>
      <w:r>
        <w:rPr>
          <w:rFonts w:ascii="Arial" w:cs="Arial" w:eastAsia="Arial" w:hAnsi="Arial"/>
          <w:sz w:val="21"/>
          <w:szCs w:val="21"/>
          <w:u w:val="single" w:color="auto"/>
          <w:color w:val="auto"/>
        </w:rPr>
        <w:t>minus</w:t>
      </w:r>
      <w:r>
        <w:rPr>
          <w:rFonts w:ascii="Arial" w:cs="Arial" w:eastAsia="Arial" w:hAnsi="Arial"/>
          <w:sz w:val="21"/>
          <w:szCs w:val="21"/>
          <w:color w:val="auto"/>
        </w:rPr>
        <w:t>,</w:t>
      </w:r>
    </w:p>
    <w:p>
      <w:pPr>
        <w:spacing w:after="0" w:line="153" w:lineRule="exact"/>
        <w:rPr>
          <w:rFonts w:ascii="Arial" w:cs="Arial" w:eastAsia="Arial" w:hAnsi="Arial"/>
          <w:sz w:val="21"/>
          <w:szCs w:val="21"/>
          <w:color w:val="auto"/>
        </w:rPr>
      </w:pPr>
    </w:p>
    <w:p>
      <w:pPr>
        <w:jc w:val="both"/>
        <w:ind w:left="-6" w:firstLine="400"/>
        <w:spacing w:after="0" w:line="235" w:lineRule="auto"/>
        <w:tabs>
          <w:tab w:leader="none" w:pos="1266" w:val="left"/>
        </w:tabs>
        <w:numPr>
          <w:ilvl w:val="1"/>
          <w:numId w:val="98"/>
        </w:numPr>
        <w:rPr>
          <w:rFonts w:ascii="Arial" w:cs="Arial" w:eastAsia="Arial" w:hAnsi="Arial"/>
          <w:sz w:val="19"/>
          <w:szCs w:val="19"/>
          <w:color w:val="auto"/>
        </w:rPr>
      </w:pPr>
      <w:r>
        <w:rPr>
          <w:rFonts w:ascii="Arial" w:cs="Arial" w:eastAsia="Arial" w:hAnsi="Arial"/>
          <w:sz w:val="19"/>
          <w:szCs w:val="19"/>
          <w:color w:val="auto"/>
        </w:rPr>
        <w:t>without duplication and only to the extent included in calculating Consolidated Net Income for such period, the sum of (i) interest income, (ii) income tax benefit, (iii) income attributable to non-controlling interest, (iv) gains associated with any Acquisition, including gains associated with the revaluation of assets and liabilities, break-up or termination fees and gains on any revaluation adjustment of any contingent or deferred payments (including earn-outs, non-compete payments and consulting payments but excluding ongoing royalty payments) made in connection with such Acquisition, (v) unrealized gains on long term investments, (vi) gains associated with the sale of assets outside the ordinary course of business and income attributable to discontinued operations, (vii) gains attributable to early extinguishment of Indebtedness or obligations under any Swap Contract,</w:t>
      </w:r>
    </w:p>
    <w:p>
      <w:pPr>
        <w:spacing w:after="0" w:line="4" w:lineRule="exact"/>
        <w:rPr>
          <w:rFonts w:ascii="Arial" w:cs="Arial" w:eastAsia="Arial" w:hAnsi="Arial"/>
          <w:sz w:val="19"/>
          <w:szCs w:val="19"/>
          <w:color w:val="auto"/>
        </w:rPr>
      </w:pPr>
    </w:p>
    <w:p>
      <w:pPr>
        <w:jc w:val="both"/>
        <w:ind w:left="-6" w:firstLine="6"/>
        <w:spacing w:after="0" w:line="232" w:lineRule="auto"/>
        <w:tabs>
          <w:tab w:leader="none" w:pos="480" w:val="left"/>
        </w:tabs>
        <w:numPr>
          <w:ilvl w:val="0"/>
          <w:numId w:val="99"/>
        </w:numPr>
        <w:rPr>
          <w:rFonts w:ascii="Arial" w:cs="Arial" w:eastAsia="Arial" w:hAnsi="Arial"/>
          <w:sz w:val="19"/>
          <w:szCs w:val="19"/>
          <w:color w:val="auto"/>
        </w:rPr>
      </w:pPr>
      <w:r>
        <w:rPr>
          <w:rFonts w:ascii="Arial" w:cs="Arial" w:eastAsia="Arial" w:hAnsi="Arial"/>
          <w:sz w:val="19"/>
          <w:szCs w:val="19"/>
          <w:color w:val="auto"/>
        </w:rPr>
        <w:t>litigation gains and settlements, (ix) non-cash gains (including non-cash exchange, translation or performance gains) relating to foreign currency hedging transactions or extraordinary, unusual or nonrecurring non-cash gains related to currency fluctuations,</w:t>
      </w:r>
    </w:p>
    <w:p>
      <w:pPr>
        <w:spacing w:after="0" w:line="1" w:lineRule="exact"/>
        <w:rPr>
          <w:rFonts w:ascii="Arial" w:cs="Arial" w:eastAsia="Arial" w:hAnsi="Arial"/>
          <w:sz w:val="19"/>
          <w:szCs w:val="19"/>
          <w:color w:val="auto"/>
        </w:rPr>
      </w:pPr>
    </w:p>
    <w:p>
      <w:pPr>
        <w:jc w:val="both"/>
        <w:ind w:left="-6" w:firstLine="6"/>
        <w:spacing w:after="0" w:line="224" w:lineRule="auto"/>
        <w:tabs>
          <w:tab w:leader="none" w:pos="341" w:val="left"/>
        </w:tabs>
        <w:numPr>
          <w:ilvl w:val="0"/>
          <w:numId w:val="100"/>
        </w:numPr>
        <w:rPr>
          <w:rFonts w:ascii="Arial" w:cs="Arial" w:eastAsia="Arial" w:hAnsi="Arial"/>
          <w:sz w:val="21"/>
          <w:szCs w:val="21"/>
          <w:color w:val="auto"/>
        </w:rPr>
      </w:pPr>
      <w:r>
        <w:rPr>
          <w:rFonts w:ascii="Arial" w:cs="Arial" w:eastAsia="Arial" w:hAnsi="Arial"/>
          <w:sz w:val="21"/>
          <w:szCs w:val="21"/>
          <w:color w:val="auto"/>
        </w:rPr>
        <w:t>one-time non-recurring up-front and milestone payments received under research and development licensing agreements, collaboration agreements or development agreements relating to uncommercialized product candidates and (xi) other extraordinary, unusual or nonrecurring gains or other items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3"/>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194"/>
          </w:cols>
          <w:pgMar w:left="326" w:top="1152" w:right="379" w:bottom="1440" w:gutter="0" w:footer="0" w:header="0"/>
        </w:sectPr>
      </w:pPr>
    </w:p>
    <w:bookmarkStart w:id="150" w:name="page151"/>
    <w:bookmarkEnd w:id="150"/>
    <w:p>
      <w:pPr>
        <w:jc w:val="both"/>
        <w:ind w:firstLine="624"/>
        <w:spacing w:after="0" w:line="225" w:lineRule="auto"/>
        <w:rPr>
          <w:sz w:val="20"/>
          <w:szCs w:val="20"/>
          <w:color w:val="auto"/>
        </w:rPr>
      </w:pPr>
      <w:r>
        <w:rPr>
          <w:rFonts w:ascii="Arial" w:cs="Arial" w:eastAsia="Arial" w:hAnsi="Arial"/>
          <w:sz w:val="21"/>
          <w:szCs w:val="21"/>
          <w:color w:val="auto"/>
        </w:rPr>
        <w:t>For the purposes of calculating Consolidated EBITDA for any period of four consecutive fiscal quarters (each, a “</w:t>
      </w:r>
      <w:r>
        <w:rPr>
          <w:rFonts w:ascii="Arial" w:cs="Arial" w:eastAsia="Arial" w:hAnsi="Arial"/>
          <w:sz w:val="21"/>
          <w:szCs w:val="21"/>
          <w:u w:val="single" w:color="auto"/>
          <w:color w:val="auto"/>
        </w:rPr>
        <w:t>Reference</w:t>
      </w:r>
      <w:r>
        <w:rPr>
          <w:rFonts w:ascii="Arial" w:cs="Arial" w:eastAsia="Arial" w:hAnsi="Arial"/>
          <w:sz w:val="21"/>
          <w:szCs w:val="21"/>
          <w:color w:val="auto"/>
        </w:rPr>
        <w:t xml:space="preserve"> </w:t>
      </w:r>
      <w:r>
        <w:rPr>
          <w:rFonts w:ascii="Arial" w:cs="Arial" w:eastAsia="Arial" w:hAnsi="Arial"/>
          <w:sz w:val="21"/>
          <w:szCs w:val="21"/>
          <w:u w:val="single" w:color="auto"/>
          <w:color w:val="auto"/>
        </w:rPr>
        <w:t>Period</w:t>
      </w:r>
      <w:r>
        <w:rPr>
          <w:rFonts w:ascii="Arial" w:cs="Arial" w:eastAsia="Arial" w:hAnsi="Arial"/>
          <w:sz w:val="21"/>
          <w:szCs w:val="21"/>
          <w:color w:val="auto"/>
        </w:rPr>
        <w:t xml:space="preserve">”), if at any time during such Reference Period Borrower or any Subsidiary shall have made any Material Disposition or a Material Acquisition, Consolidated EBITDA for such Reference Period shall be calculated after giving pro forma effect thereto in accordance with </w:t>
      </w:r>
      <w:r>
        <w:rPr>
          <w:rFonts w:ascii="Arial" w:cs="Arial" w:eastAsia="Arial" w:hAnsi="Arial"/>
          <w:sz w:val="21"/>
          <w:szCs w:val="21"/>
          <w:u w:val="single" w:color="auto"/>
          <w:color w:val="auto"/>
        </w:rPr>
        <w:t>Section 1.03(c)</w:t>
      </w:r>
      <w:r>
        <w:rPr>
          <w:rFonts w:ascii="Arial" w:cs="Arial" w:eastAsia="Arial" w:hAnsi="Arial"/>
          <w:sz w:val="21"/>
          <w:szCs w:val="21"/>
          <w:color w:val="auto"/>
        </w:rPr>
        <w:t>.</w:t>
      </w:r>
    </w:p>
    <w:p>
      <w:pPr>
        <w:spacing w:after="0" w:line="154" w:lineRule="exact"/>
        <w:rPr>
          <w:sz w:val="20"/>
          <w:szCs w:val="20"/>
          <w:color w:val="auto"/>
        </w:rPr>
      </w:pPr>
    </w:p>
    <w:p>
      <w:pPr>
        <w:jc w:val="both"/>
        <w:ind w:firstLine="624"/>
        <w:spacing w:after="0" w:line="26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Leverage Ratio</w:t>
      </w:r>
      <w:r>
        <w:rPr>
          <w:rFonts w:ascii="Arial" w:cs="Arial" w:eastAsia="Arial" w:hAnsi="Arial"/>
          <w:sz w:val="20"/>
          <w:szCs w:val="20"/>
          <w:color w:val="auto"/>
        </w:rPr>
        <w:t>” means, as of any date of determination, the ratio of (a) Consolidated Total Debt as of such date to (b) Consolidated EBITDA for the period of the four fiscal quarters of the Borrower then most recently ended.</w:t>
      </w:r>
    </w:p>
    <w:p>
      <w:pPr>
        <w:spacing w:after="0" w:line="132" w:lineRule="exact"/>
        <w:rPr>
          <w:sz w:val="20"/>
          <w:szCs w:val="20"/>
          <w:color w:val="auto"/>
        </w:rPr>
      </w:pPr>
    </w:p>
    <w:p>
      <w:pPr>
        <w:jc w:val="both"/>
        <w:ind w:firstLine="624"/>
        <w:spacing w:after="0" w:line="239"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Consolidated Net Income</w:t>
      </w:r>
      <w:r>
        <w:rPr>
          <w:rFonts w:ascii="Arial" w:cs="Arial" w:eastAsia="Arial" w:hAnsi="Arial"/>
          <w:sz w:val="21"/>
          <w:szCs w:val="21"/>
          <w:color w:val="auto"/>
        </w:rPr>
        <w:t>” means, for any period, the consolidated net income (or loss) of the Borrower and its Subsidiaries for such period, determined on a consolidated basis in accordance with GAAP.</w:t>
      </w:r>
    </w:p>
    <w:p>
      <w:pPr>
        <w:spacing w:after="0" w:line="155" w:lineRule="exact"/>
        <w:rPr>
          <w:sz w:val="20"/>
          <w:szCs w:val="20"/>
          <w:color w:val="auto"/>
        </w:rPr>
      </w:pPr>
    </w:p>
    <w:p>
      <w:pPr>
        <w:jc w:val="both"/>
        <w:ind w:firstLine="624"/>
        <w:spacing w:after="0" w:line="23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Net Tangible Assets</w:t>
      </w:r>
      <w:r>
        <w:rPr>
          <w:rFonts w:ascii="Arial" w:cs="Arial" w:eastAsia="Arial" w:hAnsi="Arial"/>
          <w:sz w:val="21"/>
          <w:szCs w:val="21"/>
          <w:color w:val="auto"/>
        </w:rPr>
        <w:t>” means, at any time, total assets (less applicable reserves and other properly deductible items) after deducting all goodwill, in each case of the Borrower and its Subsidiaries at such time that would be reflected on a consolidated balance sheet of the Borrower and its Subsidiaries prepared in accordance with GAAP.</w:t>
      </w:r>
    </w:p>
    <w:p>
      <w:pPr>
        <w:spacing w:after="0" w:line="154" w:lineRule="exact"/>
        <w:rPr>
          <w:sz w:val="20"/>
          <w:szCs w:val="20"/>
          <w:color w:val="auto"/>
        </w:rPr>
      </w:pPr>
    </w:p>
    <w:p>
      <w:pPr>
        <w:jc w:val="both"/>
        <w:ind w:firstLine="624"/>
        <w:spacing w:after="0" w:line="26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Total Assets</w:t>
      </w:r>
      <w:r>
        <w:rPr>
          <w:rFonts w:ascii="Arial" w:cs="Arial" w:eastAsia="Arial" w:hAnsi="Arial"/>
          <w:sz w:val="20"/>
          <w:szCs w:val="20"/>
          <w:color w:val="auto"/>
        </w:rPr>
        <w:t>” means, at any time, the total assets of the Borrower and its Subsidiaries at such time that would be reflected on a consolidated balance sheet of the Borrower and its Subsidiaries prepared in accordance with GAAP.</w:t>
      </w:r>
    </w:p>
    <w:p>
      <w:pPr>
        <w:spacing w:after="0" w:line="132" w:lineRule="exact"/>
        <w:rPr>
          <w:sz w:val="20"/>
          <w:szCs w:val="20"/>
          <w:color w:val="auto"/>
        </w:rPr>
      </w:pPr>
    </w:p>
    <w:p>
      <w:pPr>
        <w:jc w:val="both"/>
        <w:ind w:firstLine="624"/>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Total Debt</w:t>
      </w:r>
      <w:r>
        <w:rPr>
          <w:rFonts w:ascii="Arial" w:cs="Arial" w:eastAsia="Arial" w:hAnsi="Arial"/>
          <w:sz w:val="19"/>
          <w:szCs w:val="19"/>
          <w:color w:val="auto"/>
        </w:rPr>
        <w:t xml:space="preserve">” means, at any time, for Borrower and its Subsidiaries on a consolidated basis, the aggregate amount of (a) (i) all Indebtedness for borrowed money and all Indebtedness constituting obligations evidenced by bonds, debentures, notes, loan agreements or other similar instruments and (ii) all Capital Lease Obligations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(b) the excess, if any, of</w:t>
      </w:r>
    </w:p>
    <w:p>
      <w:pPr>
        <w:spacing w:after="0" w:line="1" w:lineRule="exact"/>
        <w:rPr>
          <w:sz w:val="20"/>
          <w:szCs w:val="20"/>
          <w:color w:val="auto"/>
        </w:rPr>
      </w:pPr>
    </w:p>
    <w:p>
      <w:pPr>
        <w:jc w:val="both"/>
        <w:ind w:firstLine="6"/>
        <w:spacing w:after="0" w:line="232" w:lineRule="auto"/>
        <w:tabs>
          <w:tab w:leader="none" w:pos="287" w:val="left"/>
        </w:tabs>
        <w:numPr>
          <w:ilvl w:val="0"/>
          <w:numId w:val="101"/>
        </w:numPr>
        <w:rPr>
          <w:rFonts w:ascii="Arial" w:cs="Arial" w:eastAsia="Arial" w:hAnsi="Arial"/>
          <w:sz w:val="19"/>
          <w:szCs w:val="19"/>
          <w:color w:val="auto"/>
        </w:rPr>
      </w:pPr>
      <w:r>
        <w:rPr>
          <w:rFonts w:ascii="Arial" w:cs="Arial" w:eastAsia="Arial" w:hAnsi="Arial"/>
          <w:sz w:val="19"/>
          <w:szCs w:val="19"/>
          <w:color w:val="auto"/>
        </w:rPr>
        <w:t xml:space="preserve">the aggregate amount of cash, cash equivalents and marketable securities of the Borrower and its Subsidiaries, as reflected (under such line items) on a consolidated balance sheet of the Borrower and its Subsidiaries prepared as of such date in accordance with GAAP;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such cash, cash equivalents and marketable securities do not appear (and would not be required to appear) as “restricted” on a consolidated balance sheet of the Borrower and its Subsidiaries prepared in accordance with GAAP, and</w:t>
      </w:r>
    </w:p>
    <w:p>
      <w:pPr>
        <w:spacing w:after="0" w:line="3" w:lineRule="exact"/>
        <w:rPr>
          <w:rFonts w:ascii="Arial" w:cs="Arial" w:eastAsia="Arial" w:hAnsi="Arial"/>
          <w:sz w:val="19"/>
          <w:szCs w:val="19"/>
          <w:color w:val="auto"/>
        </w:rPr>
      </w:pPr>
    </w:p>
    <w:p>
      <w:pPr>
        <w:jc w:val="both"/>
        <w:ind w:firstLine="6"/>
        <w:spacing w:after="0" w:line="226" w:lineRule="auto"/>
        <w:tabs>
          <w:tab w:leader="none" w:pos="302" w:val="left"/>
        </w:tabs>
        <w:numPr>
          <w:ilvl w:val="0"/>
          <w:numId w:val="102"/>
        </w:numPr>
        <w:rPr>
          <w:rFonts w:ascii="Arial" w:cs="Arial" w:eastAsia="Arial" w:hAnsi="Arial"/>
          <w:sz w:val="20"/>
          <w:szCs w:val="20"/>
          <w:color w:val="auto"/>
        </w:rPr>
      </w:pPr>
      <w:r>
        <w:rPr>
          <w:rFonts w:ascii="Arial" w:cs="Arial" w:eastAsia="Arial" w:hAnsi="Arial"/>
          <w:sz w:val="20"/>
          <w:szCs w:val="20"/>
          <w:color w:val="auto"/>
        </w:rPr>
        <w:t>in the case of any such marketable securities, an active trading market exists therefor and price quotations are available and such marketable securities are not subject to any lock-up or other contractual restriction on the sale or other disposition thereof by the Borrower and its Subsidiaries (it being understood and agreed, for the avoidance of doubt, that U.S. Government debt securities owned by the Borrower or its Subsidiaries that are reflected on such consolidated balance sheet satisfy the foregoing criteria in this clause (y)), over (ii) $500,000,000. Notwithstanding the foregoing, solely for the purposes of determining Consolidated Total Debt at any time after the definitive agreement for any Acquisition shall have been executed and prior to the consummation of such Acquisition, any Acquisition Indebtedness with respect thereto shall be excluded from clause (a) above (and the proceeds thereof shall be excluded from clause (b) above).</w:t>
      </w:r>
    </w:p>
    <w:p>
      <w:pPr>
        <w:spacing w:after="0" w:line="157" w:lineRule="exact"/>
        <w:rPr>
          <w:sz w:val="20"/>
          <w:szCs w:val="20"/>
          <w:color w:val="auto"/>
        </w:rPr>
      </w:pPr>
    </w:p>
    <w:p>
      <w:pPr>
        <w:ind w:firstLine="624"/>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Contractual Obligation</w:t>
      </w:r>
      <w:r>
        <w:rPr>
          <w:rFonts w:ascii="Arial" w:cs="Arial" w:eastAsia="Arial" w:hAnsi="Arial"/>
          <w:sz w:val="21"/>
          <w:szCs w:val="21"/>
          <w:color w:val="auto"/>
        </w:rPr>
        <w:t>” means, as to any Person, any provision of any security issued by such Person or of any agreement, instrument or other undertaking to which such Person is a party or by which it or any of its property is bound.</w:t>
      </w:r>
    </w:p>
    <w:p>
      <w:pPr>
        <w:spacing w:after="0" w:line="155" w:lineRule="exact"/>
        <w:rPr>
          <w:sz w:val="20"/>
          <w:szCs w:val="20"/>
          <w:color w:val="auto"/>
        </w:rPr>
      </w:pPr>
    </w:p>
    <w:p>
      <w:pPr>
        <w:ind w:firstLine="624"/>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Control</w:t>
      </w:r>
      <w:r>
        <w:rPr>
          <w:rFonts w:ascii="Arial" w:cs="Arial" w:eastAsia="Arial" w:hAnsi="Arial"/>
          <w:sz w:val="21"/>
          <w:szCs w:val="21"/>
          <w:color w:val="auto"/>
        </w:rPr>
        <w:t>” means the possession, directly or indirectly, of the power to direct or cause the direction of the management or policies of a Person, whether through the 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40"/>
          </w:cols>
          <w:pgMar w:left="320" w:top="1152" w:right="339" w:bottom="1440" w:gutter="0" w:footer="0" w:header="0"/>
        </w:sectPr>
      </w:pPr>
    </w:p>
    <w:bookmarkStart w:id="151" w:name="page152"/>
    <w:bookmarkEnd w:id="151"/>
    <w:p>
      <w:pPr>
        <w:spacing w:after="0"/>
        <w:rPr>
          <w:sz w:val="20"/>
          <w:szCs w:val="20"/>
          <w:color w:val="auto"/>
        </w:rPr>
      </w:pPr>
      <w:r>
        <w:rPr>
          <w:rFonts w:ascii="Arial" w:cs="Arial" w:eastAsia="Arial" w:hAnsi="Arial"/>
          <w:sz w:val="21"/>
          <w:szCs w:val="21"/>
          <w:color w:val="auto"/>
        </w:rPr>
        <w:t>to exercise voting power, by contract or otherwise. “</w:t>
      </w:r>
      <w:r>
        <w:rPr>
          <w:rFonts w:ascii="Arial" w:cs="Arial" w:eastAsia="Arial" w:hAnsi="Arial"/>
          <w:sz w:val="21"/>
          <w:szCs w:val="21"/>
          <w:u w:val="single" w:color="auto"/>
          <w:color w:val="auto"/>
        </w:rPr>
        <w:t>Controlling</w:t>
      </w:r>
      <w:r>
        <w:rPr>
          <w:rFonts w:ascii="Arial" w:cs="Arial" w:eastAsia="Arial" w:hAnsi="Arial"/>
          <w:sz w:val="21"/>
          <w:szCs w:val="21"/>
          <w:color w:val="auto"/>
        </w:rPr>
        <w:t>” and “</w:t>
      </w:r>
      <w:r>
        <w:rPr>
          <w:rFonts w:ascii="Arial" w:cs="Arial" w:eastAsia="Arial" w:hAnsi="Arial"/>
          <w:sz w:val="21"/>
          <w:szCs w:val="21"/>
          <w:u w:val="single" w:color="auto"/>
          <w:color w:val="auto"/>
        </w:rPr>
        <w:t>Controlled</w:t>
      </w:r>
      <w:r>
        <w:rPr>
          <w:rFonts w:ascii="Arial" w:cs="Arial" w:eastAsia="Arial" w:hAnsi="Arial"/>
          <w:sz w:val="21"/>
          <w:szCs w:val="21"/>
          <w:color w:val="auto"/>
        </w:rPr>
        <w:t>” have meanings correlative thereto.</w:t>
      </w:r>
    </w:p>
    <w:p>
      <w:pPr>
        <w:spacing w:after="0" w:line="177" w:lineRule="exact"/>
        <w:rPr>
          <w:sz w:val="20"/>
          <w:szCs w:val="20"/>
          <w:color w:val="auto"/>
        </w:rPr>
      </w:pPr>
    </w:p>
    <w:p>
      <w:pPr>
        <w:ind w:left="620"/>
        <w:spacing w:after="0"/>
        <w:rPr>
          <w:sz w:val="20"/>
          <w:szCs w:val="20"/>
          <w:color w:val="auto"/>
        </w:rPr>
      </w:pPr>
      <w:r>
        <w:rPr>
          <w:rFonts w:ascii="Arial" w:cs="Arial" w:eastAsia="Arial" w:hAnsi="Arial"/>
          <w:sz w:val="21"/>
          <w:szCs w:val="21"/>
          <w:b w:val="1"/>
          <w:bCs w:val="1"/>
          <w:u w:val="single" w:color="auto"/>
          <w:color w:val="0000FF"/>
        </w:rPr>
        <w:t>“Corresponding Tenor” has the meaning specified in Section 2.17(g).</w:t>
      </w:r>
    </w:p>
    <w:p>
      <w:pPr>
        <w:spacing w:after="0" w:line="189" w:lineRule="exact"/>
        <w:rPr>
          <w:sz w:val="20"/>
          <w:szCs w:val="20"/>
          <w:color w:val="auto"/>
        </w:rPr>
      </w:pPr>
    </w:p>
    <w:p>
      <w:pPr>
        <w:ind w:firstLine="624"/>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Co-Syndication Agent</w:t>
      </w:r>
      <w:r>
        <w:rPr>
          <w:rFonts w:ascii="Arial" w:cs="Arial" w:eastAsia="Arial" w:hAnsi="Arial"/>
          <w:sz w:val="21"/>
          <w:szCs w:val="21"/>
          <w:color w:val="auto"/>
        </w:rPr>
        <w:t>” means Bank of America, N.A. and Mizuho Bank, Ltd., in their capacities as co-syndication agent for the credit facility provided for herein.</w:t>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Covered Entity</w:t>
      </w:r>
      <w:r>
        <w:rPr>
          <w:rFonts w:ascii="Arial" w:cs="Arial" w:eastAsia="Arial" w:hAnsi="Arial"/>
          <w:sz w:val="21"/>
          <w:szCs w:val="21"/>
          <w:color w:val="auto"/>
        </w:rPr>
        <w:t>” means any of the following:</w:t>
      </w:r>
    </w:p>
    <w:p>
      <w:pPr>
        <w:spacing w:after="0" w:line="183" w:lineRule="exact"/>
        <w:rPr>
          <w:sz w:val="20"/>
          <w:szCs w:val="20"/>
          <w:color w:val="auto"/>
        </w:rPr>
      </w:pPr>
    </w:p>
    <w:p>
      <w:pPr>
        <w:ind w:left="1920" w:hanging="642"/>
        <w:spacing w:after="0"/>
        <w:tabs>
          <w:tab w:leader="none" w:pos="192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a “covered entity” as that term is defined in, and interpreted in accordance with, 12 C.F.R. § 252.82(b);</w:t>
      </w:r>
    </w:p>
    <w:p>
      <w:pPr>
        <w:spacing w:after="0" w:line="167" w:lineRule="exact"/>
        <w:rPr>
          <w:rFonts w:ascii="Arial" w:cs="Arial" w:eastAsia="Arial" w:hAnsi="Arial"/>
          <w:sz w:val="20"/>
          <w:szCs w:val="20"/>
          <w:color w:val="auto"/>
        </w:rPr>
      </w:pPr>
    </w:p>
    <w:p>
      <w:pPr>
        <w:ind w:left="1920" w:hanging="642"/>
        <w:spacing w:after="0"/>
        <w:tabs>
          <w:tab w:leader="none" w:pos="192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a “covered bank” as that term is defined in, and interpreted in accordance with, 12 C.F.R. § 47.3(b); or</w:t>
      </w:r>
    </w:p>
    <w:p>
      <w:pPr>
        <w:spacing w:after="0" w:line="180" w:lineRule="exact"/>
        <w:rPr>
          <w:rFonts w:ascii="Arial" w:cs="Arial" w:eastAsia="Arial" w:hAnsi="Arial"/>
          <w:sz w:val="20"/>
          <w:szCs w:val="20"/>
          <w:color w:val="auto"/>
        </w:rPr>
      </w:pPr>
    </w:p>
    <w:p>
      <w:pPr>
        <w:ind w:left="1920" w:hanging="642"/>
        <w:spacing w:after="0"/>
        <w:tabs>
          <w:tab w:leader="none" w:pos="1920" w:val="left"/>
        </w:tabs>
        <w:numPr>
          <w:ilvl w:val="0"/>
          <w:numId w:val="103"/>
        </w:numPr>
        <w:rPr>
          <w:rFonts w:ascii="Arial" w:cs="Arial" w:eastAsia="Arial" w:hAnsi="Arial"/>
          <w:sz w:val="21"/>
          <w:szCs w:val="21"/>
          <w:color w:val="auto"/>
        </w:rPr>
      </w:pPr>
      <w:r>
        <w:rPr>
          <w:rFonts w:ascii="Arial" w:cs="Arial" w:eastAsia="Arial" w:hAnsi="Arial"/>
          <w:sz w:val="21"/>
          <w:szCs w:val="21"/>
          <w:color w:val="auto"/>
        </w:rPr>
        <w:t>a “covered FSI” as that term is defined in, and interpreted in accordance with, 12 C.F.R. § 382.2(b).</w:t>
      </w:r>
    </w:p>
    <w:p>
      <w:pPr>
        <w:spacing w:after="0" w:line="16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Covered Paty</w:t>
      </w:r>
      <w:r>
        <w:rPr>
          <w:rFonts w:ascii="Arial" w:cs="Arial" w:eastAsia="Arial" w:hAnsi="Arial"/>
          <w:sz w:val="21"/>
          <w:szCs w:val="21"/>
          <w:color w:val="auto"/>
        </w:rPr>
        <w:t xml:space="preserve">” has the meaning specified in </w:t>
      </w:r>
      <w:r>
        <w:rPr>
          <w:rFonts w:ascii="Arial" w:cs="Arial" w:eastAsia="Arial" w:hAnsi="Arial"/>
          <w:sz w:val="21"/>
          <w:szCs w:val="21"/>
          <w:u w:val="single" w:color="auto"/>
          <w:color w:val="auto"/>
        </w:rPr>
        <w:t>Section 11.20</w:t>
      </w:r>
      <w:r>
        <w:rPr>
          <w:rFonts w:ascii="Arial" w:cs="Arial" w:eastAsia="Arial" w:hAnsi="Arial"/>
          <w:sz w:val="21"/>
          <w:szCs w:val="21"/>
          <w:color w:val="auto"/>
        </w:rPr>
        <w:t>.</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Extension</w:t>
      </w:r>
      <w:r>
        <w:rPr>
          <w:rFonts w:ascii="Arial" w:cs="Arial" w:eastAsia="Arial" w:hAnsi="Arial"/>
          <w:sz w:val="20"/>
          <w:szCs w:val="20"/>
          <w:color w:val="auto"/>
        </w:rPr>
        <w:t>” means a Borrowing or an L/C Credit Extension, or any of the foregoing, as the context might require.</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Credit Party</w:t>
      </w:r>
      <w:r>
        <w:rPr>
          <w:rFonts w:ascii="Arial" w:cs="Arial" w:eastAsia="Arial" w:hAnsi="Arial"/>
          <w:sz w:val="21"/>
          <w:szCs w:val="21"/>
          <w:color w:val="auto"/>
        </w:rPr>
        <w:t>” means the Administrative Agent, each L/C Issuer or any other Lender.</w:t>
      </w:r>
    </w:p>
    <w:p>
      <w:pPr>
        <w:spacing w:after="0" w:line="177" w:lineRule="exact"/>
        <w:rPr>
          <w:sz w:val="20"/>
          <w:szCs w:val="20"/>
          <w:color w:val="auto"/>
        </w:rPr>
      </w:pPr>
    </w:p>
    <w:p>
      <w:pPr>
        <w:ind w:left="620"/>
        <w:spacing w:after="0"/>
        <w:rPr>
          <w:sz w:val="20"/>
          <w:szCs w:val="20"/>
          <w:color w:val="auto"/>
        </w:rPr>
      </w:pPr>
      <w:r>
        <w:rPr>
          <w:rFonts w:ascii="Arial" w:cs="Arial" w:eastAsia="Arial" w:hAnsi="Arial"/>
          <w:sz w:val="21"/>
          <w:szCs w:val="21"/>
          <w:b w:val="1"/>
          <w:bCs w:val="1"/>
          <w:u w:val="single" w:color="auto"/>
          <w:color w:val="0000FF"/>
        </w:rPr>
        <w:t>“Daily Simple SOFR” has the meaning specified in Section 2.17(g).</w:t>
      </w:r>
    </w:p>
    <w:p>
      <w:pPr>
        <w:spacing w:after="0" w:line="189" w:lineRule="exact"/>
        <w:rPr>
          <w:sz w:val="20"/>
          <w:szCs w:val="20"/>
          <w:color w:val="auto"/>
        </w:rPr>
      </w:pPr>
    </w:p>
    <w:p>
      <w:pPr>
        <w:jc w:val="both"/>
        <w:ind w:firstLine="624"/>
        <w:spacing w:after="0" w:line="22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Debtor Relief Laws</w:t>
      </w:r>
      <w:r>
        <w:rPr>
          <w:rFonts w:ascii="Arial" w:cs="Arial" w:eastAsia="Arial" w:hAnsi="Arial"/>
          <w:sz w:val="21"/>
          <w:szCs w:val="21"/>
          <w:color w:val="auto"/>
        </w:rPr>
        <w:t>” means the Bankruptcy Code of the United States, and all other liquidation, conservatorship, bankruptcy, assignment for the benefit of creditors, moratorium, rearrangement, receivership, court protection, insolvency, reorganization, examinership or similar debtor relief Laws of the United States or other applicable jurisdictions from time to time in effect and affecting the rights of creditors generally.</w:t>
      </w:r>
    </w:p>
    <w:p>
      <w:pPr>
        <w:spacing w:after="0" w:line="154" w:lineRule="exact"/>
        <w:rPr>
          <w:sz w:val="20"/>
          <w:szCs w:val="20"/>
          <w:color w:val="auto"/>
        </w:rPr>
      </w:pPr>
    </w:p>
    <w:p>
      <w:pPr>
        <w:jc w:val="both"/>
        <w:ind w:firstLine="624"/>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Default</w:t>
      </w:r>
      <w:r>
        <w:rPr>
          <w:rFonts w:ascii="Arial" w:cs="Arial" w:eastAsia="Arial" w:hAnsi="Arial"/>
          <w:sz w:val="21"/>
          <w:szCs w:val="21"/>
          <w:color w:val="auto"/>
        </w:rPr>
        <w:t>” means any event or condition that constitutes an Event of Default or that, with the giving of any notice, the passage of time, or both, would be an Event of Default.</w:t>
      </w:r>
    </w:p>
    <w:p>
      <w:pPr>
        <w:spacing w:after="0" w:line="155" w:lineRule="exact"/>
        <w:rPr>
          <w:sz w:val="20"/>
          <w:szCs w:val="20"/>
          <w:color w:val="auto"/>
        </w:rPr>
      </w:pPr>
    </w:p>
    <w:p>
      <w:pPr>
        <w:jc w:val="both"/>
        <w:ind w:firstLine="624"/>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Default Right</w:t>
      </w:r>
      <w:r>
        <w:rPr>
          <w:rFonts w:ascii="Arial" w:cs="Arial" w:eastAsia="Arial" w:hAnsi="Arial"/>
          <w:sz w:val="21"/>
          <w:szCs w:val="21"/>
          <w:color w:val="auto"/>
        </w:rPr>
        <w:t>” has the meaning assigned to that term in, and shall be interpreted in accordance with, 12 C.F.R. §§ 252.81, 47.2 or 382.1, as applicable.</w:t>
      </w:r>
    </w:p>
    <w:p>
      <w:pPr>
        <w:spacing w:after="0" w:line="155" w:lineRule="exact"/>
        <w:rPr>
          <w:sz w:val="20"/>
          <w:szCs w:val="20"/>
          <w:color w:val="auto"/>
        </w:rPr>
      </w:pPr>
    </w:p>
    <w:p>
      <w:pPr>
        <w:jc w:val="both"/>
        <w:ind w:firstLine="624"/>
        <w:spacing w:after="0" w:line="21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Defaulting Lender</w:t>
      </w:r>
      <w:r>
        <w:rPr>
          <w:rFonts w:ascii="Arial" w:cs="Arial" w:eastAsia="Arial" w:hAnsi="Arial"/>
          <w:sz w:val="21"/>
          <w:szCs w:val="21"/>
          <w:color w:val="auto"/>
        </w:rPr>
        <w:t xml:space="preserve">” means, subject to </w:t>
      </w:r>
      <w:r>
        <w:rPr>
          <w:rFonts w:ascii="Arial" w:cs="Arial" w:eastAsia="Arial" w:hAnsi="Arial"/>
          <w:sz w:val="21"/>
          <w:szCs w:val="21"/>
          <w:u w:val="single" w:color="auto"/>
          <w:color w:val="auto"/>
        </w:rPr>
        <w:t>Section 2.16(b)</w:t>
      </w:r>
      <w:r>
        <w:rPr>
          <w:rFonts w:ascii="Arial" w:cs="Arial" w:eastAsia="Arial" w:hAnsi="Arial"/>
          <w:sz w:val="21"/>
          <w:szCs w:val="21"/>
          <w:color w:val="auto"/>
        </w:rPr>
        <w:t>, any Lender that, (a) has failed to (i) fund all or any portion of its Loans within two (2) Business Days of the date required to be funded by it hereunder unless such Lender notifies the Administrative Agent and Borrower in writing that such failure is the result of such Lender’s good faith determination that one or more conditions precedent to funding (each of which conditions precedent, together with any applicable Default, shall be specifically identified and supported by reasonable background information provided by such Lender in such writing) has not been satisfied, or (ii) pay to the Administrative Agent, any L/C Issuer or any other Lender any other amount required to be paid by it hereunder (including in respect of its participation in Letters of Credit) within two (2) Business Days of the date when due, (b) has notified the Borrower, the Administrative Agent or any L/C Issuer in writing, or has made a public statement to the effect, that it does not intend to comply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240"/>
          </w:cols>
          <w:pgMar w:left="320" w:top="1152" w:right="339" w:bottom="1440" w:gutter="0" w:footer="0" w:header="0"/>
        </w:sectPr>
      </w:pPr>
    </w:p>
    <w:bookmarkStart w:id="152" w:name="page153"/>
    <w:bookmarkEnd w:id="152"/>
    <w:p>
      <w:pPr>
        <w:jc w:val="both"/>
        <w:spacing w:after="0" w:line="235" w:lineRule="auto"/>
        <w:rPr>
          <w:sz w:val="20"/>
          <w:szCs w:val="20"/>
          <w:color w:val="auto"/>
        </w:rPr>
      </w:pPr>
      <w:r>
        <w:rPr>
          <w:rFonts w:ascii="Arial" w:cs="Arial" w:eastAsia="Arial" w:hAnsi="Arial"/>
          <w:sz w:val="19"/>
          <w:szCs w:val="19"/>
          <w:color w:val="auto"/>
        </w:rPr>
        <w:t xml:space="preserve">its funding obligations hereunder (unless such writing or public statement relates to such Lender’s obligation to fund a Loan hereunder and states that such position is based on such Lender’s good faith determination that a condition precedent to funding (which condition precedent, together with any applicable Default, shall be specifically identified and supported by reasonable background information provided by such Lender in such writing or public statement) cannot be satisfied) or generally under other agreements in which it commits to extend credit, (c) has failed, within three (3) Business Days after written request by the Administrative Agent, the Borrower, to confirm in writing to the Administrative Agent and the Borrower that it will comply with its prospective funding obligations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Lender shall cease to be a Defaulting Lender pursuant to this </w:t>
      </w:r>
      <w:r>
        <w:rPr>
          <w:rFonts w:ascii="Arial" w:cs="Arial" w:eastAsia="Arial" w:hAnsi="Arial"/>
          <w:sz w:val="19"/>
          <w:szCs w:val="19"/>
          <w:u w:val="single" w:color="auto"/>
          <w:color w:val="auto"/>
        </w:rPr>
        <w:t>clause</w:t>
      </w:r>
    </w:p>
    <w:p>
      <w:pPr>
        <w:spacing w:after="0" w:line="4" w:lineRule="exact"/>
        <w:rPr>
          <w:sz w:val="20"/>
          <w:szCs w:val="20"/>
          <w:color w:val="auto"/>
        </w:rPr>
      </w:pPr>
    </w:p>
    <w:p>
      <w:pPr>
        <w:jc w:val="both"/>
        <w:ind w:firstLine="6"/>
        <w:spacing w:after="0" w:line="224" w:lineRule="auto"/>
        <w:tabs>
          <w:tab w:leader="none" w:pos="302" w:val="left"/>
        </w:tabs>
        <w:numPr>
          <w:ilvl w:val="0"/>
          <w:numId w:val="104"/>
        </w:numPr>
        <w:rPr>
          <w:rFonts w:ascii="Arial" w:cs="Arial" w:eastAsia="Arial" w:hAnsi="Arial"/>
          <w:sz w:val="20"/>
          <w:szCs w:val="20"/>
          <w:u w:val="single" w:color="auto"/>
          <w:color w:val="auto"/>
        </w:rPr>
      </w:pPr>
      <w:r>
        <w:rPr>
          <w:rFonts w:ascii="Arial" w:cs="Arial" w:eastAsia="Arial" w:hAnsi="Arial"/>
          <w:sz w:val="20"/>
          <w:szCs w:val="20"/>
          <w:color w:val="auto"/>
        </w:rPr>
        <w:t xml:space="preserve">upon receipt by the Administrative Agent and the Borrower of such written confirmation in form and substance satisfactory to the Administrative Agent and Borrower, or (d) has, or has a direct or indirect parent company that has, (i) become the subject of a Bail-In Action, (ii) become the subject of a proceeding under any Debtor Relief Law or (iii) had appointed for it a receiver, custodian, conservator, trustee, administrator, examiner,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Lender shall not be a Defaulting Lender solely by virtue of the ownership or acquisition of any Equity Interest in such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or the Borrower that a Lender is a Defaulting Lender under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(d)</w:t>
      </w:r>
      <w:r>
        <w:rPr>
          <w:rFonts w:ascii="Arial" w:cs="Arial" w:eastAsia="Arial" w:hAnsi="Arial"/>
          <w:sz w:val="20"/>
          <w:szCs w:val="20"/>
          <w:color w:val="auto"/>
        </w:rPr>
        <w:t xml:space="preserve"> above shall be conclusive and binding absent manifest error, and such Lender shall be deemed to be a Defaulting Lender (subject to </w:t>
      </w:r>
      <w:r>
        <w:rPr>
          <w:rFonts w:ascii="Arial" w:cs="Arial" w:eastAsia="Arial" w:hAnsi="Arial"/>
          <w:sz w:val="20"/>
          <w:szCs w:val="20"/>
          <w:u w:val="single" w:color="auto"/>
          <w:color w:val="auto"/>
        </w:rPr>
        <w:t>Section 2.16(b)</w:t>
      </w:r>
      <w:r>
        <w:rPr>
          <w:rFonts w:ascii="Arial" w:cs="Arial" w:eastAsia="Arial" w:hAnsi="Arial"/>
          <w:sz w:val="20"/>
          <w:szCs w:val="20"/>
          <w:color w:val="auto"/>
        </w:rPr>
        <w:t>) upon delivery of written notice of such determination to the Administrative Agent, the Borrower, Borrower, each L/C Issuer and such Lender.</w:t>
      </w:r>
    </w:p>
    <w:p>
      <w:pPr>
        <w:spacing w:after="0" w:line="157" w:lineRule="exact"/>
        <w:rPr>
          <w:sz w:val="20"/>
          <w:szCs w:val="20"/>
          <w:color w:val="auto"/>
        </w:rPr>
      </w:pPr>
    </w:p>
    <w:p>
      <w:pPr>
        <w:jc w:val="both"/>
        <w:ind w:firstLine="624"/>
        <w:spacing w:after="0" w:line="22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Discharge of the Obligations</w:t>
      </w:r>
      <w:r>
        <w:rPr>
          <w:rFonts w:ascii="Arial" w:cs="Arial" w:eastAsia="Arial" w:hAnsi="Arial"/>
          <w:sz w:val="21"/>
          <w:szCs w:val="21"/>
          <w:color w:val="auto"/>
        </w:rPr>
        <w:t>” means (and shall have occurred when) (a) all Obligations (other than contingent obligations as to which no claim has been asserted) shall have been paid in full in cash, (b) no L/C Borrowing and no Letter of Credit shall be outstanding (other than Letters of Credit that have been Cash Collateralized in full or as to which other arrangements satisfactory to the applicable L/C Issuer and the Administrative Agent shall have been made) and (c) all Commitments shall have terminated or expired.</w:t>
      </w:r>
    </w:p>
    <w:p>
      <w:pPr>
        <w:spacing w:after="0" w:line="155" w:lineRule="exact"/>
        <w:rPr>
          <w:sz w:val="20"/>
          <w:szCs w:val="20"/>
          <w:color w:val="auto"/>
        </w:rPr>
      </w:pPr>
    </w:p>
    <w:p>
      <w:pPr>
        <w:jc w:val="both"/>
        <w:ind w:firstLine="624"/>
        <w:spacing w:after="0" w:line="23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Discretionary Alternative Currency</w:t>
      </w:r>
      <w:r>
        <w:rPr>
          <w:rFonts w:ascii="Arial" w:cs="Arial" w:eastAsia="Arial" w:hAnsi="Arial"/>
          <w:sz w:val="21"/>
          <w:szCs w:val="21"/>
          <w:color w:val="auto"/>
        </w:rPr>
        <w:t xml:space="preserve">” means any lawful currency, other than US Dollars, that is freely transferable and freely convertible into US Dollars. </w:t>
      </w:r>
      <w:r>
        <w:rPr>
          <w:rFonts w:ascii="Arial" w:cs="Arial" w:eastAsia="Arial" w:hAnsi="Arial"/>
          <w:sz w:val="21"/>
          <w:szCs w:val="21"/>
          <w:b w:val="1"/>
          <w:bCs w:val="1"/>
          <w:u w:val="single" w:color="auto"/>
          <w:color w:val="0000FF"/>
        </w:rPr>
        <w:t>No</w:t>
      </w:r>
      <w:r>
        <w:rPr>
          <w:rFonts w:ascii="Arial" w:cs="Arial" w:eastAsia="Arial" w:hAnsi="Arial"/>
          <w:sz w:val="21"/>
          <w:szCs w:val="21"/>
          <w:color w:val="auto"/>
        </w:rPr>
        <w:t xml:space="preserve"> Loans denominated in a Discretionary Alternative Currency may </w:t>
      </w:r>
      <w:r>
        <w:rPr>
          <w:rFonts w:ascii="Arial" w:cs="Arial" w:eastAsia="Arial" w:hAnsi="Arial"/>
          <w:sz w:val="21"/>
          <w:szCs w:val="21"/>
          <w:b w:val="1"/>
          <w:bCs w:val="1"/>
          <w:color w:val="FF0000"/>
          <w:strike w:val="1"/>
        </w:rPr>
        <w:t>only be Eurocurrency Rate</w:t>
      </w:r>
      <w:r>
        <w:rPr>
          <w:rFonts w:ascii="Arial" w:cs="Arial" w:eastAsia="Arial" w:hAnsi="Arial"/>
          <w:sz w:val="21"/>
          <w:szCs w:val="21"/>
          <w:color w:val="auto"/>
        </w:rPr>
        <w:t xml:space="preserve"> </w:t>
      </w:r>
      <w:r>
        <w:rPr>
          <w:rFonts w:ascii="Arial" w:cs="Arial" w:eastAsia="Arial" w:hAnsi="Arial"/>
          <w:sz w:val="21"/>
          <w:szCs w:val="21"/>
          <w:b w:val="1"/>
          <w:bCs w:val="1"/>
          <w:color w:val="FF0000"/>
          <w:strike w:val="1"/>
        </w:rPr>
        <w:t>Loans or Absolute</w:t>
      </w:r>
      <w:r>
        <w:rPr>
          <w:rFonts w:ascii="Arial" w:cs="Arial" w:eastAsia="Arial" w:hAnsi="Arial"/>
          <w:sz w:val="21"/>
          <w:szCs w:val="21"/>
          <w:b w:val="1"/>
          <w:bCs w:val="1"/>
          <w:u w:val="single" w:color="auto"/>
          <w:color w:val="0000FF"/>
        </w:rPr>
        <w:t>be Base</w:t>
      </w:r>
      <w:r>
        <w:rPr>
          <w:rFonts w:ascii="Arial" w:cs="Arial" w:eastAsia="Arial" w:hAnsi="Arial"/>
          <w:sz w:val="21"/>
          <w:szCs w:val="21"/>
          <w:b w:val="1"/>
          <w:bCs w:val="1"/>
          <w:color w:val="FF0000"/>
        </w:rPr>
        <w:t xml:space="preserve"> </w:t>
      </w:r>
      <w:r>
        <w:rPr>
          <w:rFonts w:ascii="Arial" w:cs="Arial" w:eastAsia="Arial" w:hAnsi="Arial"/>
          <w:sz w:val="21"/>
          <w:szCs w:val="21"/>
          <w:color w:val="000000"/>
        </w:rPr>
        <w:t>Rate Loans.</w:t>
      </w:r>
    </w:p>
    <w:p>
      <w:pPr>
        <w:spacing w:after="0" w:line="154" w:lineRule="exact"/>
        <w:rPr>
          <w:sz w:val="20"/>
          <w:szCs w:val="20"/>
          <w:color w:val="auto"/>
        </w:rPr>
      </w:pPr>
    </w:p>
    <w:p>
      <w:pPr>
        <w:jc w:val="both"/>
        <w:ind w:firstLine="624"/>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Competitor</w:t>
      </w:r>
      <w:r>
        <w:rPr>
          <w:rFonts w:ascii="Arial" w:cs="Arial" w:eastAsia="Arial" w:hAnsi="Arial"/>
          <w:sz w:val="19"/>
          <w:szCs w:val="19"/>
          <w:color w:val="auto"/>
        </w:rPr>
        <w:t xml:space="preserve">” means (a) Persons that are reasonably determined by the Borrower to be competitors of the Borrower or its Subsidiaries and which are specifically identified by the Borrower to the Administrative Agent and the Lenders in writing and delivered in accordance with </w:t>
      </w:r>
      <w:r>
        <w:rPr>
          <w:rFonts w:ascii="Arial" w:cs="Arial" w:eastAsia="Arial" w:hAnsi="Arial"/>
          <w:sz w:val="19"/>
          <w:szCs w:val="19"/>
          <w:u w:val="single" w:color="auto"/>
          <w:color w:val="auto"/>
        </w:rPr>
        <w:t>Section 11.02</w:t>
      </w:r>
      <w:r>
        <w:rPr>
          <w:rFonts w:ascii="Arial" w:cs="Arial" w:eastAsia="Arial" w:hAnsi="Arial"/>
          <w:sz w:val="19"/>
          <w:szCs w:val="19"/>
          <w:color w:val="auto"/>
        </w:rPr>
        <w:t xml:space="preserve"> prior to the Effective Date, (b) any other Person that is reasonably determined by the Borrower to be a competitor of the Borrower or its Subsidiaries and which is specifically identified in a written supplement to the list of “Disqualified Competitors”, which supplement shall become effective three (3) Business Days after delivery thereof to the Administrative Agent and the Lenders in accordance with </w:t>
      </w:r>
      <w:r>
        <w:rPr>
          <w:rFonts w:ascii="Arial" w:cs="Arial" w:eastAsia="Arial" w:hAnsi="Arial"/>
          <w:sz w:val="19"/>
          <w:szCs w:val="19"/>
          <w:u w:val="single" w:color="auto"/>
          <w:color w:val="auto"/>
        </w:rPr>
        <w:t>Section 11.02</w:t>
      </w:r>
      <w:r>
        <w:rPr>
          <w:rFonts w:ascii="Arial" w:cs="Arial" w:eastAsia="Arial" w:hAnsi="Arial"/>
          <w:sz w:val="19"/>
          <w:szCs w:val="19"/>
          <w:color w:val="auto"/>
        </w:rPr>
        <w:t xml:space="preserve"> and (c) in the case of the foregoing clauses (a) and (b), any of such entities’ Affiliates to the extent such Affiliates (x) are clearly identifiable as Affiliates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240"/>
          </w:cols>
          <w:pgMar w:left="320" w:top="1152" w:right="339" w:bottom="1440" w:gutter="0" w:footer="0" w:header="0"/>
        </w:sectPr>
      </w:pPr>
    </w:p>
    <w:bookmarkStart w:id="153" w:name="page154"/>
    <w:bookmarkEnd w:id="153"/>
    <w:p>
      <w:pPr>
        <w:jc w:val="both"/>
        <w:spacing w:after="0" w:line="217" w:lineRule="auto"/>
        <w:rPr>
          <w:sz w:val="20"/>
          <w:szCs w:val="20"/>
          <w:color w:val="auto"/>
        </w:rPr>
      </w:pPr>
      <w:r>
        <w:rPr>
          <w:rFonts w:ascii="Arial" w:cs="Arial" w:eastAsia="Arial" w:hAnsi="Arial"/>
          <w:sz w:val="21"/>
          <w:szCs w:val="21"/>
          <w:color w:val="auto"/>
        </w:rPr>
        <w:t xml:space="preserve">such Persons based solely on the similarity of such Affiliates’ and such Persons’ names and (y) are not bona fide debt investment funds. It is understood and agreed that (i) any supplement to the list of Persons that are Disqualified Competitors contemplated by the foregoing clause (b) shall not apply retroactively to disqualify any Persons that have previously acquired an assignment or participation interest in the Loans (but solely with respect to such Loans), (ii) the Administrative Agent shall have no responsibility or liability to determine or monitor whether any Lender or potential Lender is a Disqualified Competitor, (iii) the Borrower’s failure to deliver such list (or supplement thereto) in accordance with </w:t>
      </w:r>
      <w:r>
        <w:rPr>
          <w:rFonts w:ascii="Arial" w:cs="Arial" w:eastAsia="Arial" w:hAnsi="Arial"/>
          <w:sz w:val="21"/>
          <w:szCs w:val="21"/>
          <w:u w:val="single" w:color="auto"/>
          <w:color w:val="auto"/>
        </w:rPr>
        <w:t>Section 11.02</w:t>
      </w:r>
      <w:r>
        <w:rPr>
          <w:rFonts w:ascii="Arial" w:cs="Arial" w:eastAsia="Arial" w:hAnsi="Arial"/>
          <w:sz w:val="21"/>
          <w:szCs w:val="21"/>
          <w:color w:val="auto"/>
        </w:rPr>
        <w:t xml:space="preserve"> shall render such list (or supplement) not received and not effective and (iv) “Disqualified Competitor” shall exclude any Person that the Borrower has designated as no longer being a “Disqualified Competitor” by written notice delivered to the Administrative Agent from time to time in accordance with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11.02</w:t>
      </w:r>
      <w:r>
        <w:rPr>
          <w:rFonts w:ascii="Arial" w:cs="Arial" w:eastAsia="Arial" w:hAnsi="Arial"/>
          <w:sz w:val="21"/>
          <w:szCs w:val="21"/>
          <w:color w:val="auto"/>
        </w:rPr>
        <w:t>.</w:t>
      </w:r>
    </w:p>
    <w:p>
      <w:pPr>
        <w:spacing w:after="0" w:line="155" w:lineRule="exact"/>
        <w:rPr>
          <w:sz w:val="20"/>
          <w:szCs w:val="20"/>
          <w:color w:val="auto"/>
        </w:rPr>
      </w:pPr>
    </w:p>
    <w:p>
      <w:pPr>
        <w:jc w:val="both"/>
        <w:ind w:firstLine="624"/>
        <w:spacing w:after="0" w:line="23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Disposition</w:t>
      </w:r>
      <w:r>
        <w:rPr>
          <w:rFonts w:ascii="Arial" w:cs="Arial" w:eastAsia="Arial" w:hAnsi="Arial"/>
          <w:sz w:val="21"/>
          <w:szCs w:val="21"/>
          <w:color w:val="auto"/>
        </w:rPr>
        <w:t>” or “</w:t>
      </w:r>
      <w:r>
        <w:rPr>
          <w:rFonts w:ascii="Arial" w:cs="Arial" w:eastAsia="Arial" w:hAnsi="Arial"/>
          <w:sz w:val="21"/>
          <w:szCs w:val="21"/>
          <w:u w:val="single" w:color="auto"/>
          <w:color w:val="auto"/>
        </w:rPr>
        <w:t>Dispose</w:t>
      </w:r>
      <w:r>
        <w:rPr>
          <w:rFonts w:ascii="Arial" w:cs="Arial" w:eastAsia="Arial" w:hAnsi="Arial"/>
          <w:sz w:val="21"/>
          <w:szCs w:val="21"/>
          <w:color w:val="auto"/>
        </w:rPr>
        <w:t>” means the sale, transfer, license, lease or other disposition of any property by any Person, including any sale and leaseback transaction and any sale, assignment, transfer or other disposal, with or without recourse, of any notes or accounts receivable or any rights and claims associated therewith.</w:t>
      </w:r>
    </w:p>
    <w:p>
      <w:pPr>
        <w:spacing w:after="0" w:line="154" w:lineRule="exact"/>
        <w:rPr>
          <w:sz w:val="20"/>
          <w:szCs w:val="20"/>
          <w:color w:val="auto"/>
        </w:rPr>
      </w:pPr>
    </w:p>
    <w:p>
      <w:pPr>
        <w:jc w:val="both"/>
        <w:ind w:firstLine="624"/>
        <w:spacing w:after="0" w:line="23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Domestic Subsidiary</w:t>
      </w:r>
      <w:r>
        <w:rPr>
          <w:rFonts w:ascii="Arial" w:cs="Arial" w:eastAsia="Arial" w:hAnsi="Arial"/>
          <w:sz w:val="21"/>
          <w:szCs w:val="21"/>
          <w:color w:val="auto"/>
        </w:rPr>
        <w:t>” means a Subsidiary organized under the laws of a jurisdiction located in the United States of America other than a Subsidiary (i) that is a Subsidiary of a CFC or (ii) substantially all of the assets of which are Equity Interests or Equity Interests and debt interests in one or more CFCs.</w:t>
      </w:r>
    </w:p>
    <w:p>
      <w:pPr>
        <w:spacing w:after="0" w:line="15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DQ List</w:t>
      </w:r>
      <w:r>
        <w:rPr>
          <w:rFonts w:ascii="Arial" w:cs="Arial" w:eastAsia="Arial" w:hAnsi="Arial"/>
          <w:sz w:val="21"/>
          <w:szCs w:val="21"/>
          <w:color w:val="auto"/>
        </w:rPr>
        <w:t xml:space="preserve">” has the meaning specified in </w:t>
      </w:r>
      <w:r>
        <w:rPr>
          <w:rFonts w:ascii="Arial" w:cs="Arial" w:eastAsia="Arial" w:hAnsi="Arial"/>
          <w:sz w:val="21"/>
          <w:szCs w:val="21"/>
          <w:u w:val="single" w:color="auto"/>
          <w:color w:val="auto"/>
        </w:rPr>
        <w:t>Section 11.06(h)(iv)</w:t>
      </w:r>
      <w:r>
        <w:rPr>
          <w:rFonts w:ascii="Arial" w:cs="Arial" w:eastAsia="Arial" w:hAnsi="Arial"/>
          <w:sz w:val="21"/>
          <w:szCs w:val="21"/>
          <w:color w:val="auto"/>
        </w:rPr>
        <w:t>.</w:t>
      </w:r>
    </w:p>
    <w:p>
      <w:pPr>
        <w:spacing w:after="0" w:line="183" w:lineRule="exact"/>
        <w:rPr>
          <w:sz w:val="20"/>
          <w:szCs w:val="20"/>
          <w:color w:val="auto"/>
        </w:rPr>
      </w:pPr>
    </w:p>
    <w:p>
      <w:pPr>
        <w:jc w:val="both"/>
        <w:ind w:firstLine="624"/>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Financial Institution</w:t>
      </w:r>
      <w:r>
        <w:rPr>
          <w:rFonts w:ascii="Arial" w:cs="Arial" w:eastAsia="Arial" w:hAnsi="Arial"/>
          <w:sz w:val="20"/>
          <w:szCs w:val="20"/>
          <w:color w:val="auto"/>
        </w:rPr>
        <w:t xml:space="preserve"> ” means (a) any credit institution or investment firm established in any EEA Member Country that is subject to the supervision of an EEA Resolution Authority, (b) any entity established in an EEA Member Country that is a parent of an institution described in clause (a) above or (c) any financial institution established in an EEA Member Country that is a subsidiary of an institution described in clause (a) or (b) above and is subject to consolidated supervision with its parent.</w:t>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EEA Member Country</w:t>
      </w:r>
      <w:r>
        <w:rPr>
          <w:rFonts w:ascii="Arial" w:cs="Arial" w:eastAsia="Arial" w:hAnsi="Arial"/>
          <w:sz w:val="21"/>
          <w:szCs w:val="21"/>
          <w:color w:val="auto"/>
        </w:rPr>
        <w:t>” means any member state of the European Union, Iceland, Liechtenstein and Norway.</w:t>
      </w:r>
    </w:p>
    <w:p>
      <w:pPr>
        <w:spacing w:after="0" w:line="183" w:lineRule="exact"/>
        <w:rPr>
          <w:sz w:val="20"/>
          <w:szCs w:val="20"/>
          <w:color w:val="auto"/>
        </w:rPr>
      </w:pPr>
    </w:p>
    <w:p>
      <w:pPr>
        <w:jc w:val="both"/>
        <w:ind w:firstLine="624"/>
        <w:spacing w:after="0" w:line="23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EEA Resolution Authority</w:t>
      </w:r>
      <w:r>
        <w:rPr>
          <w:rFonts w:ascii="Arial" w:cs="Arial" w:eastAsia="Arial" w:hAnsi="Arial"/>
          <w:sz w:val="21"/>
          <w:szCs w:val="21"/>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4" w:lineRule="exact"/>
        <w:rPr>
          <w:sz w:val="20"/>
          <w:szCs w:val="20"/>
          <w:color w:val="auto"/>
        </w:rPr>
      </w:pPr>
    </w:p>
    <w:p>
      <w:pPr>
        <w:jc w:val="both"/>
        <w:ind w:firstLine="624"/>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Effective Date</w:t>
      </w:r>
      <w:r>
        <w:rPr>
          <w:rFonts w:ascii="Arial" w:cs="Arial" w:eastAsia="Arial" w:hAnsi="Arial"/>
          <w:sz w:val="21"/>
          <w:szCs w:val="21"/>
          <w:color w:val="auto"/>
        </w:rPr>
        <w:t xml:space="preserve">” means the date on which the conditions precedent set forth in </w:t>
      </w:r>
      <w:r>
        <w:rPr>
          <w:rFonts w:ascii="Arial" w:cs="Arial" w:eastAsia="Arial" w:hAnsi="Arial"/>
          <w:sz w:val="21"/>
          <w:szCs w:val="21"/>
          <w:u w:val="single" w:color="auto"/>
          <w:color w:val="auto"/>
        </w:rPr>
        <w:t>Section 4.01</w:t>
      </w:r>
      <w:r>
        <w:rPr>
          <w:rFonts w:ascii="Arial" w:cs="Arial" w:eastAsia="Arial" w:hAnsi="Arial"/>
          <w:sz w:val="21"/>
          <w:szCs w:val="21"/>
          <w:color w:val="auto"/>
        </w:rPr>
        <w:t xml:space="preserve"> have been satisfied, which date is August 18, 2021.</w:t>
      </w:r>
    </w:p>
    <w:p>
      <w:pPr>
        <w:spacing w:after="0" w:line="155" w:lineRule="exact"/>
        <w:rPr>
          <w:sz w:val="20"/>
          <w:szCs w:val="20"/>
          <w:color w:val="auto"/>
        </w:rPr>
      </w:pPr>
    </w:p>
    <w:p>
      <w:pPr>
        <w:jc w:val="both"/>
        <w:ind w:firstLine="624"/>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Electronic Signature</w:t>
      </w:r>
      <w:r>
        <w:rPr>
          <w:rFonts w:ascii="Arial" w:cs="Arial" w:eastAsia="Arial" w:hAnsi="Arial"/>
          <w:sz w:val="21"/>
          <w:szCs w:val="21"/>
          <w:color w:val="auto"/>
        </w:rPr>
        <w:t>” means an electronic sound, symbol, or process attached to, or associated with, a contract or other record and adopted by a Person with the intent to sign, authenticate or accept such contract or record.</w:t>
      </w:r>
    </w:p>
    <w:p>
      <w:pPr>
        <w:spacing w:after="0" w:line="155" w:lineRule="exact"/>
        <w:rPr>
          <w:sz w:val="20"/>
          <w:szCs w:val="20"/>
          <w:color w:val="auto"/>
        </w:rPr>
      </w:pPr>
    </w:p>
    <w:p>
      <w:pPr>
        <w:jc w:val="both"/>
        <w:ind w:firstLine="624"/>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Eligible Assignee</w:t>
      </w:r>
      <w:r>
        <w:rPr>
          <w:rFonts w:ascii="Arial" w:cs="Arial" w:eastAsia="Arial" w:hAnsi="Arial"/>
          <w:sz w:val="21"/>
          <w:szCs w:val="21"/>
          <w:color w:val="auto"/>
        </w:rPr>
        <w:t xml:space="preserve">” means any Person that meets the requirements to be an assignee under </w:t>
      </w:r>
      <w:r>
        <w:rPr>
          <w:rFonts w:ascii="Arial" w:cs="Arial" w:eastAsia="Arial" w:hAnsi="Arial"/>
          <w:sz w:val="21"/>
          <w:szCs w:val="21"/>
          <w:u w:val="single" w:color="auto"/>
          <w:color w:val="auto"/>
        </w:rPr>
        <w:t>Sections 11.06(b)(iii)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11.06(b)(v)</w:t>
      </w:r>
      <w:r>
        <w:rPr>
          <w:rFonts w:ascii="Arial" w:cs="Arial" w:eastAsia="Arial" w:hAnsi="Arial"/>
          <w:sz w:val="21"/>
          <w:szCs w:val="21"/>
          <w:color w:val="auto"/>
        </w:rPr>
        <w:t xml:space="preserve">, subject to such consents, if any, as may be required under </w:t>
      </w:r>
      <w:r>
        <w:rPr>
          <w:rFonts w:ascii="Arial" w:cs="Arial" w:eastAsia="Arial" w:hAnsi="Arial"/>
          <w:sz w:val="21"/>
          <w:szCs w:val="21"/>
          <w:u w:val="single" w:color="auto"/>
          <w:color w:val="auto"/>
        </w:rPr>
        <w:t>Section 11.06(b)(iii)</w:t>
      </w:r>
      <w:r>
        <w:rPr>
          <w:rFonts w:ascii="Arial" w:cs="Arial" w:eastAsia="Arial" w:hAnsi="Arial"/>
          <w:sz w:val="21"/>
          <w:szCs w:val="21"/>
          <w:color w:val="auto"/>
        </w:rPr>
        <w:t>.</w:t>
      </w:r>
    </w:p>
    <w:p>
      <w:pPr>
        <w:spacing w:after="0" w:line="155" w:lineRule="exact"/>
        <w:rPr>
          <w:sz w:val="20"/>
          <w:szCs w:val="20"/>
          <w:color w:val="auto"/>
        </w:rPr>
      </w:pPr>
    </w:p>
    <w:p>
      <w:pPr>
        <w:jc w:val="both"/>
        <w:ind w:firstLine="624"/>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Environmental Laws</w:t>
      </w:r>
      <w:r>
        <w:rPr>
          <w:rFonts w:ascii="Arial" w:cs="Arial" w:eastAsia="Arial" w:hAnsi="Arial"/>
          <w:sz w:val="21"/>
          <w:szCs w:val="21"/>
          <w:color w:val="auto"/>
        </w:rPr>
        <w:t xml:space="preserve"> ” means any and all federal, state, local and foreign statutes, Laws, regulations, ordinances, rules, judgments, orders, or decrees relating to pollution,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240"/>
          </w:cols>
          <w:pgMar w:left="320" w:top="1152" w:right="339" w:bottom="1440" w:gutter="0" w:footer="0" w:header="0"/>
        </w:sectPr>
      </w:pPr>
    </w:p>
    <w:bookmarkStart w:id="154" w:name="page155"/>
    <w:bookmarkEnd w:id="154"/>
    <w:p>
      <w:pPr>
        <w:spacing w:after="0"/>
        <w:rPr>
          <w:sz w:val="20"/>
          <w:szCs w:val="20"/>
          <w:color w:val="auto"/>
        </w:rPr>
      </w:pPr>
      <w:r>
        <w:rPr>
          <w:rFonts w:ascii="Arial" w:cs="Arial" w:eastAsia="Arial" w:hAnsi="Arial"/>
          <w:sz w:val="21"/>
          <w:szCs w:val="21"/>
          <w:color w:val="auto"/>
        </w:rPr>
        <w:t>the protection of the environment or the release of any hazardous or toxic materials into the environment.</w:t>
      </w:r>
    </w:p>
    <w:p>
      <w:pPr>
        <w:spacing w:after="0" w:line="183" w:lineRule="exact"/>
        <w:rPr>
          <w:sz w:val="20"/>
          <w:szCs w:val="20"/>
          <w:color w:val="auto"/>
        </w:rPr>
      </w:pPr>
    </w:p>
    <w:p>
      <w:pPr>
        <w:jc w:val="both"/>
        <w:ind w:firstLine="624"/>
        <w:spacing w:after="0" w:line="23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Liability</w:t>
      </w:r>
      <w:r>
        <w:rPr>
          <w:rFonts w:ascii="Arial" w:cs="Arial" w:eastAsia="Arial" w:hAnsi="Arial"/>
          <w:sz w:val="20"/>
          <w:szCs w:val="20"/>
          <w:color w:val="auto"/>
        </w:rPr>
        <w:t>” means any liability, contingent or otherwise (including any liability for damages, costs of environmental remediation, fines, penalties or indemnities), directly or indirectly resulting from or based upon (a) violation of any Environmental Law or permit required thereunder, (b) the generation, use, handling, transportation, storage, treatment or disposal of any Hazardous Materials, (c) exposure to any Hazardous Materials, (d) the release or threatened release of any Hazardous Materials into the environment or (e) any governmental order or acquisition or divestiture agreement or other consensual arrangement pursuant to which liability is assumed or imposed with respect to any of the foregoing.</w:t>
      </w:r>
    </w:p>
    <w:p>
      <w:pPr>
        <w:spacing w:after="0" w:line="156" w:lineRule="exact"/>
        <w:rPr>
          <w:sz w:val="20"/>
          <w:szCs w:val="20"/>
          <w:color w:val="auto"/>
        </w:rPr>
      </w:pPr>
    </w:p>
    <w:p>
      <w:pPr>
        <w:jc w:val="both"/>
        <w:ind w:firstLine="624"/>
        <w:spacing w:after="0" w:line="228"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Equity Interests</w:t>
      </w:r>
      <w:r>
        <w:rPr>
          <w:rFonts w:ascii="Arial" w:cs="Arial" w:eastAsia="Arial" w:hAnsi="Arial"/>
          <w:sz w:val="20"/>
          <w:szCs w:val="20"/>
          <w:color w:val="auto"/>
        </w:rPr>
        <w:t xml:space="preserve">”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Indebtedness that is convertible into any Equity Interests shall not constitute Equity Interests prior to the conversion thereof.</w:t>
      </w:r>
    </w:p>
    <w:p>
      <w:pPr>
        <w:spacing w:after="0" w:line="160" w:lineRule="exact"/>
        <w:rPr>
          <w:sz w:val="20"/>
          <w:szCs w:val="20"/>
          <w:color w:val="auto"/>
        </w:rPr>
      </w:pPr>
    </w:p>
    <w:p>
      <w:pPr>
        <w:jc w:val="both"/>
        <w:ind w:firstLine="624"/>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ERISA</w:t>
      </w:r>
      <w:r>
        <w:rPr>
          <w:rFonts w:ascii="Arial" w:cs="Arial" w:eastAsia="Arial" w:hAnsi="Arial"/>
          <w:sz w:val="21"/>
          <w:szCs w:val="21"/>
          <w:color w:val="auto"/>
        </w:rPr>
        <w:t>” means the Employee Retirement Income Security Act of 1974, as amended from time to time, and the rules and regulations promulgated thereunder.</w:t>
      </w:r>
    </w:p>
    <w:p>
      <w:pPr>
        <w:spacing w:after="0" w:line="155" w:lineRule="exact"/>
        <w:rPr>
          <w:sz w:val="20"/>
          <w:szCs w:val="20"/>
          <w:color w:val="auto"/>
        </w:rPr>
      </w:pPr>
    </w:p>
    <w:p>
      <w:pPr>
        <w:jc w:val="both"/>
        <w:ind w:firstLine="624"/>
        <w:spacing w:after="0" w:line="23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ERISA Affiliate</w:t>
      </w:r>
      <w:r>
        <w:rPr>
          <w:rFonts w:ascii="Arial" w:cs="Arial" w:eastAsia="Arial" w:hAnsi="Arial"/>
          <w:sz w:val="21"/>
          <w:szCs w:val="21"/>
          <w:color w:val="auto"/>
        </w:rPr>
        <w:t>” means any trade or business (whether or not incorporated) under common control with Borrower within the meaning of Section 414(b) or (c) of the Code or Section 4001(14) of ERISA (and Sections 414(m) and (o) of the Code for purposes of provisions relating to Section 412 of the Code).</w:t>
      </w:r>
    </w:p>
    <w:p>
      <w:pPr>
        <w:spacing w:after="0" w:line="154" w:lineRule="exact"/>
        <w:rPr>
          <w:sz w:val="20"/>
          <w:szCs w:val="20"/>
          <w:color w:val="auto"/>
        </w:rPr>
      </w:pPr>
    </w:p>
    <w:p>
      <w:pPr>
        <w:jc w:val="both"/>
        <w:ind w:firstLine="624"/>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Event</w:t>
      </w:r>
      <w:r>
        <w:rPr>
          <w:rFonts w:ascii="Arial" w:cs="Arial" w:eastAsia="Arial" w:hAnsi="Arial"/>
          <w:sz w:val="19"/>
          <w:szCs w:val="19"/>
          <w:color w:val="auto"/>
        </w:rPr>
        <w:t>” means (a) a Reportable Event with respect to a Pension Plan or Multiemployer Plan, (b) a withdrawal by the Borrower or any ERISA Affiliate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(within the meaning of Sections 4203 and 4205 of ERISA) by the Borrower or any ERISA Affiliate from a Multiemployer Plan if there is any potential liability therefor, (d) the filing by a Pension Plan administrator of a notice of intent to terminate pursuant to Section 4041(a)(2) of ERISA or the commencement of proceedings by the PBGC to terminate pursuant to Section 4042 of ERISA, a Pension Plan or Multiemployer Plan, (e) the appointment of a trustee to administer any Pension Plan or Multiemployer Plan, (f) the incurrence by the Borrower or any ERISA Affiliate of any liability under Title IV of ERISA with respect to the termination of any Pension Plan pursuant to Section 4041 of ERISA or (g) the determination that any Pension Plan or Multiemployer Plan is considered an at-risk plan or a plan in endangered or critical status within the meaning of Sections 430, 431 and 432 of the Code or Sections 303, 304 and 305 of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1240"/>
          </w:cols>
          <w:pgMar w:left="320" w:top="1152" w:right="339" w:bottom="1440" w:gutter="0" w:footer="0" w:header="0"/>
        </w:sectPr>
      </w:pPr>
    </w:p>
    <w:bookmarkStart w:id="155" w:name="page156"/>
    <w:bookmarkEnd w:id="155"/>
    <w:p>
      <w:pPr>
        <w:jc w:val="both"/>
        <w:ind w:firstLine="624"/>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EU Bail-In Legislation Schedule</w:t>
      </w:r>
      <w:r>
        <w:rPr>
          <w:rFonts w:ascii="Arial" w:cs="Arial" w:eastAsia="Arial" w:hAnsi="Arial"/>
          <w:sz w:val="21"/>
          <w:szCs w:val="21"/>
          <w:color w:val="auto"/>
        </w:rPr>
        <w:t>” means the EU Bail-In Legislation Schedule published by the Loan Market Association (or any successor person), as in effect from time to time.</w:t>
      </w:r>
    </w:p>
    <w:p>
      <w:pPr>
        <w:spacing w:after="0" w:line="149" w:lineRule="exact"/>
        <w:rPr>
          <w:sz w:val="20"/>
          <w:szCs w:val="20"/>
          <w:color w:val="auto"/>
        </w:rPr>
      </w:pPr>
    </w:p>
    <w:p>
      <w:pPr>
        <w:jc w:val="both"/>
        <w:ind w:firstLine="624"/>
        <w:spacing w:after="0" w:line="245" w:lineRule="auto"/>
        <w:rPr>
          <w:sz w:val="20"/>
          <w:szCs w:val="20"/>
          <w:color w:val="auto"/>
        </w:rPr>
      </w:pPr>
      <w:r>
        <w:rPr>
          <w:rFonts w:ascii="Arial" w:cs="Arial" w:eastAsia="Arial" w:hAnsi="Arial"/>
          <w:sz w:val="21"/>
          <w:szCs w:val="21"/>
          <w:b w:val="1"/>
          <w:bCs w:val="1"/>
          <w:color w:val="FF0000"/>
          <w:strike w:val="1"/>
        </w:rPr>
        <w:t>“</w:t>
      </w:r>
      <w:r>
        <w:rPr>
          <w:rFonts w:ascii="Arial" w:cs="Arial" w:eastAsia="Arial" w:hAnsi="Arial"/>
          <w:sz w:val="21"/>
          <w:szCs w:val="21"/>
          <w:b w:val="1"/>
          <w:bCs w:val="1"/>
          <w:u w:val="single" w:color="auto"/>
          <w:color w:val="FF0000"/>
          <w:strike w:val="1"/>
        </w:rPr>
        <w:t>Eurocurrency Rate</w:t>
      </w:r>
      <w:r>
        <w:rPr>
          <w:rFonts w:ascii="Arial" w:cs="Arial" w:eastAsia="Arial" w:hAnsi="Arial"/>
          <w:sz w:val="21"/>
          <w:szCs w:val="21"/>
          <w:b w:val="1"/>
          <w:bCs w:val="1"/>
          <w:color w:val="FF0000"/>
          <w:strike w:val="1"/>
        </w:rPr>
        <w:t>” means, with respect to any Eurocurrency Rate Borrowing in Dollars for any Interest Period, the LIBO Rate.</w:t>
      </w:r>
    </w:p>
    <w:p>
      <w:pPr>
        <w:spacing w:after="0" w:line="143" w:lineRule="exact"/>
        <w:rPr>
          <w:sz w:val="20"/>
          <w:szCs w:val="20"/>
          <w:color w:val="auto"/>
        </w:rPr>
      </w:pPr>
    </w:p>
    <w:p>
      <w:pPr>
        <w:ind w:left="620"/>
        <w:spacing w:after="0"/>
        <w:rPr>
          <w:sz w:val="20"/>
          <w:szCs w:val="20"/>
          <w:color w:val="auto"/>
        </w:rPr>
      </w:pPr>
      <w:r>
        <w:rPr>
          <w:rFonts w:ascii="Arial" w:cs="Arial" w:eastAsia="Arial" w:hAnsi="Arial"/>
          <w:sz w:val="21"/>
          <w:szCs w:val="21"/>
          <w:b w:val="1"/>
          <w:bCs w:val="1"/>
          <w:color w:val="FF0000"/>
          <w:strike w:val="1"/>
        </w:rPr>
        <w:t>“</w:t>
      </w:r>
      <w:r>
        <w:rPr>
          <w:rFonts w:ascii="Arial" w:cs="Arial" w:eastAsia="Arial" w:hAnsi="Arial"/>
          <w:sz w:val="21"/>
          <w:szCs w:val="21"/>
          <w:b w:val="1"/>
          <w:bCs w:val="1"/>
          <w:u w:val="single" w:color="auto"/>
          <w:color w:val="FF0000"/>
          <w:strike w:val="1"/>
        </w:rPr>
        <w:t>Eurocurrency Rate Borrowing</w:t>
      </w:r>
      <w:r>
        <w:rPr>
          <w:rFonts w:ascii="Arial" w:cs="Arial" w:eastAsia="Arial" w:hAnsi="Arial"/>
          <w:sz w:val="21"/>
          <w:szCs w:val="21"/>
          <w:b w:val="1"/>
          <w:bCs w:val="1"/>
          <w:color w:val="FF0000"/>
          <w:strike w:val="1"/>
        </w:rPr>
        <w:t>” means a Borrowing comprised of Eurocurrency Rate Loans.</w:t>
      </w:r>
    </w:p>
    <w:p>
      <w:pPr>
        <w:spacing w:after="0" w:line="183" w:lineRule="exact"/>
        <w:rPr>
          <w:sz w:val="20"/>
          <w:szCs w:val="20"/>
          <w:color w:val="auto"/>
        </w:rPr>
      </w:pPr>
    </w:p>
    <w:p>
      <w:pPr>
        <w:jc w:val="both"/>
        <w:ind w:firstLine="624"/>
        <w:spacing w:after="0" w:line="232" w:lineRule="auto"/>
        <w:rPr>
          <w:sz w:val="20"/>
          <w:szCs w:val="20"/>
          <w:color w:val="auto"/>
        </w:rPr>
      </w:pPr>
      <w:r>
        <w:rPr>
          <w:rFonts w:ascii="Arial" w:cs="Arial" w:eastAsia="Arial" w:hAnsi="Arial"/>
          <w:sz w:val="21"/>
          <w:szCs w:val="21"/>
          <w:b w:val="1"/>
          <w:bCs w:val="1"/>
          <w:color w:val="FF0000"/>
          <w:strike w:val="1"/>
        </w:rPr>
        <w:t>“</w:t>
      </w:r>
      <w:r>
        <w:rPr>
          <w:rFonts w:ascii="Arial" w:cs="Arial" w:eastAsia="Arial" w:hAnsi="Arial"/>
          <w:sz w:val="21"/>
          <w:szCs w:val="21"/>
          <w:b w:val="1"/>
          <w:bCs w:val="1"/>
          <w:u w:val="single" w:color="auto"/>
          <w:color w:val="FF0000"/>
          <w:strike w:val="1"/>
        </w:rPr>
        <w:t>Eurocurrency Rate Committed Loan</w:t>
      </w:r>
      <w:r>
        <w:rPr>
          <w:rFonts w:ascii="Arial" w:cs="Arial" w:eastAsia="Arial" w:hAnsi="Arial"/>
          <w:sz w:val="21"/>
          <w:szCs w:val="21"/>
          <w:b w:val="1"/>
          <w:bCs w:val="1"/>
          <w:color w:val="FF0000"/>
          <w:strike w:val="1"/>
        </w:rPr>
        <w:t>” means a Committed Loan that bears interest by reference to the Eurocurrency Rate. All Committed Loans denominated in an Alternative Currency must be Eurocurrency Rate Committed Loans.</w:t>
      </w:r>
    </w:p>
    <w:p>
      <w:pPr>
        <w:spacing w:after="0" w:line="148" w:lineRule="exact"/>
        <w:rPr>
          <w:sz w:val="20"/>
          <w:szCs w:val="20"/>
          <w:color w:val="auto"/>
        </w:rPr>
      </w:pPr>
    </w:p>
    <w:p>
      <w:pPr>
        <w:jc w:val="both"/>
        <w:ind w:firstLine="624"/>
        <w:spacing w:after="0" w:line="232" w:lineRule="auto"/>
        <w:rPr>
          <w:sz w:val="20"/>
          <w:szCs w:val="20"/>
          <w:color w:val="auto"/>
        </w:rPr>
      </w:pPr>
      <w:r>
        <w:rPr>
          <w:rFonts w:ascii="Arial" w:cs="Arial" w:eastAsia="Arial" w:hAnsi="Arial"/>
          <w:sz w:val="21"/>
          <w:szCs w:val="21"/>
          <w:b w:val="1"/>
          <w:bCs w:val="1"/>
          <w:color w:val="FF0000"/>
          <w:strike w:val="1"/>
        </w:rPr>
        <w:t>“</w:t>
      </w:r>
      <w:r>
        <w:rPr>
          <w:rFonts w:ascii="Arial" w:cs="Arial" w:eastAsia="Arial" w:hAnsi="Arial"/>
          <w:sz w:val="21"/>
          <w:szCs w:val="21"/>
          <w:b w:val="1"/>
          <w:bCs w:val="1"/>
          <w:u w:val="single" w:color="auto"/>
          <w:color w:val="FF0000"/>
          <w:strike w:val="1"/>
        </w:rPr>
        <w:t>Eurocurrency Rate Loan</w:t>
      </w:r>
      <w:r>
        <w:rPr>
          <w:rFonts w:ascii="Arial" w:cs="Arial" w:eastAsia="Arial" w:hAnsi="Arial"/>
          <w:sz w:val="21"/>
          <w:szCs w:val="21"/>
          <w:b w:val="1"/>
          <w:bCs w:val="1"/>
          <w:color w:val="FF0000"/>
          <w:strike w:val="1"/>
        </w:rPr>
        <w:t>” means a Loan that bears interest by reference to the Eurocurrency Rate, which may only be a Eurocurrency Rate Committed Loan. Eurocurrency Rate Loans may be denominated in US Dollars or in an Alternative Currency.</w:t>
      </w:r>
    </w:p>
    <w:p>
      <w:pPr>
        <w:spacing w:after="0" w:line="15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Event of Default</w:t>
      </w:r>
      <w:r>
        <w:rPr>
          <w:rFonts w:ascii="Arial" w:cs="Arial" w:eastAsia="Arial" w:hAnsi="Arial"/>
          <w:sz w:val="21"/>
          <w:szCs w:val="21"/>
          <w:color w:val="auto"/>
        </w:rPr>
        <w:t xml:space="preserve">” has the meaning specified in </w:t>
      </w:r>
      <w:r>
        <w:rPr>
          <w:rFonts w:ascii="Arial" w:cs="Arial" w:eastAsia="Arial" w:hAnsi="Arial"/>
          <w:sz w:val="21"/>
          <w:szCs w:val="21"/>
          <w:u w:val="single" w:color="auto"/>
          <w:color w:val="auto"/>
        </w:rPr>
        <w:t>Section 8.01</w:t>
      </w:r>
      <w:r>
        <w:rPr>
          <w:rFonts w:ascii="Arial" w:cs="Arial" w:eastAsia="Arial" w:hAnsi="Arial"/>
          <w:sz w:val="21"/>
          <w:szCs w:val="21"/>
          <w:color w:val="auto"/>
        </w:rPr>
        <w:t>.</w:t>
      </w:r>
    </w:p>
    <w:p>
      <w:pPr>
        <w:spacing w:after="0" w:line="183" w:lineRule="exact"/>
        <w:rPr>
          <w:sz w:val="20"/>
          <w:szCs w:val="20"/>
          <w:color w:val="auto"/>
        </w:rPr>
      </w:pPr>
    </w:p>
    <w:p>
      <w:pPr>
        <w:jc w:val="both"/>
        <w:ind w:firstLine="624"/>
        <w:spacing w:after="0" w:line="228"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Exchange Rate</w:t>
      </w:r>
      <w:r>
        <w:rPr>
          <w:rFonts w:ascii="Arial" w:cs="Arial" w:eastAsia="Arial" w:hAnsi="Arial"/>
          <w:sz w:val="20"/>
          <w:szCs w:val="20"/>
          <w:color w:val="auto"/>
        </w:rPr>
        <w:t xml:space="preserve">” means on any day, for purposes of determining the US Dollar Equivalent of any currency other than US Dollars, the rate at which such other currency may be exchanged into US Dollars (or, solely for purposes of </w:t>
      </w:r>
      <w:r>
        <w:rPr>
          <w:rFonts w:ascii="Arial" w:cs="Arial" w:eastAsia="Arial" w:hAnsi="Arial"/>
          <w:sz w:val="20"/>
          <w:szCs w:val="20"/>
          <w:u w:val="single" w:color="auto"/>
          <w:color w:val="auto"/>
        </w:rPr>
        <w:t>Section 2.04(c)(ii)</w:t>
      </w:r>
      <w:r>
        <w:rPr>
          <w:rFonts w:ascii="Arial" w:cs="Arial" w:eastAsia="Arial" w:hAnsi="Arial"/>
          <w:sz w:val="20"/>
          <w:szCs w:val="20"/>
          <w:color w:val="auto"/>
        </w:rPr>
        <w:t xml:space="preserve">, the rate at which US Dollars may be exchanged into such other currency) at the time of determination on such day as last provided (either by publication or otherwise provided to the Administrative Agent) by the applicable Reuters source on the Business Day (New York City time) immediately preceding the date of determination. In the event that such rate is not so provided to the Administrative Agent, the Exchange Rate shall be determined by reference to such other publicly available service for displaying exchange rates as may be agreed upon by the Administrative Agent and the Borrower;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the absence of such an agreement, the Administrative Agent may use any reasonable method it deems appropriate to determine such rate, and such determination shall be conclusive absent manifest error.</w:t>
      </w:r>
    </w:p>
    <w:p>
      <w:pPr>
        <w:spacing w:after="0" w:line="154" w:lineRule="exact"/>
        <w:rPr>
          <w:sz w:val="20"/>
          <w:szCs w:val="20"/>
          <w:color w:val="auto"/>
        </w:rPr>
      </w:pPr>
    </w:p>
    <w:p>
      <w:pPr>
        <w:jc w:val="both"/>
        <w:ind w:firstLine="624"/>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Taxes</w:t>
      </w:r>
      <w:r>
        <w:rPr>
          <w:rFonts w:ascii="Arial" w:cs="Arial" w:eastAsia="Arial" w:hAnsi="Arial"/>
          <w:sz w:val="19"/>
          <w:szCs w:val="19"/>
          <w:color w:val="auto"/>
        </w:rPr>
        <w:t xml:space="preserve">” means, with respect to the Administrative Agent, any Lender, any L/C Issuer or any other recipient of any payment to be made by or on account of any obligation of the Loan Parties hereunder or under any other Loan Document, (a) Taxes imposed on or measured by its net income (however denominated), branch profits Taxes and franchise Taxes, in each case, (i) imposed on it, by the United States (or any political subdivision or taxing authority thereof or therein), or by the jurisdiction (or any political subdivision or taxing authority thereof or therein) under the Laws of which such recipient is organized or in which its principal office is located or, in the case of any Lender, in which its applicable Lending Office is located, or (ii) that are Other Connection Taxes, (b) any withholding Tax that is imposed by the United States on amounts payable to a recipient with respect to an applicable interest in the Loan or Commitment pursuant to any Law in effect at the time such recipient acquires such interest in the Loan or Commitment (other than pursuant to an assignment request by the Borrower under </w:t>
      </w:r>
      <w:r>
        <w:rPr>
          <w:rFonts w:ascii="Arial" w:cs="Arial" w:eastAsia="Arial" w:hAnsi="Arial"/>
          <w:sz w:val="19"/>
          <w:szCs w:val="19"/>
          <w:u w:val="single" w:color="auto"/>
          <w:color w:val="auto"/>
        </w:rPr>
        <w:t>Section 11.13</w:t>
      </w:r>
      <w:r>
        <w:rPr>
          <w:rFonts w:ascii="Arial" w:cs="Arial" w:eastAsia="Arial" w:hAnsi="Arial"/>
          <w:sz w:val="19"/>
          <w:szCs w:val="19"/>
          <w:color w:val="auto"/>
        </w:rPr>
        <w:t xml:space="preserve">) or designates a new Lending Office, except to the extent that such recipient (or its assignor, in the case of an assignment) was entitled, immediately before the designation of a new Lending Office (or assignment), to receive additional amounts from the Loan Parties with respect to such withholding Tax pursuant to </w:t>
      </w:r>
      <w:r>
        <w:rPr>
          <w:rFonts w:ascii="Arial" w:cs="Arial" w:eastAsia="Arial" w:hAnsi="Arial"/>
          <w:sz w:val="19"/>
          <w:szCs w:val="19"/>
          <w:u w:val="single" w:color="auto"/>
          <w:color w:val="auto"/>
        </w:rPr>
        <w:t>Section 3.01(a)</w:t>
      </w:r>
      <w:r>
        <w:rPr>
          <w:rFonts w:ascii="Arial" w:cs="Arial" w:eastAsia="Arial" w:hAnsi="Arial"/>
          <w:sz w:val="19"/>
          <w:szCs w:val="19"/>
          <w:color w:val="auto"/>
        </w:rPr>
        <w:t>, (c) any Tax that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1240"/>
          </w:cols>
          <w:pgMar w:left="320" w:top="1152" w:right="339" w:bottom="1440" w:gutter="0" w:footer="0" w:header="0"/>
        </w:sectPr>
      </w:pPr>
    </w:p>
    <w:bookmarkStart w:id="156" w:name="page157"/>
    <w:bookmarkEnd w:id="156"/>
    <w:p>
      <w:pPr>
        <w:spacing w:after="0" w:line="239" w:lineRule="auto"/>
        <w:rPr>
          <w:sz w:val="20"/>
          <w:szCs w:val="20"/>
          <w:color w:val="auto"/>
        </w:rPr>
      </w:pPr>
      <w:r>
        <w:rPr>
          <w:rFonts w:ascii="Arial" w:cs="Arial" w:eastAsia="Arial" w:hAnsi="Arial"/>
          <w:sz w:val="21"/>
          <w:szCs w:val="21"/>
          <w:color w:val="auto"/>
        </w:rPr>
        <w:t xml:space="preserve">attributable to a recipient’s failure to comply with </w:t>
      </w:r>
      <w:r>
        <w:rPr>
          <w:rFonts w:ascii="Arial" w:cs="Arial" w:eastAsia="Arial" w:hAnsi="Arial"/>
          <w:sz w:val="21"/>
          <w:szCs w:val="21"/>
          <w:u w:val="single" w:color="auto"/>
          <w:color w:val="auto"/>
        </w:rPr>
        <w:t>Section 3.01(e)</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3.01(g)</w:t>
      </w:r>
      <w:r>
        <w:rPr>
          <w:rFonts w:ascii="Arial" w:cs="Arial" w:eastAsia="Arial" w:hAnsi="Arial"/>
          <w:sz w:val="21"/>
          <w:szCs w:val="21"/>
          <w:color w:val="auto"/>
        </w:rPr>
        <w:t>, and (d) any withholding Taxes imposed pursuant to FATCA.</w:t>
      </w:r>
    </w:p>
    <w:p>
      <w:pPr>
        <w:spacing w:after="0" w:line="155" w:lineRule="exact"/>
        <w:rPr>
          <w:sz w:val="20"/>
          <w:szCs w:val="20"/>
          <w:color w:val="auto"/>
        </w:rPr>
      </w:pPr>
    </w:p>
    <w:p>
      <w:pPr>
        <w:jc w:val="both"/>
        <w:ind w:firstLine="624"/>
        <w:spacing w:after="0" w:line="225"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Existing Letter of Credit</w:t>
      </w:r>
      <w:r>
        <w:rPr>
          <w:rFonts w:ascii="Arial" w:cs="Arial" w:eastAsia="Arial" w:hAnsi="Arial"/>
          <w:sz w:val="21"/>
          <w:szCs w:val="21"/>
          <w:color w:val="auto"/>
        </w:rPr>
        <w:t xml:space="preserve">” means any letter of credit issued and outstanding as of the Effective Date and listed on </w:t>
      </w:r>
      <w:r>
        <w:rPr>
          <w:rFonts w:ascii="Arial" w:cs="Arial" w:eastAsia="Arial" w:hAnsi="Arial"/>
          <w:sz w:val="21"/>
          <w:szCs w:val="21"/>
          <w:u w:val="single" w:color="auto"/>
          <w:color w:val="auto"/>
        </w:rPr>
        <w:t>Schedule</w:t>
      </w:r>
      <w:r>
        <w:rPr>
          <w:rFonts w:ascii="Arial" w:cs="Arial" w:eastAsia="Arial" w:hAnsi="Arial"/>
          <w:sz w:val="21"/>
          <w:szCs w:val="21"/>
          <w:color w:val="auto"/>
        </w:rPr>
        <w:t xml:space="preserve"> </w:t>
      </w:r>
      <w:r>
        <w:rPr>
          <w:rFonts w:ascii="Arial" w:cs="Arial" w:eastAsia="Arial" w:hAnsi="Arial"/>
          <w:sz w:val="21"/>
          <w:szCs w:val="21"/>
          <w:u w:val="single" w:color="auto"/>
          <w:color w:val="auto"/>
        </w:rPr>
        <w:t>2.04(b)</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issuer thereof is a Lender as of the Effective Date. Each such letter of credit so designated shall be deemed to constitute a Letter of Credit and a Letter of Credit issued hereunder on the Effective Date for all purposes under this Agreement and the other Loan Documents.</w:t>
      </w:r>
    </w:p>
    <w:p>
      <w:pPr>
        <w:spacing w:after="0" w:line="15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FASB ASC</w:t>
      </w:r>
      <w:r>
        <w:rPr>
          <w:rFonts w:ascii="Arial" w:cs="Arial" w:eastAsia="Arial" w:hAnsi="Arial"/>
          <w:sz w:val="21"/>
          <w:szCs w:val="21"/>
          <w:color w:val="auto"/>
        </w:rPr>
        <w:t>” means the Accounting Standards Codification of the Financial Accounting Standards Board.</w:t>
      </w:r>
    </w:p>
    <w:p>
      <w:pPr>
        <w:spacing w:after="0" w:line="183" w:lineRule="exact"/>
        <w:rPr>
          <w:sz w:val="20"/>
          <w:szCs w:val="20"/>
          <w:color w:val="auto"/>
        </w:rPr>
      </w:pPr>
    </w:p>
    <w:p>
      <w:pPr>
        <w:jc w:val="both"/>
        <w:ind w:firstLine="624"/>
        <w:spacing w:after="0" w:line="22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FATCA</w:t>
      </w:r>
      <w:r>
        <w:rPr>
          <w:rFonts w:ascii="Arial" w:cs="Arial" w:eastAsia="Arial" w:hAnsi="Arial"/>
          <w:sz w:val="21"/>
          <w:szCs w:val="21"/>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agreements, treaty or convention among Governmental Authorities and implementing such Sections of the Code.</w:t>
      </w:r>
    </w:p>
    <w:p>
      <w:pPr>
        <w:spacing w:after="0" w:line="149" w:lineRule="exact"/>
        <w:rPr>
          <w:sz w:val="20"/>
          <w:szCs w:val="20"/>
          <w:color w:val="auto"/>
        </w:rPr>
      </w:pPr>
    </w:p>
    <w:p>
      <w:pPr>
        <w:ind w:left="620"/>
        <w:spacing w:after="0"/>
        <w:rPr>
          <w:sz w:val="20"/>
          <w:szCs w:val="20"/>
          <w:color w:val="auto"/>
        </w:rPr>
      </w:pPr>
      <w:r>
        <w:rPr>
          <w:rFonts w:ascii="Arial" w:cs="Arial" w:eastAsia="Arial" w:hAnsi="Arial"/>
          <w:sz w:val="21"/>
          <w:szCs w:val="21"/>
          <w:b w:val="1"/>
          <w:bCs w:val="1"/>
          <w:color w:val="FF0000"/>
          <w:strike w:val="1"/>
        </w:rPr>
        <w:t>“</w:t>
      </w:r>
      <w:r>
        <w:rPr>
          <w:rFonts w:ascii="Arial" w:cs="Arial" w:eastAsia="Arial" w:hAnsi="Arial"/>
          <w:sz w:val="21"/>
          <w:szCs w:val="21"/>
          <w:b w:val="1"/>
          <w:bCs w:val="1"/>
          <w:u w:val="single" w:color="auto"/>
          <w:color w:val="FF0000"/>
          <w:strike w:val="1"/>
        </w:rPr>
        <w:t>FCA</w:t>
      </w:r>
      <w:r>
        <w:rPr>
          <w:rFonts w:ascii="Arial" w:cs="Arial" w:eastAsia="Arial" w:hAnsi="Arial"/>
          <w:sz w:val="21"/>
          <w:szCs w:val="21"/>
          <w:b w:val="1"/>
          <w:bCs w:val="1"/>
          <w:color w:val="FF0000"/>
          <w:strike w:val="1"/>
        </w:rPr>
        <w:t xml:space="preserve">” has the meaning assigned to such term in </w:t>
      </w:r>
      <w:r>
        <w:rPr>
          <w:rFonts w:ascii="Arial" w:cs="Arial" w:eastAsia="Arial" w:hAnsi="Arial"/>
          <w:sz w:val="21"/>
          <w:szCs w:val="21"/>
          <w:b w:val="1"/>
          <w:bCs w:val="1"/>
          <w:u w:val="single" w:color="auto"/>
          <w:color w:val="FF0000"/>
          <w:strike w:val="1"/>
        </w:rPr>
        <w:t>Section 1.09</w:t>
      </w:r>
      <w:r>
        <w:rPr>
          <w:rFonts w:ascii="Arial" w:cs="Arial" w:eastAsia="Arial" w:hAnsi="Arial"/>
          <w:sz w:val="21"/>
          <w:szCs w:val="21"/>
          <w:b w:val="1"/>
          <w:bCs w:val="1"/>
          <w:color w:val="FF0000"/>
          <w:strike w:val="1"/>
        </w:rPr>
        <w:t>.</w:t>
      </w:r>
    </w:p>
    <w:p>
      <w:pPr>
        <w:spacing w:after="0" w:line="189" w:lineRule="exact"/>
        <w:rPr>
          <w:sz w:val="20"/>
          <w:szCs w:val="20"/>
          <w:color w:val="auto"/>
        </w:rPr>
      </w:pPr>
    </w:p>
    <w:p>
      <w:pPr>
        <w:jc w:val="both"/>
        <w:ind w:firstLine="624"/>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Federal Funds Effective Rate</w:t>
      </w:r>
      <w:r>
        <w:rPr>
          <w:rFonts w:ascii="Arial" w:cs="Arial" w:eastAsia="Arial" w:hAnsi="Arial"/>
          <w:sz w:val="19"/>
          <w:szCs w:val="19"/>
          <w:color w:val="auto"/>
        </w:rPr>
        <w:t xml:space="preserve">” means, for any day, the rate calculated by the NYFRB based on such day’s federal funds transactions by depository institutions (as determined in such manner as shall be set forth on the NYFRB’s Website from time to time) and published on the next succeeding Business Day by the NYFRB as the federal funds effective rate;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rate as so determined would be be less than zero, such rate shall be deemed to be zero for all purposes of this Agreement.</w:t>
      </w:r>
    </w:p>
    <w:p>
      <w:pPr>
        <w:spacing w:after="0" w:line="142"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Federal Reserve Board</w:t>
      </w:r>
      <w:r>
        <w:rPr>
          <w:rFonts w:ascii="Arial" w:cs="Arial" w:eastAsia="Arial" w:hAnsi="Arial"/>
          <w:sz w:val="19"/>
          <w:szCs w:val="19"/>
          <w:color w:val="auto"/>
        </w:rPr>
        <w:t>” means the Board of Governors of the Federal Reserve System of the United States of America.</w:t>
      </w:r>
    </w:p>
    <w:p>
      <w:pPr>
        <w:spacing w:after="0" w:line="206"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Fiscal Year</w:t>
      </w:r>
      <w:r>
        <w:rPr>
          <w:rFonts w:ascii="Arial" w:cs="Arial" w:eastAsia="Arial" w:hAnsi="Arial"/>
          <w:sz w:val="21"/>
          <w:szCs w:val="21"/>
          <w:color w:val="auto"/>
        </w:rPr>
        <w:t>” means the fiscal year of the Borrower ending on December 31st of each calendar year.</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Foreign Lender</w:t>
      </w:r>
      <w:r>
        <w:rPr>
          <w:rFonts w:ascii="Arial" w:cs="Arial" w:eastAsia="Arial" w:hAnsi="Arial"/>
          <w:sz w:val="21"/>
          <w:szCs w:val="21"/>
          <w:color w:val="auto"/>
        </w:rPr>
        <w:t>” means any Lender that is not a US Person.</w:t>
      </w:r>
    </w:p>
    <w:p>
      <w:pPr>
        <w:spacing w:after="0" w:line="183" w:lineRule="exact"/>
        <w:rPr>
          <w:sz w:val="20"/>
          <w:szCs w:val="20"/>
          <w:color w:val="auto"/>
        </w:rPr>
      </w:pPr>
    </w:p>
    <w:p>
      <w:pPr>
        <w:jc w:val="both"/>
        <w:ind w:firstLine="624"/>
        <w:spacing w:after="0" w:line="22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Fronting Exposure</w:t>
      </w:r>
      <w:r>
        <w:rPr>
          <w:rFonts w:ascii="Arial" w:cs="Arial" w:eastAsia="Arial" w:hAnsi="Arial"/>
          <w:sz w:val="21"/>
          <w:szCs w:val="21"/>
          <w:color w:val="auto"/>
        </w:rPr>
        <w:t>” means, at any time there is a Defaulting Lender, with respect to any L/C Issuer, such Defaulting Lender’s Applicable Percentage of the outstanding L/C Obligations with respect to Letters of Credit issued by such L/C Issuer, other than any such L/C Obligations as to which such Defaulting Lender’s participation obligation has been reallocated to other Lenders or Cash Collateralized in accordance with the terms hereof.</w:t>
      </w:r>
    </w:p>
    <w:p>
      <w:pPr>
        <w:spacing w:after="0" w:line="154" w:lineRule="exact"/>
        <w:rPr>
          <w:sz w:val="20"/>
          <w:szCs w:val="20"/>
          <w:color w:val="auto"/>
        </w:rPr>
      </w:pPr>
    </w:p>
    <w:p>
      <w:pPr>
        <w:jc w:val="both"/>
        <w:ind w:firstLine="624"/>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Fund</w:t>
      </w:r>
      <w:r>
        <w:rPr>
          <w:rFonts w:ascii="Arial" w:cs="Arial" w:eastAsia="Arial" w:hAnsi="Arial"/>
          <w:sz w:val="21"/>
          <w:szCs w:val="21"/>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55" w:lineRule="exact"/>
        <w:rPr>
          <w:sz w:val="20"/>
          <w:szCs w:val="20"/>
          <w:color w:val="auto"/>
        </w:rPr>
      </w:pPr>
    </w:p>
    <w:p>
      <w:pPr>
        <w:jc w:val="both"/>
        <w:ind w:firstLine="624"/>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GAAP</w:t>
      </w:r>
      <w:r>
        <w:rPr>
          <w:rFonts w:ascii="Arial" w:cs="Arial" w:eastAsia="Arial" w:hAnsi="Arial"/>
          <w:sz w:val="21"/>
          <w:szCs w:val="21"/>
          <w:color w:val="auto"/>
        </w:rPr>
        <w:t xml:space="preserve">” means, subject to </w:t>
      </w:r>
      <w:r>
        <w:rPr>
          <w:rFonts w:ascii="Arial" w:cs="Arial" w:eastAsia="Arial" w:hAnsi="Arial"/>
          <w:sz w:val="21"/>
          <w:szCs w:val="21"/>
          <w:u w:val="single" w:color="auto"/>
          <w:color w:val="auto"/>
        </w:rPr>
        <w:t>Section 1.03</w:t>
      </w:r>
      <w:r>
        <w:rPr>
          <w:rFonts w:ascii="Arial" w:cs="Arial" w:eastAsia="Arial" w:hAnsi="Arial"/>
          <w:sz w:val="21"/>
          <w:szCs w:val="21"/>
          <w:color w:val="auto"/>
        </w:rPr>
        <w:t>, generally accepted accounting principles in the United States, applied in accordance with the consistency requirements thereof.</w:t>
      </w:r>
    </w:p>
    <w:p>
      <w:pPr>
        <w:spacing w:after="0" w:line="155" w:lineRule="exact"/>
        <w:rPr>
          <w:sz w:val="20"/>
          <w:szCs w:val="20"/>
          <w:color w:val="auto"/>
        </w:rPr>
      </w:pPr>
    </w:p>
    <w:p>
      <w:pPr>
        <w:jc w:val="both"/>
        <w:ind w:firstLine="624"/>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Governmental Authority</w:t>
      </w:r>
      <w:r>
        <w:rPr>
          <w:rFonts w:ascii="Arial" w:cs="Arial" w:eastAsia="Arial" w:hAnsi="Arial"/>
          <w:sz w:val="21"/>
          <w:szCs w:val="21"/>
          <w:color w:val="auto"/>
        </w:rPr>
        <w:t>” means the government of the United States or any other nation, or of any political subdivision thereof, whether state or local, and any agency,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ectPr>
          <w:pgSz w:w="11900" w:h="16838" w:orient="portrait"/>
          <w:cols w:equalWidth="0" w:num="1">
            <w:col w:w="11240"/>
          </w:cols>
          <w:pgMar w:left="320" w:top="1152" w:right="339" w:bottom="1440" w:gutter="0" w:footer="0" w:header="0"/>
        </w:sectPr>
      </w:pPr>
    </w:p>
    <w:bookmarkStart w:id="157" w:name="page158"/>
    <w:bookmarkEnd w:id="157"/>
    <w:p>
      <w:pPr>
        <w:jc w:val="both"/>
        <w:spacing w:after="0" w:line="230" w:lineRule="auto"/>
        <w:rPr>
          <w:sz w:val="20"/>
          <w:szCs w:val="20"/>
          <w:color w:val="auto"/>
        </w:rPr>
      </w:pPr>
      <w:r>
        <w:rPr>
          <w:rFonts w:ascii="Arial" w:cs="Arial" w:eastAsia="Arial" w:hAnsi="Arial"/>
          <w:sz w:val="21"/>
          <w:szCs w:val="21"/>
          <w:color w:val="auto"/>
        </w:rPr>
        <w:t>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54" w:lineRule="exact"/>
        <w:rPr>
          <w:sz w:val="20"/>
          <w:szCs w:val="20"/>
          <w:color w:val="auto"/>
        </w:rPr>
      </w:pPr>
    </w:p>
    <w:p>
      <w:pPr>
        <w:jc w:val="both"/>
        <w:ind w:firstLine="624"/>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w:t>
      </w:r>
      <w:r>
        <w:rPr>
          <w:rFonts w:ascii="Arial" w:cs="Arial" w:eastAsia="Arial" w:hAnsi="Arial"/>
          <w:sz w:val="19"/>
          <w:szCs w:val="19"/>
          <w:color w:val="auto"/>
        </w:rPr>
        <w:t>” means, as to any Person, (a) any obligation, contingent or otherwise, of such Person guaranteeing or having the economic effect of guaranteeing any Indebtedness or other obligation payable or performable by another Person (the “</w:t>
      </w:r>
      <w:r>
        <w:rPr>
          <w:rFonts w:ascii="Arial" w:cs="Arial" w:eastAsia="Arial" w:hAnsi="Arial"/>
          <w:sz w:val="19"/>
          <w:szCs w:val="19"/>
          <w:u w:val="single" w:color="auto"/>
          <w:color w:val="auto"/>
        </w:rPr>
        <w:t>primary</w:t>
      </w:r>
      <w:r>
        <w:rPr>
          <w:rFonts w:ascii="Arial" w:cs="Arial" w:eastAsia="Arial" w:hAnsi="Arial"/>
          <w:sz w:val="19"/>
          <w:szCs w:val="19"/>
          <w:color w:val="auto"/>
        </w:rPr>
        <w:t xml:space="preserve"> </w:t>
      </w:r>
      <w:r>
        <w:rPr>
          <w:rFonts w:ascii="Arial" w:cs="Arial" w:eastAsia="Arial" w:hAnsi="Arial"/>
          <w:sz w:val="19"/>
          <w:szCs w:val="19"/>
          <w:u w:val="single" w:color="auto"/>
          <w:color w:val="auto"/>
        </w:rPr>
        <w:t>obligor</w:t>
      </w:r>
      <w:r>
        <w:rPr>
          <w:rFonts w:ascii="Arial" w:cs="Arial" w:eastAsia="Arial" w:hAnsi="Arial"/>
          <w:sz w:val="19"/>
          <w:szCs w:val="19"/>
          <w:color w:val="auto"/>
        </w:rPr>
        <w:t>”)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will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Arial" w:cs="Arial" w:eastAsia="Arial" w:hAnsi="Arial"/>
          <w:sz w:val="19"/>
          <w:szCs w:val="19"/>
          <w:u w:val="single" w:color="auto"/>
          <w:color w:val="auto"/>
        </w:rPr>
        <w:t>Guarantee</w:t>
      </w:r>
      <w:r>
        <w:rPr>
          <w:rFonts w:ascii="Arial" w:cs="Arial" w:eastAsia="Arial" w:hAnsi="Arial"/>
          <w:sz w:val="19"/>
          <w:szCs w:val="19"/>
          <w:color w:val="auto"/>
        </w:rPr>
        <w:t>” as a verb has a corresponding meaning.</w:t>
      </w:r>
    </w:p>
    <w:p>
      <w:pPr>
        <w:spacing w:after="0" w:line="156" w:lineRule="exact"/>
        <w:rPr>
          <w:sz w:val="20"/>
          <w:szCs w:val="20"/>
          <w:color w:val="auto"/>
        </w:rPr>
      </w:pPr>
    </w:p>
    <w:p>
      <w:pPr>
        <w:jc w:val="both"/>
        <w:ind w:firstLine="624"/>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Guaranteed Parties</w:t>
      </w:r>
      <w:r>
        <w:rPr>
          <w:rFonts w:ascii="Arial" w:cs="Arial" w:eastAsia="Arial" w:hAnsi="Arial"/>
          <w:sz w:val="21"/>
          <w:szCs w:val="21"/>
          <w:color w:val="auto"/>
        </w:rPr>
        <w:t>” means, collectively, the Administrative Agent, the Arrangers, the Lenders, each L/C Issuer and each Indemnitee.</w:t>
      </w:r>
    </w:p>
    <w:p>
      <w:pPr>
        <w:spacing w:after="0" w:line="155" w:lineRule="exact"/>
        <w:rPr>
          <w:sz w:val="20"/>
          <w:szCs w:val="20"/>
          <w:color w:val="auto"/>
        </w:rPr>
      </w:pPr>
    </w:p>
    <w:p>
      <w:pPr>
        <w:jc w:val="both"/>
        <w:ind w:firstLine="624"/>
        <w:spacing w:after="0" w:line="22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Guarantor Counterpart</w:t>
      </w:r>
      <w:r>
        <w:rPr>
          <w:rFonts w:ascii="Arial" w:cs="Arial" w:eastAsia="Arial" w:hAnsi="Arial"/>
          <w:sz w:val="21"/>
          <w:szCs w:val="21"/>
          <w:color w:val="auto"/>
        </w:rPr>
        <w:t xml:space="preserve">” means the Guarantor Counterpart Agreement to be entered into by the Borrower (if applicable) or any Domestic Subsidiary that may become a Subsidiary Guarantor after the Effective Date, in each case, in favor of the Administrative Agent, substantially in the form of </w:t>
      </w:r>
      <w:r>
        <w:rPr>
          <w:rFonts w:ascii="Arial" w:cs="Arial" w:eastAsia="Arial" w:hAnsi="Arial"/>
          <w:sz w:val="21"/>
          <w:szCs w:val="21"/>
          <w:u w:val="single" w:color="auto"/>
          <w:color w:val="auto"/>
        </w:rPr>
        <w:t>Exhibit G</w:t>
      </w:r>
      <w:r>
        <w:rPr>
          <w:rFonts w:ascii="Arial" w:cs="Arial" w:eastAsia="Arial" w:hAnsi="Arial"/>
          <w:sz w:val="21"/>
          <w:szCs w:val="21"/>
          <w:color w:val="auto"/>
        </w:rPr>
        <w:t xml:space="preserve">, with such modifications thereto as may be reasonably agreed by the Administrative Agent and Borrower in accordance with </w:t>
      </w:r>
      <w:r>
        <w:rPr>
          <w:rFonts w:ascii="Arial" w:cs="Arial" w:eastAsia="Arial" w:hAnsi="Arial"/>
          <w:sz w:val="21"/>
          <w:szCs w:val="21"/>
          <w:u w:val="single" w:color="auto"/>
          <w:color w:val="auto"/>
        </w:rPr>
        <w:t>Section 10.10(b)</w:t>
      </w:r>
      <w:r>
        <w:rPr>
          <w:rFonts w:ascii="Arial" w:cs="Arial" w:eastAsia="Arial" w:hAnsi="Arial"/>
          <w:sz w:val="21"/>
          <w:szCs w:val="21"/>
          <w:color w:val="auto"/>
        </w:rPr>
        <w:t>.</w:t>
      </w:r>
    </w:p>
    <w:p>
      <w:pPr>
        <w:spacing w:after="0" w:line="15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Guarantors</w:t>
      </w:r>
      <w:r>
        <w:rPr>
          <w:rFonts w:ascii="Arial" w:cs="Arial" w:eastAsia="Arial" w:hAnsi="Arial"/>
          <w:sz w:val="21"/>
          <w:szCs w:val="21"/>
          <w:color w:val="auto"/>
        </w:rPr>
        <w:t>” means, collectively, the Subsidiary Guarantors.</w:t>
      </w:r>
    </w:p>
    <w:p>
      <w:pPr>
        <w:spacing w:after="0" w:line="183" w:lineRule="exact"/>
        <w:rPr>
          <w:sz w:val="20"/>
          <w:szCs w:val="20"/>
          <w:color w:val="auto"/>
        </w:rPr>
      </w:pPr>
    </w:p>
    <w:p>
      <w:pPr>
        <w:jc w:val="both"/>
        <w:ind w:firstLine="624"/>
        <w:spacing w:after="0" w:line="22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Hazardous Materials</w:t>
      </w:r>
      <w:r>
        <w:rPr>
          <w:rFonts w:ascii="Arial" w:cs="Arial" w:eastAsia="Arial" w:hAnsi="Arial"/>
          <w:sz w:val="21"/>
          <w:szCs w:val="21"/>
          <w:color w:val="auto"/>
        </w:rPr>
        <w:t>” means all explosive, radioactive, hazardous or toxic substances or wastes and other pollutants, including petroleum or petroleum distillates, asbestos or asbestos-containing materials, polychlorinated biphenyls, radon gas, infectious or medical wastes, in each case, that are regulated, or for which liability may be imposed, pursuant to any Environmental Law.</w:t>
      </w:r>
    </w:p>
    <w:p>
      <w:pPr>
        <w:spacing w:after="0" w:line="15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Honor Date</w:t>
      </w:r>
      <w:r>
        <w:rPr>
          <w:rFonts w:ascii="Arial" w:cs="Arial" w:eastAsia="Arial" w:hAnsi="Arial"/>
          <w:sz w:val="21"/>
          <w:szCs w:val="21"/>
          <w:color w:val="auto"/>
        </w:rPr>
        <w:t xml:space="preserve">” has the meaning specified in </w:t>
      </w:r>
      <w:r>
        <w:rPr>
          <w:rFonts w:ascii="Arial" w:cs="Arial" w:eastAsia="Arial" w:hAnsi="Arial"/>
          <w:sz w:val="21"/>
          <w:szCs w:val="21"/>
          <w:u w:val="single" w:color="auto"/>
          <w:color w:val="auto"/>
        </w:rPr>
        <w:t>Section 2.04(c)(ii)</w:t>
      </w:r>
      <w:r>
        <w:rPr>
          <w:rFonts w:ascii="Arial" w:cs="Arial" w:eastAsia="Arial" w:hAnsi="Arial"/>
          <w:sz w:val="21"/>
          <w:szCs w:val="21"/>
          <w:color w:val="auto"/>
        </w:rPr>
        <w:t>.</w:t>
      </w:r>
    </w:p>
    <w:p>
      <w:pPr>
        <w:spacing w:after="0" w:line="177" w:lineRule="exact"/>
        <w:rPr>
          <w:sz w:val="20"/>
          <w:szCs w:val="20"/>
          <w:color w:val="auto"/>
        </w:rPr>
      </w:pPr>
    </w:p>
    <w:p>
      <w:pPr>
        <w:ind w:left="620"/>
        <w:spacing w:after="0"/>
        <w:rPr>
          <w:sz w:val="20"/>
          <w:szCs w:val="20"/>
          <w:color w:val="auto"/>
        </w:rPr>
      </w:pPr>
      <w:r>
        <w:rPr>
          <w:rFonts w:ascii="Arial" w:cs="Arial" w:eastAsia="Arial" w:hAnsi="Arial"/>
          <w:sz w:val="21"/>
          <w:szCs w:val="21"/>
          <w:b w:val="1"/>
          <w:bCs w:val="1"/>
          <w:color w:val="FF0000"/>
          <w:strike w:val="1"/>
        </w:rPr>
        <w:t>“</w:t>
      </w:r>
      <w:r>
        <w:rPr>
          <w:rFonts w:ascii="Arial" w:cs="Arial" w:eastAsia="Arial" w:hAnsi="Arial"/>
          <w:sz w:val="21"/>
          <w:szCs w:val="21"/>
          <w:b w:val="1"/>
          <w:bCs w:val="1"/>
          <w:u w:val="single" w:color="auto"/>
          <w:color w:val="FF0000"/>
          <w:strike w:val="1"/>
        </w:rPr>
        <w:t>Impacted Interest Period</w:t>
      </w:r>
      <w:r>
        <w:rPr>
          <w:rFonts w:ascii="Arial" w:cs="Arial" w:eastAsia="Arial" w:hAnsi="Arial"/>
          <w:sz w:val="21"/>
          <w:szCs w:val="21"/>
          <w:b w:val="1"/>
          <w:bCs w:val="1"/>
          <w:color w:val="FF0000"/>
          <w:strike w:val="1"/>
        </w:rPr>
        <w:t>” has the meaning assigned to such term in the definition of “LIBO Rate”.</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Incremental Effective Date</w:t>
      </w:r>
      <w:r>
        <w:rPr>
          <w:rFonts w:ascii="Arial" w:cs="Arial" w:eastAsia="Arial" w:hAnsi="Arial"/>
          <w:sz w:val="21"/>
          <w:szCs w:val="21"/>
          <w:color w:val="auto"/>
        </w:rPr>
        <w:t>” has the meaning specified in Section 2.14(d).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ectPr>
          <w:pgSz w:w="11900" w:h="16838" w:orient="portrait"/>
          <w:cols w:equalWidth="0" w:num="1">
            <w:col w:w="11240"/>
          </w:cols>
          <w:pgMar w:left="320" w:top="1152" w:right="339" w:bottom="1440" w:gutter="0" w:footer="0" w:header="0"/>
        </w:sectPr>
      </w:pPr>
    </w:p>
    <w:bookmarkStart w:id="158" w:name="page159"/>
    <w:bookmarkEnd w:id="158"/>
    <w:p>
      <w:pPr>
        <w:jc w:val="both"/>
        <w:ind w:firstLine="624"/>
        <w:spacing w:after="0" w:line="23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Incremental Joinder Agreement</w:t>
      </w:r>
      <w:r>
        <w:rPr>
          <w:rFonts w:ascii="Arial" w:cs="Arial" w:eastAsia="Arial" w:hAnsi="Arial"/>
          <w:sz w:val="21"/>
          <w:szCs w:val="21"/>
          <w:color w:val="auto"/>
        </w:rPr>
        <w:t xml:space="preserve">” means a joinder agreement among the Borrower, the Administrative Agent and one or more Eligible Assignees that, pursuant to such agreement, provides a Commitment as contemplated by </w:t>
      </w:r>
      <w:r>
        <w:rPr>
          <w:rFonts w:ascii="Arial" w:cs="Arial" w:eastAsia="Arial" w:hAnsi="Arial"/>
          <w:sz w:val="21"/>
          <w:szCs w:val="21"/>
          <w:u w:val="single" w:color="auto"/>
          <w:color w:val="auto"/>
        </w:rPr>
        <w:t>Section 2.14(c)</w:t>
      </w:r>
      <w:r>
        <w:rPr>
          <w:rFonts w:ascii="Arial" w:cs="Arial" w:eastAsia="Arial" w:hAnsi="Arial"/>
          <w:sz w:val="21"/>
          <w:szCs w:val="21"/>
          <w:color w:val="auto"/>
        </w:rPr>
        <w:t>, in each case in form and substance reasonably satisfactory to the Administrative Agent.</w:t>
      </w:r>
    </w:p>
    <w:p>
      <w:pPr>
        <w:spacing w:after="0" w:line="15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Incremental Term Loan</w:t>
      </w:r>
      <w:r>
        <w:rPr>
          <w:rFonts w:ascii="Arial" w:cs="Arial" w:eastAsia="Arial" w:hAnsi="Arial"/>
          <w:sz w:val="21"/>
          <w:szCs w:val="21"/>
          <w:color w:val="auto"/>
        </w:rPr>
        <w:t>” has the meaning assigned to such term in Section 2.14.</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Incremental Term Loan Amendment</w:t>
      </w:r>
      <w:r>
        <w:rPr>
          <w:rFonts w:ascii="Arial" w:cs="Arial" w:eastAsia="Arial" w:hAnsi="Arial"/>
          <w:sz w:val="21"/>
          <w:szCs w:val="21"/>
          <w:color w:val="auto"/>
        </w:rPr>
        <w:t>” has the meaning assigned to such term in Section 2.14.</w:t>
      </w:r>
    </w:p>
    <w:p>
      <w:pPr>
        <w:spacing w:after="0" w:line="183" w:lineRule="exact"/>
        <w:rPr>
          <w:sz w:val="20"/>
          <w:szCs w:val="20"/>
          <w:color w:val="auto"/>
        </w:rPr>
      </w:pPr>
    </w:p>
    <w:p>
      <w:pPr>
        <w:jc w:val="both"/>
        <w:ind w:firstLine="624"/>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Indebtedness</w:t>
      </w:r>
      <w:r>
        <w:rPr>
          <w:rFonts w:ascii="Arial" w:cs="Arial" w:eastAsia="Arial" w:hAnsi="Arial"/>
          <w:sz w:val="21"/>
          <w:szCs w:val="21"/>
          <w:color w:val="auto"/>
        </w:rPr>
        <w:t>” means, as to any Person at any time, without duplication, all of the following, whether or not included as indebtedness or liabilities in accordance with GAAP:</w:t>
      </w:r>
    </w:p>
    <w:p>
      <w:pPr>
        <w:spacing w:after="0" w:line="155" w:lineRule="exact"/>
        <w:rPr>
          <w:sz w:val="20"/>
          <w:szCs w:val="20"/>
          <w:color w:val="auto"/>
        </w:rPr>
      </w:pPr>
    </w:p>
    <w:p>
      <w:pPr>
        <w:ind w:right="40" w:firstLine="518"/>
        <w:spacing w:after="0" w:line="239" w:lineRule="auto"/>
        <w:tabs>
          <w:tab w:leader="none" w:pos="1272" w:val="left"/>
        </w:tabs>
        <w:numPr>
          <w:ilvl w:val="0"/>
          <w:numId w:val="105"/>
        </w:numPr>
        <w:rPr>
          <w:rFonts w:ascii="Arial" w:cs="Arial" w:eastAsia="Arial" w:hAnsi="Arial"/>
          <w:sz w:val="21"/>
          <w:szCs w:val="21"/>
          <w:color w:val="auto"/>
        </w:rPr>
      </w:pPr>
      <w:r>
        <w:rPr>
          <w:rFonts w:ascii="Arial" w:cs="Arial" w:eastAsia="Arial" w:hAnsi="Arial"/>
          <w:sz w:val="21"/>
          <w:szCs w:val="21"/>
          <w:color w:val="auto"/>
        </w:rPr>
        <w:t>all obligations of such Person for borrowed money and all obligations of such Person evidenced by bonds, debentures, notes, loan agreements or other similar instruments;</w:t>
      </w:r>
    </w:p>
    <w:p>
      <w:pPr>
        <w:spacing w:after="0" w:line="155" w:lineRule="exact"/>
        <w:rPr>
          <w:rFonts w:ascii="Arial" w:cs="Arial" w:eastAsia="Arial" w:hAnsi="Arial"/>
          <w:sz w:val="21"/>
          <w:szCs w:val="21"/>
          <w:color w:val="auto"/>
        </w:rPr>
      </w:pPr>
    </w:p>
    <w:p>
      <w:pPr>
        <w:ind w:right="40" w:firstLine="459"/>
        <w:spacing w:after="0" w:line="239" w:lineRule="auto"/>
        <w:tabs>
          <w:tab w:leader="none" w:pos="1272" w:val="left"/>
        </w:tabs>
        <w:numPr>
          <w:ilvl w:val="0"/>
          <w:numId w:val="105"/>
        </w:numPr>
        <w:rPr>
          <w:rFonts w:ascii="Arial" w:cs="Arial" w:eastAsia="Arial" w:hAnsi="Arial"/>
          <w:sz w:val="21"/>
          <w:szCs w:val="21"/>
          <w:color w:val="auto"/>
        </w:rPr>
      </w:pPr>
      <w:r>
        <w:rPr>
          <w:rFonts w:ascii="Arial" w:cs="Arial" w:eastAsia="Arial" w:hAnsi="Arial"/>
          <w:sz w:val="21"/>
          <w:szCs w:val="21"/>
          <w:color w:val="auto"/>
        </w:rPr>
        <w:t>all direct or contingent obligations of such Person arising under letters of credit (including standby and commercial), bankers’ acceptances, bank guarantees, surety bonds and similar instruments;</w:t>
      </w:r>
    </w:p>
    <w:p>
      <w:pPr>
        <w:spacing w:after="0" w:line="155" w:lineRule="exact"/>
        <w:rPr>
          <w:rFonts w:ascii="Arial" w:cs="Arial" w:eastAsia="Arial" w:hAnsi="Arial"/>
          <w:sz w:val="21"/>
          <w:szCs w:val="21"/>
          <w:color w:val="auto"/>
        </w:rPr>
      </w:pPr>
    </w:p>
    <w:p>
      <w:pPr>
        <w:ind w:left="1280" w:hanging="880"/>
        <w:spacing w:after="0"/>
        <w:tabs>
          <w:tab w:leader="none" w:pos="1280" w:val="left"/>
        </w:tabs>
        <w:numPr>
          <w:ilvl w:val="0"/>
          <w:numId w:val="105"/>
        </w:numPr>
        <w:rPr>
          <w:rFonts w:ascii="Arial" w:cs="Arial" w:eastAsia="Arial" w:hAnsi="Arial"/>
          <w:sz w:val="21"/>
          <w:szCs w:val="21"/>
          <w:color w:val="auto"/>
        </w:rPr>
      </w:pPr>
      <w:r>
        <w:rPr>
          <w:rFonts w:ascii="Arial" w:cs="Arial" w:eastAsia="Arial" w:hAnsi="Arial"/>
          <w:sz w:val="21"/>
          <w:szCs w:val="21"/>
          <w:color w:val="auto"/>
        </w:rPr>
        <w:t>net obligations of such Person under any Swap Contract;</w:t>
      </w:r>
    </w:p>
    <w:p>
      <w:pPr>
        <w:spacing w:after="0" w:line="182" w:lineRule="exact"/>
        <w:rPr>
          <w:rFonts w:ascii="Arial" w:cs="Arial" w:eastAsia="Arial" w:hAnsi="Arial"/>
          <w:sz w:val="21"/>
          <w:szCs w:val="21"/>
          <w:color w:val="auto"/>
        </w:rPr>
      </w:pPr>
    </w:p>
    <w:p>
      <w:pPr>
        <w:jc w:val="both"/>
        <w:ind w:right="40" w:firstLine="412"/>
        <w:spacing w:after="0" w:line="230" w:lineRule="auto"/>
        <w:tabs>
          <w:tab w:leader="none" w:pos="1272" w:val="left"/>
        </w:tabs>
        <w:numPr>
          <w:ilvl w:val="0"/>
          <w:numId w:val="105"/>
        </w:numPr>
        <w:rPr>
          <w:rFonts w:ascii="Arial" w:cs="Arial" w:eastAsia="Arial" w:hAnsi="Arial"/>
          <w:sz w:val="21"/>
          <w:szCs w:val="21"/>
          <w:color w:val="auto"/>
        </w:rPr>
      </w:pPr>
      <w:r>
        <w:rPr>
          <w:rFonts w:ascii="Arial" w:cs="Arial" w:eastAsia="Arial" w:hAnsi="Arial"/>
          <w:sz w:val="21"/>
          <w:szCs w:val="21"/>
          <w:color w:val="auto"/>
        </w:rPr>
        <w:t>all obligations of such Person to pay the deferred purchase price of property or services (other than trade accounts payable in the ordinary course of business and purchase price adjustments, earnouts and similar contingent payments due with respect to Acquisitions either permitted hereby or completed prior to the Effective Date);</w:t>
      </w:r>
    </w:p>
    <w:p>
      <w:pPr>
        <w:spacing w:after="0" w:line="153" w:lineRule="exact"/>
        <w:rPr>
          <w:rFonts w:ascii="Arial" w:cs="Arial" w:eastAsia="Arial" w:hAnsi="Arial"/>
          <w:sz w:val="21"/>
          <w:szCs w:val="21"/>
          <w:color w:val="auto"/>
        </w:rPr>
      </w:pPr>
    </w:p>
    <w:p>
      <w:pPr>
        <w:jc w:val="both"/>
        <w:ind w:right="40" w:firstLine="471"/>
        <w:spacing w:after="0" w:line="261" w:lineRule="auto"/>
        <w:tabs>
          <w:tab w:leader="none" w:pos="1272" w:val="left"/>
        </w:tabs>
        <w:numPr>
          <w:ilvl w:val="0"/>
          <w:numId w:val="105"/>
        </w:numPr>
        <w:rPr>
          <w:rFonts w:ascii="Arial" w:cs="Arial" w:eastAsia="Arial" w:hAnsi="Arial"/>
          <w:sz w:val="19"/>
          <w:szCs w:val="19"/>
          <w:color w:val="auto"/>
        </w:rPr>
      </w:pPr>
      <w:r>
        <w:rPr>
          <w:rFonts w:ascii="Arial" w:cs="Arial" w:eastAsia="Arial" w:hAnsi="Arial"/>
          <w:sz w:val="19"/>
          <w:szCs w:val="19"/>
          <w:color w:val="auto"/>
        </w:rPr>
        <w:t>all obligations which would constitute Indebtedness of any other Person (excluding prepaid interest thereon) secured by a Lien on property owned or being purchased by such Person (including indebtedness arising under conditional sales or other title retention agreements), whether or not such indebtedness will have been assumed by such Person or is limited in recourse;</w:t>
      </w:r>
    </w:p>
    <w:p>
      <w:pPr>
        <w:spacing w:after="0" w:line="135" w:lineRule="exact"/>
        <w:rPr>
          <w:rFonts w:ascii="Arial" w:cs="Arial" w:eastAsia="Arial" w:hAnsi="Arial"/>
          <w:sz w:val="19"/>
          <w:szCs w:val="19"/>
          <w:color w:val="auto"/>
        </w:rPr>
      </w:pPr>
    </w:p>
    <w:p>
      <w:pPr>
        <w:ind w:left="1280" w:hanging="868"/>
        <w:spacing w:after="0"/>
        <w:tabs>
          <w:tab w:leader="none" w:pos="1280" w:val="left"/>
        </w:tabs>
        <w:numPr>
          <w:ilvl w:val="0"/>
          <w:numId w:val="105"/>
        </w:numPr>
        <w:rPr>
          <w:rFonts w:ascii="Arial" w:cs="Arial" w:eastAsia="Arial" w:hAnsi="Arial"/>
          <w:sz w:val="21"/>
          <w:szCs w:val="21"/>
          <w:color w:val="auto"/>
        </w:rPr>
      </w:pPr>
      <w:r>
        <w:rPr>
          <w:rFonts w:ascii="Arial" w:cs="Arial" w:eastAsia="Arial" w:hAnsi="Arial"/>
          <w:sz w:val="21"/>
          <w:szCs w:val="21"/>
          <w:color w:val="auto"/>
        </w:rPr>
        <w:t>Capital Lease Obligations; and</w:t>
      </w:r>
    </w:p>
    <w:p>
      <w:pPr>
        <w:spacing w:after="0" w:line="182" w:lineRule="exact"/>
        <w:rPr>
          <w:rFonts w:ascii="Arial" w:cs="Arial" w:eastAsia="Arial" w:hAnsi="Arial"/>
          <w:sz w:val="21"/>
          <w:szCs w:val="21"/>
          <w:color w:val="auto"/>
        </w:rPr>
      </w:pPr>
    </w:p>
    <w:p>
      <w:pPr>
        <w:ind w:right="40" w:firstLine="353"/>
        <w:spacing w:after="0" w:line="290" w:lineRule="auto"/>
        <w:tabs>
          <w:tab w:leader="none" w:pos="1272" w:val="left"/>
        </w:tabs>
        <w:numPr>
          <w:ilvl w:val="0"/>
          <w:numId w:val="105"/>
        </w:numPr>
        <w:rPr>
          <w:rFonts w:ascii="Arial" w:cs="Arial" w:eastAsia="Arial" w:hAnsi="Arial"/>
          <w:sz w:val="19"/>
          <w:szCs w:val="19"/>
          <w:color w:val="auto"/>
        </w:rPr>
      </w:pPr>
      <w:r>
        <w:rPr>
          <w:rFonts w:ascii="Arial" w:cs="Arial" w:eastAsia="Arial" w:hAnsi="Arial"/>
          <w:sz w:val="19"/>
          <w:szCs w:val="19"/>
          <w:color w:val="auto"/>
        </w:rPr>
        <w:t xml:space="preserve">all Guarantees of such Person in respect of any of the foregoing of any other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Indebtedness shall not include any performance guarantee or any other Guarantee that is not a Guarantee of other Indebtedness.</w:t>
      </w:r>
    </w:p>
    <w:p>
      <w:pPr>
        <w:spacing w:after="0" w:line="108" w:lineRule="exact"/>
        <w:rPr>
          <w:sz w:val="20"/>
          <w:szCs w:val="20"/>
          <w:color w:val="auto"/>
        </w:rPr>
      </w:pPr>
    </w:p>
    <w:p>
      <w:pPr>
        <w:jc w:val="both"/>
        <w:ind w:firstLine="624"/>
        <w:spacing w:after="0" w:line="247" w:lineRule="auto"/>
        <w:rPr>
          <w:sz w:val="20"/>
          <w:szCs w:val="20"/>
          <w:color w:val="auto"/>
        </w:rPr>
      </w:pPr>
      <w:r>
        <w:rPr>
          <w:rFonts w:ascii="Arial" w:cs="Arial" w:eastAsia="Arial" w:hAnsi="Arial"/>
          <w:sz w:val="19"/>
          <w:szCs w:val="19"/>
          <w:color w:val="auto"/>
        </w:rPr>
        <w:t>For all purposes hereof, the Indebtedness of any Person will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(except for customary exceptions to non-recourse provisions such as fraud, misappropriation of funds and environmental liabilities). The amount of any net obligation under any Swap Contract on any date will be deemed to be the Swap Termination Value thereof as of such date.</w:t>
      </w:r>
    </w:p>
    <w:p>
      <w:pPr>
        <w:spacing w:after="0" w:line="148" w:lineRule="exact"/>
        <w:rPr>
          <w:sz w:val="20"/>
          <w:szCs w:val="20"/>
          <w:color w:val="auto"/>
        </w:rPr>
      </w:pPr>
    </w:p>
    <w:p>
      <w:pPr>
        <w:jc w:val="both"/>
        <w:ind w:firstLine="624"/>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Indemnified Taxes</w:t>
      </w:r>
      <w:r>
        <w:rPr>
          <w:rFonts w:ascii="Arial" w:cs="Arial" w:eastAsia="Arial" w:hAnsi="Arial"/>
          <w:sz w:val="21"/>
          <w:szCs w:val="21"/>
          <w:color w:val="auto"/>
        </w:rPr>
        <w:t>” means (a) Taxes, other than Excluded Taxes, imposed on or with respect to any payment made by or on account of any obligation of any Loan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ectPr>
          <w:pgSz w:w="11900" w:h="16838" w:orient="portrait"/>
          <w:cols w:equalWidth="0" w:num="1">
            <w:col w:w="11240"/>
          </w:cols>
          <w:pgMar w:left="320" w:top="1152" w:right="339" w:bottom="1440" w:gutter="0" w:footer="0" w:header="0"/>
        </w:sectPr>
      </w:pPr>
    </w:p>
    <w:bookmarkStart w:id="159" w:name="page160"/>
    <w:bookmarkEnd w:id="159"/>
    <w:p>
      <w:pPr>
        <w:jc w:val="both"/>
        <w:spacing w:after="0" w:line="239" w:lineRule="auto"/>
        <w:rPr>
          <w:sz w:val="20"/>
          <w:szCs w:val="20"/>
          <w:color w:val="auto"/>
        </w:rPr>
      </w:pPr>
      <w:r>
        <w:rPr>
          <w:rFonts w:ascii="Arial" w:cs="Arial" w:eastAsia="Arial" w:hAnsi="Arial"/>
          <w:sz w:val="21"/>
          <w:szCs w:val="21"/>
          <w:color w:val="auto"/>
        </w:rPr>
        <w:t xml:space="preserve">under any Loan Document and (b) to the extent not otherwise described in </w:t>
      </w:r>
      <w:r>
        <w:rPr>
          <w:rFonts w:ascii="Arial" w:cs="Arial" w:eastAsia="Arial" w:hAnsi="Arial"/>
          <w:sz w:val="21"/>
          <w:szCs w:val="21"/>
          <w:u w:val="single" w:color="auto"/>
          <w:color w:val="auto"/>
        </w:rPr>
        <w:t>clause (a)</w:t>
      </w:r>
      <w:r>
        <w:rPr>
          <w:rFonts w:ascii="Arial" w:cs="Arial" w:eastAsia="Arial" w:hAnsi="Arial"/>
          <w:sz w:val="21"/>
          <w:szCs w:val="21"/>
          <w:color w:val="auto"/>
        </w:rPr>
        <w:t>, Other Taxes (other than any such Taxes that are Excluded Taxes).</w:t>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Indemnitees</w:t>
      </w:r>
      <w:r>
        <w:rPr>
          <w:rFonts w:ascii="Arial" w:cs="Arial" w:eastAsia="Arial" w:hAnsi="Arial"/>
          <w:sz w:val="21"/>
          <w:szCs w:val="21"/>
          <w:color w:val="auto"/>
        </w:rPr>
        <w:t xml:space="preserve">” has the meaning specified in </w:t>
      </w:r>
      <w:r>
        <w:rPr>
          <w:rFonts w:ascii="Arial" w:cs="Arial" w:eastAsia="Arial" w:hAnsi="Arial"/>
          <w:sz w:val="21"/>
          <w:szCs w:val="21"/>
          <w:u w:val="single" w:color="auto"/>
          <w:color w:val="auto"/>
        </w:rPr>
        <w:t>Section 11.04(b)</w:t>
      </w:r>
      <w:r>
        <w:rPr>
          <w:rFonts w:ascii="Arial" w:cs="Arial" w:eastAsia="Arial" w:hAnsi="Arial"/>
          <w:sz w:val="21"/>
          <w:szCs w:val="21"/>
          <w:color w:val="auto"/>
        </w:rPr>
        <w:t>.</w:t>
      </w:r>
    </w:p>
    <w:p>
      <w:pPr>
        <w:spacing w:after="0" w:line="183" w:lineRule="exact"/>
        <w:rPr>
          <w:sz w:val="20"/>
          <w:szCs w:val="20"/>
          <w:color w:val="auto"/>
        </w:rPr>
      </w:pPr>
    </w:p>
    <w:p>
      <w:pPr>
        <w:jc w:val="both"/>
        <w:ind w:firstLine="624"/>
        <w:spacing w:after="0" w:line="22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Ineligible Institution</w:t>
      </w:r>
      <w:r>
        <w:rPr>
          <w:rFonts w:ascii="Arial" w:cs="Arial" w:eastAsia="Arial" w:hAnsi="Arial"/>
          <w:sz w:val="21"/>
          <w:szCs w:val="21"/>
          <w:color w:val="auto"/>
        </w:rPr>
        <w:t xml:space="preserve">” means (a) a natural person, (b) any Defaulting Lender or any of its Subsidiaries, or any Person that, upon becoming a Lender hereunder, would constitute any of the foregoing Persons described in this </w:t>
      </w:r>
      <w:r>
        <w:rPr>
          <w:rFonts w:ascii="Arial" w:cs="Arial" w:eastAsia="Arial" w:hAnsi="Arial"/>
          <w:sz w:val="21"/>
          <w:szCs w:val="21"/>
          <w:u w:val="single" w:color="auto"/>
          <w:color w:val="auto"/>
        </w:rPr>
        <w:t>clause (b)</w:t>
      </w:r>
      <w:r>
        <w:rPr>
          <w:rFonts w:ascii="Arial" w:cs="Arial" w:eastAsia="Arial" w:hAnsi="Arial"/>
          <w:sz w:val="21"/>
          <w:szCs w:val="21"/>
          <w:color w:val="auto"/>
        </w:rPr>
        <w:t>, (c) the Borrower, or any of its Subsidiaries or any of its Affiliates, (d) a company, investment vehicle or trust for, or owned and operated for the primary benefit of, a natural person or relative(s) thereof, or (e) unless the Borrower’s prior consent is obtained and in accordance with Section 11.06(h), a Disqualified Competitor.</w:t>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Information</w:t>
      </w:r>
      <w:r>
        <w:rPr>
          <w:rFonts w:ascii="Arial" w:cs="Arial" w:eastAsia="Arial" w:hAnsi="Arial"/>
          <w:sz w:val="21"/>
          <w:szCs w:val="21"/>
          <w:color w:val="auto"/>
        </w:rPr>
        <w:t xml:space="preserve">” has the meaning specified in </w:t>
      </w:r>
      <w:r>
        <w:rPr>
          <w:rFonts w:ascii="Arial" w:cs="Arial" w:eastAsia="Arial" w:hAnsi="Arial"/>
          <w:sz w:val="21"/>
          <w:szCs w:val="21"/>
          <w:u w:val="single" w:color="auto"/>
          <w:color w:val="auto"/>
        </w:rPr>
        <w:t>Section 11.07</w:t>
      </w:r>
      <w:r>
        <w:rPr>
          <w:rFonts w:ascii="Arial" w:cs="Arial" w:eastAsia="Arial" w:hAnsi="Arial"/>
          <w:sz w:val="21"/>
          <w:szCs w:val="21"/>
          <w:color w:val="auto"/>
        </w:rPr>
        <w:t>.</w:t>
      </w:r>
    </w:p>
    <w:p>
      <w:pPr>
        <w:spacing w:after="0" w:line="177" w:lineRule="exact"/>
        <w:rPr>
          <w:sz w:val="20"/>
          <w:szCs w:val="20"/>
          <w:color w:val="auto"/>
        </w:rPr>
      </w:pPr>
    </w:p>
    <w:p>
      <w:pPr>
        <w:jc w:val="both"/>
        <w:ind w:firstLine="624"/>
        <w:spacing w:after="0" w:line="22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Payment Date</w:t>
      </w:r>
      <w:r>
        <w:rPr>
          <w:rFonts w:ascii="Arial" w:cs="Arial" w:eastAsia="Arial" w:hAnsi="Arial"/>
          <w:sz w:val="20"/>
          <w:szCs w:val="20"/>
          <w:color w:val="auto"/>
        </w:rPr>
        <w:t xml:space="preserve">” means (a) as to any </w:t>
      </w:r>
      <w:r>
        <w:rPr>
          <w:rFonts w:ascii="Arial" w:cs="Arial" w:eastAsia="Arial" w:hAnsi="Arial"/>
          <w:sz w:val="20"/>
          <w:szCs w:val="20"/>
          <w:b w:val="1"/>
          <w:bCs w:val="1"/>
          <w:color w:val="FF0000"/>
          <w:strike w:val="1"/>
        </w:rPr>
        <w:t>Loan other than a Base</w:t>
      </w:r>
      <w:r>
        <w:rPr>
          <w:rFonts w:ascii="Arial" w:cs="Arial" w:eastAsia="Arial" w:hAnsi="Arial"/>
          <w:sz w:val="20"/>
          <w:szCs w:val="20"/>
          <w:b w:val="1"/>
          <w:bCs w:val="1"/>
          <w:u w:val="single" w:color="auto"/>
          <w:color w:val="0000FF"/>
        </w:rPr>
        <w:t>Absolute</w:t>
      </w:r>
      <w:r>
        <w:rPr>
          <w:rFonts w:ascii="Arial" w:cs="Arial" w:eastAsia="Arial" w:hAnsi="Arial"/>
          <w:sz w:val="20"/>
          <w:szCs w:val="20"/>
          <w:color w:val="auto"/>
        </w:rPr>
        <w:t xml:space="preserve"> Rate </w:t>
      </w:r>
      <w:r>
        <w:rPr>
          <w:rFonts w:ascii="Arial" w:cs="Arial" w:eastAsia="Arial" w:hAnsi="Arial"/>
          <w:sz w:val="20"/>
          <w:szCs w:val="20"/>
          <w:b w:val="1"/>
          <w:bCs w:val="1"/>
          <w:u w:val="single" w:color="auto"/>
          <w:color w:val="0000FF"/>
        </w:rPr>
        <w:t>Loan and any Term Benchmark</w:t>
      </w:r>
      <w:r>
        <w:rPr>
          <w:rFonts w:ascii="Arial" w:cs="Arial" w:eastAsia="Arial" w:hAnsi="Arial"/>
          <w:sz w:val="20"/>
          <w:szCs w:val="20"/>
          <w:color w:val="auto"/>
        </w:rPr>
        <w:t xml:space="preserve"> Loan, the last day of each Interest Period applicable to such Loan and the Maturity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(i) if any Interest Period for a </w:t>
      </w:r>
      <w:r>
        <w:rPr>
          <w:rFonts w:ascii="Arial" w:cs="Arial" w:eastAsia="Arial" w:hAnsi="Arial"/>
          <w:sz w:val="20"/>
          <w:szCs w:val="20"/>
          <w:b w:val="1"/>
          <w:bCs w:val="1"/>
          <w:color w:val="FF0000"/>
          <w:strike w:val="1"/>
        </w:rPr>
        <w:t>Eurocurrency Rate</w:t>
      </w:r>
      <w:r>
        <w:rPr>
          <w:rFonts w:ascii="Arial" w:cs="Arial" w:eastAsia="Arial" w:hAnsi="Arial"/>
          <w:sz w:val="20"/>
          <w:szCs w:val="20"/>
          <w:b w:val="1"/>
          <w:bCs w:val="1"/>
          <w:u w:val="single" w:color="auto"/>
          <w:color w:val="0000FF"/>
        </w:rPr>
        <w:t>Term Benchmark</w:t>
      </w:r>
      <w:r>
        <w:rPr>
          <w:rFonts w:ascii="Arial" w:cs="Arial" w:eastAsia="Arial" w:hAnsi="Arial"/>
          <w:sz w:val="20"/>
          <w:szCs w:val="20"/>
          <w:color w:val="auto"/>
        </w:rPr>
        <w:t xml:space="preserve"> Loan exceeds three (3) months, the respective dates that fall every three (3) months after the beginning of such Interest Period will also be Interest Payment Dates therefor and (ii) if any Interest Period for an Absolute Rate Loan exceeds ninety (90) days, then, unless otherwise specified in the applicable Bid Request, each day prior to the last day of such Interest Period that occurs at intervals of ninety (90) days will also be an Interest Payment Date therefor, </w:t>
      </w:r>
      <w:r>
        <w:rPr>
          <w:rFonts w:ascii="Arial" w:cs="Arial" w:eastAsia="Arial" w:hAnsi="Arial"/>
          <w:sz w:val="20"/>
          <w:szCs w:val="20"/>
          <w:b w:val="1"/>
          <w:bCs w:val="1"/>
          <w:color w:val="FF0000"/>
          <w:strike w:val="1"/>
        </w:rPr>
        <w:t>and</w:t>
      </w:r>
      <w:r>
        <w:rPr>
          <w:rFonts w:ascii="Arial" w:cs="Arial" w:eastAsia="Arial" w:hAnsi="Arial"/>
          <w:sz w:val="20"/>
          <w:szCs w:val="20"/>
          <w:color w:val="auto"/>
        </w:rPr>
        <w:t xml:space="preserve"> (b</w:t>
      </w:r>
      <w:r>
        <w:rPr>
          <w:rFonts w:ascii="Arial" w:cs="Arial" w:eastAsia="Arial" w:hAnsi="Arial"/>
          <w:sz w:val="20"/>
          <w:szCs w:val="20"/>
          <w:b w:val="1"/>
          <w:bCs w:val="1"/>
          <w:u w:val="single" w:color="auto"/>
          <w:color w:val="0000FF"/>
        </w:rPr>
        <w:t>)</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0000FF"/>
        </w:rPr>
        <w:t>with respect to any RFR Loan, each date that is on the numerically corresponding day in each calendar month that is one month after the Borrowing of such RFR Loan (or, if there is no such numerically corresponding day in such month, then the last day of such month) and the Maturity Date and (c</w:t>
      </w:r>
      <w:r>
        <w:rPr>
          <w:rFonts w:ascii="Arial" w:cs="Arial" w:eastAsia="Arial" w:hAnsi="Arial"/>
          <w:sz w:val="20"/>
          <w:szCs w:val="20"/>
          <w:color w:val="000000"/>
        </w:rPr>
        <w:t>) as to any Base Rate Loan, the first Business Day following the last day of</w:t>
      </w:r>
      <w:r>
        <w:rPr>
          <w:rFonts w:ascii="Arial" w:cs="Arial" w:eastAsia="Arial" w:hAnsi="Arial"/>
          <w:sz w:val="20"/>
          <w:szCs w:val="20"/>
          <w:b w:val="1"/>
          <w:bCs w:val="1"/>
          <w:color w:val="0000FF"/>
        </w:rPr>
        <w:t xml:space="preserve"> </w:t>
      </w:r>
      <w:r>
        <w:rPr>
          <w:rFonts w:ascii="Arial" w:cs="Arial" w:eastAsia="Arial" w:hAnsi="Arial"/>
          <w:sz w:val="20"/>
          <w:szCs w:val="20"/>
          <w:color w:val="000000"/>
        </w:rPr>
        <w:t>each March, June, September and December and the Maturity Date.</w:t>
      </w:r>
    </w:p>
    <w:p>
      <w:pPr>
        <w:spacing w:after="0" w:line="147" w:lineRule="exact"/>
        <w:rPr>
          <w:sz w:val="20"/>
          <w:szCs w:val="20"/>
          <w:color w:val="auto"/>
        </w:rPr>
      </w:pPr>
    </w:p>
    <w:p>
      <w:pPr>
        <w:jc w:val="both"/>
        <w:ind w:firstLine="624"/>
        <w:spacing w:after="0" w:line="21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Interest Period</w:t>
      </w:r>
      <w:r>
        <w:rPr>
          <w:rFonts w:ascii="Arial" w:cs="Arial" w:eastAsia="Arial" w:hAnsi="Arial"/>
          <w:sz w:val="21"/>
          <w:szCs w:val="21"/>
          <w:color w:val="auto"/>
        </w:rPr>
        <w:t xml:space="preserve">” means (a) as to each </w:t>
      </w:r>
      <w:r>
        <w:rPr>
          <w:rFonts w:ascii="Arial" w:cs="Arial" w:eastAsia="Arial" w:hAnsi="Arial"/>
          <w:sz w:val="21"/>
          <w:szCs w:val="21"/>
          <w:b w:val="1"/>
          <w:bCs w:val="1"/>
          <w:color w:val="FF0000"/>
          <w:strike w:val="1"/>
        </w:rPr>
        <w:t>Eurocurrency Rate</w:t>
      </w:r>
      <w:r>
        <w:rPr>
          <w:rFonts w:ascii="Arial" w:cs="Arial" w:eastAsia="Arial" w:hAnsi="Arial"/>
          <w:sz w:val="21"/>
          <w:szCs w:val="21"/>
          <w:b w:val="1"/>
          <w:bCs w:val="1"/>
          <w:u w:val="single" w:color="auto"/>
          <w:color w:val="0000FF"/>
        </w:rPr>
        <w:t>Term Benchmark</w:t>
      </w:r>
      <w:r>
        <w:rPr>
          <w:rFonts w:ascii="Arial" w:cs="Arial" w:eastAsia="Arial" w:hAnsi="Arial"/>
          <w:sz w:val="21"/>
          <w:szCs w:val="21"/>
          <w:color w:val="auto"/>
        </w:rPr>
        <w:t xml:space="preserve"> Loan, the period commencing on the date such </w:t>
      </w:r>
      <w:r>
        <w:rPr>
          <w:rFonts w:ascii="Arial" w:cs="Arial" w:eastAsia="Arial" w:hAnsi="Arial"/>
          <w:sz w:val="21"/>
          <w:szCs w:val="21"/>
          <w:b w:val="1"/>
          <w:bCs w:val="1"/>
          <w:color w:val="FF0000"/>
          <w:strike w:val="1"/>
        </w:rPr>
        <w:t>Eurocurrency Rate</w:t>
      </w:r>
      <w:r>
        <w:rPr>
          <w:rFonts w:ascii="Arial" w:cs="Arial" w:eastAsia="Arial" w:hAnsi="Arial"/>
          <w:sz w:val="21"/>
          <w:szCs w:val="21"/>
          <w:b w:val="1"/>
          <w:bCs w:val="1"/>
          <w:u w:val="single" w:color="auto"/>
          <w:color w:val="0000FF"/>
        </w:rPr>
        <w:t>Term Benchmark</w:t>
      </w:r>
      <w:r>
        <w:rPr>
          <w:rFonts w:ascii="Arial" w:cs="Arial" w:eastAsia="Arial" w:hAnsi="Arial"/>
          <w:sz w:val="21"/>
          <w:szCs w:val="21"/>
          <w:color w:val="auto"/>
        </w:rPr>
        <w:t xml:space="preserve"> Loan is disbursed or converted to or continued as a </w:t>
      </w:r>
      <w:r>
        <w:rPr>
          <w:rFonts w:ascii="Arial" w:cs="Arial" w:eastAsia="Arial" w:hAnsi="Arial"/>
          <w:sz w:val="21"/>
          <w:szCs w:val="21"/>
          <w:b w:val="1"/>
          <w:bCs w:val="1"/>
          <w:color w:val="FF0000"/>
          <w:strike w:val="1"/>
        </w:rPr>
        <w:t>Eurocurrency Rate</w:t>
      </w:r>
      <w:r>
        <w:rPr>
          <w:rFonts w:ascii="Arial" w:cs="Arial" w:eastAsia="Arial" w:hAnsi="Arial"/>
          <w:sz w:val="21"/>
          <w:szCs w:val="21"/>
          <w:b w:val="1"/>
          <w:bCs w:val="1"/>
          <w:u w:val="single" w:color="auto"/>
          <w:color w:val="0000FF"/>
        </w:rPr>
        <w:t>Term</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0000FF"/>
        </w:rPr>
        <w:t>Benchmark</w:t>
      </w:r>
      <w:r>
        <w:rPr>
          <w:rFonts w:ascii="Arial" w:cs="Arial" w:eastAsia="Arial" w:hAnsi="Arial"/>
          <w:sz w:val="21"/>
          <w:szCs w:val="21"/>
          <w:b w:val="1"/>
          <w:bCs w:val="1"/>
          <w:color w:val="0000FF"/>
        </w:rPr>
        <w:t xml:space="preserve"> </w:t>
      </w:r>
      <w:r>
        <w:rPr>
          <w:rFonts w:ascii="Arial" w:cs="Arial" w:eastAsia="Arial" w:hAnsi="Arial"/>
          <w:sz w:val="21"/>
          <w:szCs w:val="21"/>
          <w:color w:val="000000"/>
        </w:rPr>
        <w:t>Loan and ending on the numerically corresponding day that is one, three or six months thereafter (</w:t>
      </w:r>
      <w:r>
        <w:rPr>
          <w:rFonts w:ascii="Arial" w:cs="Arial" w:eastAsia="Arial" w:hAnsi="Arial"/>
          <w:sz w:val="21"/>
          <w:szCs w:val="21"/>
          <w:b w:val="1"/>
          <w:bCs w:val="1"/>
          <w:color w:val="FF0000"/>
          <w:strike w:val="1"/>
        </w:rPr>
        <w:t>or, if agreed to by</w:t>
      </w:r>
      <w:r>
        <w:rPr>
          <w:rFonts w:ascii="Arial" w:cs="Arial" w:eastAsia="Arial" w:hAnsi="Arial"/>
          <w:sz w:val="21"/>
          <w:szCs w:val="21"/>
          <w:b w:val="1"/>
          <w:bCs w:val="1"/>
          <w:color w:val="0000FF"/>
        </w:rPr>
        <w:t xml:space="preserve"> </w:t>
      </w:r>
      <w:r>
        <w:rPr>
          <w:rFonts w:ascii="Arial" w:cs="Arial" w:eastAsia="Arial" w:hAnsi="Arial"/>
          <w:sz w:val="21"/>
          <w:szCs w:val="21"/>
          <w:b w:val="1"/>
          <w:bCs w:val="1"/>
          <w:color w:val="FF0000"/>
          <w:strike w:val="1"/>
        </w:rPr>
        <w:t>all Lenders, a period of shorter than one month</w:t>
      </w:r>
      <w:r>
        <w:rPr>
          <w:rFonts w:ascii="Arial" w:cs="Arial" w:eastAsia="Arial" w:hAnsi="Arial"/>
          <w:sz w:val="21"/>
          <w:szCs w:val="21"/>
          <w:b w:val="1"/>
          <w:bCs w:val="1"/>
          <w:u w:val="single" w:color="auto"/>
          <w:color w:val="0000FF"/>
          <w:strike w:val="1"/>
        </w:rPr>
        <w:t>in each case, subject to the availability for the Benchmark applicable to the</w:t>
      </w:r>
      <w:r>
        <w:rPr>
          <w:rFonts w:ascii="Arial" w:cs="Arial" w:eastAsia="Arial" w:hAnsi="Arial"/>
          <w:sz w:val="21"/>
          <w:szCs w:val="21"/>
          <w:b w:val="1"/>
          <w:bCs w:val="1"/>
          <w:color w:val="FF0000"/>
          <w:strike w:val="1"/>
        </w:rPr>
        <w:t xml:space="preserve"> </w:t>
      </w:r>
      <w:r>
        <w:rPr>
          <w:rFonts w:ascii="Arial" w:cs="Arial" w:eastAsia="Arial" w:hAnsi="Arial"/>
          <w:sz w:val="21"/>
          <w:szCs w:val="21"/>
          <w:b w:val="1"/>
          <w:bCs w:val="1"/>
          <w:u w:val="single" w:color="auto"/>
          <w:color w:val="0000FF"/>
          <w:strike w:val="1"/>
        </w:rPr>
        <w:t>relevant Loan or Commitment</w:t>
      </w:r>
      <w:r>
        <w:rPr>
          <w:rFonts w:ascii="Arial" w:cs="Arial" w:eastAsia="Arial" w:hAnsi="Arial"/>
          <w:sz w:val="21"/>
          <w:szCs w:val="21"/>
          <w:color w:val="000000"/>
          <w:strike w:val="1"/>
        </w:rPr>
        <w:t>), as selected by the Borrower in the applicable Committed Loan Notice or Bid Request, as the case</w:t>
      </w:r>
      <w:r>
        <w:rPr>
          <w:rFonts w:ascii="Arial" w:cs="Arial" w:eastAsia="Arial" w:hAnsi="Arial"/>
          <w:sz w:val="21"/>
          <w:szCs w:val="21"/>
          <w:b w:val="1"/>
          <w:bCs w:val="1"/>
          <w:color w:val="0000FF"/>
          <w:strike w:val="1"/>
        </w:rPr>
        <w:t xml:space="preserve"> </w:t>
      </w:r>
      <w:r>
        <w:rPr>
          <w:rFonts w:ascii="Arial" w:cs="Arial" w:eastAsia="Arial" w:hAnsi="Arial"/>
          <w:sz w:val="21"/>
          <w:szCs w:val="21"/>
          <w:color w:val="000000"/>
          <w:strike w:val="1"/>
        </w:rPr>
        <w:t xml:space="preserve">may be, and (b) as to each Absolute Rate Loan, a period of not less than 14 days and not more than 180 days, as selected by the Borrower in the applicable Bid Request; </w:t>
      </w:r>
      <w:r>
        <w:rPr>
          <w:rFonts w:ascii="Arial" w:cs="Arial" w:eastAsia="Arial" w:hAnsi="Arial"/>
          <w:sz w:val="21"/>
          <w:szCs w:val="21"/>
          <w:u w:val="single" w:color="auto"/>
          <w:color w:val="000000"/>
          <w:strike w:val="1"/>
        </w:rPr>
        <w:t>provided</w:t>
      </w:r>
      <w:r>
        <w:rPr>
          <w:rFonts w:ascii="Arial" w:cs="Arial" w:eastAsia="Arial" w:hAnsi="Arial"/>
          <w:sz w:val="21"/>
          <w:szCs w:val="21"/>
          <w:color w:val="000000"/>
          <w:strike w:val="1"/>
        </w:rPr>
        <w:t xml:space="preserve"> that:</w:t>
      </w:r>
    </w:p>
    <w:p>
      <w:pPr>
        <w:spacing w:after="0" w:line="160" w:lineRule="exact"/>
        <w:rPr>
          <w:sz w:val="20"/>
          <w:szCs w:val="20"/>
          <w:color w:val="auto"/>
        </w:rPr>
      </w:pPr>
    </w:p>
    <w:p>
      <w:pPr>
        <w:jc w:val="both"/>
        <w:ind w:left="640" w:right="40" w:firstLine="638"/>
        <w:spacing w:after="0" w:line="261" w:lineRule="auto"/>
        <w:tabs>
          <w:tab w:leader="none" w:pos="1912" w:val="left"/>
        </w:tabs>
        <w:numPr>
          <w:ilvl w:val="0"/>
          <w:numId w:val="106"/>
        </w:numPr>
        <w:rPr>
          <w:rFonts w:ascii="Arial" w:cs="Arial" w:eastAsia="Arial" w:hAnsi="Arial"/>
          <w:sz w:val="19"/>
          <w:szCs w:val="19"/>
          <w:color w:val="auto"/>
        </w:rPr>
      </w:pPr>
      <w:r>
        <w:rPr>
          <w:rFonts w:ascii="Arial" w:cs="Arial" w:eastAsia="Arial" w:hAnsi="Arial"/>
          <w:sz w:val="19"/>
          <w:szCs w:val="19"/>
          <w:color w:val="auto"/>
        </w:rPr>
        <w:t xml:space="preserve">any Interest Period that would otherwise end on a day that is not a Business Day shall be extended to the next succeeding Business Day, unless, in the case of a </w:t>
      </w:r>
      <w:r>
        <w:rPr>
          <w:rFonts w:ascii="Arial" w:cs="Arial" w:eastAsia="Arial" w:hAnsi="Arial"/>
          <w:sz w:val="19"/>
          <w:szCs w:val="19"/>
          <w:b w:val="1"/>
          <w:bCs w:val="1"/>
          <w:color w:val="FF0000"/>
          <w:strike w:val="1"/>
        </w:rPr>
        <w:t>Eurocurrency Rate</w:t>
      </w:r>
      <w:r>
        <w:rPr>
          <w:rFonts w:ascii="Arial" w:cs="Arial" w:eastAsia="Arial" w:hAnsi="Arial"/>
          <w:sz w:val="19"/>
          <w:szCs w:val="19"/>
          <w:b w:val="1"/>
          <w:bCs w:val="1"/>
          <w:u w:val="single" w:color="auto"/>
          <w:color w:val="0000FF"/>
        </w:rPr>
        <w:t>Term Benchmark</w:t>
      </w:r>
      <w:r>
        <w:rPr>
          <w:rFonts w:ascii="Arial" w:cs="Arial" w:eastAsia="Arial" w:hAnsi="Arial"/>
          <w:sz w:val="19"/>
          <w:szCs w:val="19"/>
          <w:color w:val="auto"/>
        </w:rPr>
        <w:t xml:space="preserve"> Loan, such Business Day falls in another calendar month, in which case such Interest Period shall end on the immediately preceding Business Day;</w:t>
      </w:r>
    </w:p>
    <w:p>
      <w:pPr>
        <w:spacing w:after="0" w:line="129" w:lineRule="exact"/>
        <w:rPr>
          <w:rFonts w:ascii="Arial" w:cs="Arial" w:eastAsia="Arial" w:hAnsi="Arial"/>
          <w:sz w:val="19"/>
          <w:szCs w:val="19"/>
          <w:color w:val="auto"/>
        </w:rPr>
      </w:pPr>
    </w:p>
    <w:p>
      <w:pPr>
        <w:jc w:val="both"/>
        <w:ind w:left="640" w:right="40" w:firstLine="638"/>
        <w:spacing w:after="0" w:line="226" w:lineRule="auto"/>
        <w:tabs>
          <w:tab w:leader="none" w:pos="1912" w:val="left"/>
        </w:tabs>
        <w:numPr>
          <w:ilvl w:val="0"/>
          <w:numId w:val="106"/>
        </w:numPr>
        <w:rPr>
          <w:rFonts w:ascii="Arial" w:cs="Arial" w:eastAsia="Arial" w:hAnsi="Arial"/>
          <w:sz w:val="21"/>
          <w:szCs w:val="21"/>
          <w:color w:val="auto"/>
        </w:rPr>
      </w:pPr>
      <w:r>
        <w:rPr>
          <w:rFonts w:ascii="Arial" w:cs="Arial" w:eastAsia="Arial" w:hAnsi="Arial"/>
          <w:sz w:val="21"/>
          <w:szCs w:val="21"/>
          <w:color w:val="auto"/>
        </w:rPr>
        <w:t xml:space="preserve">any Interest Period pertaining to a </w:t>
      </w:r>
      <w:r>
        <w:rPr>
          <w:rFonts w:ascii="Arial" w:cs="Arial" w:eastAsia="Arial" w:hAnsi="Arial"/>
          <w:sz w:val="21"/>
          <w:szCs w:val="21"/>
          <w:b w:val="1"/>
          <w:bCs w:val="1"/>
          <w:color w:val="FF0000"/>
          <w:strike w:val="1"/>
        </w:rPr>
        <w:t>Eurocurrency Rate</w:t>
      </w:r>
      <w:r>
        <w:rPr>
          <w:rFonts w:ascii="Arial" w:cs="Arial" w:eastAsia="Arial" w:hAnsi="Arial"/>
          <w:sz w:val="21"/>
          <w:szCs w:val="21"/>
          <w:b w:val="1"/>
          <w:bCs w:val="1"/>
          <w:u w:val="single" w:color="auto"/>
          <w:color w:val="0000FF"/>
        </w:rPr>
        <w:t>Term Benchmark</w:t>
      </w:r>
      <w:r>
        <w:rPr>
          <w:rFonts w:ascii="Arial" w:cs="Arial" w:eastAsia="Arial" w:hAnsi="Arial"/>
          <w:sz w:val="21"/>
          <w:szCs w:val="21"/>
          <w:color w:val="auto"/>
        </w:rPr>
        <w:t xml:space="preserve"> Loan that begins on the last Business Day of a calendar month (or on a day for which there is no numerically corresponding day in the calendar month at the end of such Interest Period) shall end on the last Business Day of the calendar month at the end of such Interest Period; </w:t>
      </w:r>
      <w:r>
        <w:rPr>
          <w:rFonts w:ascii="Arial" w:cs="Arial" w:eastAsia="Arial" w:hAnsi="Arial"/>
          <w:sz w:val="21"/>
          <w:szCs w:val="21"/>
          <w:b w:val="1"/>
          <w:bCs w:val="1"/>
          <w:color w:val="FF0000"/>
          <w:strike w:val="1"/>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ectPr>
          <w:pgSz w:w="11900" w:h="16838" w:orient="portrait"/>
          <w:cols w:equalWidth="0" w:num="1">
            <w:col w:w="11240"/>
          </w:cols>
          <w:pgMar w:left="320" w:top="1152" w:right="339" w:bottom="1440" w:gutter="0" w:footer="0" w:header="0"/>
        </w:sectPr>
      </w:pPr>
    </w:p>
    <w:bookmarkStart w:id="160" w:name="page161"/>
    <w:bookmarkEnd w:id="160"/>
    <w:p>
      <w:pPr>
        <w:ind w:left="1920" w:hanging="642"/>
        <w:spacing w:after="0"/>
        <w:tabs>
          <w:tab w:leader="none" w:pos="1920" w:val="left"/>
        </w:tabs>
        <w:numPr>
          <w:ilvl w:val="0"/>
          <w:numId w:val="107"/>
        </w:numPr>
        <w:rPr>
          <w:rFonts w:ascii="Arial" w:cs="Arial" w:eastAsia="Arial" w:hAnsi="Arial"/>
          <w:sz w:val="21"/>
          <w:szCs w:val="21"/>
          <w:color w:val="auto"/>
        </w:rPr>
      </w:pPr>
      <w:r>
        <w:rPr>
          <w:rFonts w:ascii="Arial" w:cs="Arial" w:eastAsia="Arial" w:hAnsi="Arial"/>
          <w:sz w:val="21"/>
          <w:szCs w:val="21"/>
          <w:color w:val="auto"/>
        </w:rPr>
        <w:t>no Interest Period will extend beyond the Maturity Date</w:t>
      </w:r>
      <w:r>
        <w:rPr>
          <w:rFonts w:ascii="Arial" w:cs="Arial" w:eastAsia="Arial" w:hAnsi="Arial"/>
          <w:sz w:val="21"/>
          <w:szCs w:val="21"/>
          <w:b w:val="1"/>
          <w:bCs w:val="1"/>
          <w:color w:val="FF0000"/>
          <w:strike w:val="1"/>
        </w:rPr>
        <w:t>.</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0000FF"/>
        </w:rPr>
        <w:t>; and</w:t>
      </w:r>
    </w:p>
    <w:p>
      <w:pPr>
        <w:spacing w:after="0" w:line="183" w:lineRule="exact"/>
        <w:rPr>
          <w:sz w:val="20"/>
          <w:szCs w:val="20"/>
          <w:color w:val="auto"/>
        </w:rPr>
      </w:pPr>
    </w:p>
    <w:p>
      <w:pPr>
        <w:jc w:val="both"/>
        <w:ind w:firstLine="624"/>
        <w:spacing w:after="0" w:line="229" w:lineRule="auto"/>
        <w:rPr>
          <w:sz w:val="20"/>
          <w:szCs w:val="20"/>
          <w:color w:val="auto"/>
        </w:rPr>
      </w:pPr>
      <w:r>
        <w:rPr>
          <w:rFonts w:ascii="Arial" w:cs="Arial" w:eastAsia="Arial" w:hAnsi="Arial"/>
          <w:sz w:val="20"/>
          <w:szCs w:val="20"/>
          <w:b w:val="1"/>
          <w:bCs w:val="1"/>
          <w:color w:val="FF0000"/>
          <w:strike w:val="1"/>
        </w:rPr>
        <w:t>“</w:t>
      </w:r>
      <w:r>
        <w:rPr>
          <w:rFonts w:ascii="Arial" w:cs="Arial" w:eastAsia="Arial" w:hAnsi="Arial"/>
          <w:sz w:val="20"/>
          <w:szCs w:val="20"/>
          <w:b w:val="1"/>
          <w:bCs w:val="1"/>
          <w:u w:val="single" w:color="auto"/>
          <w:color w:val="FF0000"/>
          <w:strike w:val="1"/>
        </w:rPr>
        <w:t>Interpolated Rate</w:t>
      </w:r>
      <w:r>
        <w:rPr>
          <w:rFonts w:ascii="Arial" w:cs="Arial" w:eastAsia="Arial" w:hAnsi="Arial"/>
          <w:sz w:val="20"/>
          <w:szCs w:val="20"/>
          <w:b w:val="1"/>
          <w:bCs w:val="1"/>
          <w:color w:val="FF0000"/>
          <w:strike w:val="1"/>
        </w:rPr>
        <w:t xml:space="preserve">” means, at any time, for any Eurocurrency Rate Borrowing denominated in Dollars, for any Interest Period, the rate </w:t>
      </w:r>
      <w:r>
        <w:rPr>
          <w:rFonts w:ascii="Arial" w:cs="Arial" w:eastAsia="Arial" w:hAnsi="Arial"/>
          <w:sz w:val="20"/>
          <w:szCs w:val="20"/>
          <w:b w:val="1"/>
          <w:bCs w:val="1"/>
          <w:i w:val="1"/>
          <w:iCs w:val="1"/>
          <w:color w:val="FF0000"/>
          <w:strike w:val="1"/>
        </w:rPr>
        <w:t>per annum</w:t>
      </w:r>
      <w:r>
        <w:rPr>
          <w:rFonts w:ascii="Arial" w:cs="Arial" w:eastAsia="Arial" w:hAnsi="Arial"/>
          <w:sz w:val="20"/>
          <w:szCs w:val="20"/>
          <w:b w:val="1"/>
          <w:bCs w:val="1"/>
          <w:color w:val="FF0000"/>
          <w:strike w:val="1"/>
        </w:rPr>
        <w:t xml:space="preserve"> (rounded to the same number of decimal places as the Adjusted LIBO Rate) determined by the Administrative Agent (which determination shall be conclusive and binding absent manifest error) to be equal to the rate that results from interpolating on a linear basis between: (a) the LIBO Screen Rate for the longest period (for which the LIBO Screen Rate is available) that is shorter than the Impacted Interest Period; and (b) the LIBO Screen Rate for the shortest period (for which the LIBO Screen Rate is available) that exceeds the Impacted Interest Period, in each case, at such time; </w:t>
      </w:r>
      <w:r>
        <w:rPr>
          <w:rFonts w:ascii="Arial" w:cs="Arial" w:eastAsia="Arial" w:hAnsi="Arial"/>
          <w:sz w:val="20"/>
          <w:szCs w:val="20"/>
          <w:b w:val="1"/>
          <w:bCs w:val="1"/>
          <w:u w:val="single" w:color="auto"/>
          <w:color w:val="FF0000"/>
          <w:strike w:val="1"/>
        </w:rPr>
        <w:t>provided</w:t>
      </w:r>
      <w:r>
        <w:rPr>
          <w:rFonts w:ascii="Arial" w:cs="Arial" w:eastAsia="Arial" w:hAnsi="Arial"/>
          <w:sz w:val="20"/>
          <w:szCs w:val="20"/>
          <w:b w:val="1"/>
          <w:bCs w:val="1"/>
          <w:color w:val="FF0000"/>
          <w:strike w:val="1"/>
        </w:rPr>
        <w:t xml:space="preserve"> that if any Interpolated Rate shall be less than zero, such rate shall be deemed to be zero for the purposes of this Agreement.</w:t>
      </w:r>
    </w:p>
    <w:p>
      <w:pPr>
        <w:spacing w:after="0" w:line="153" w:lineRule="exact"/>
        <w:rPr>
          <w:sz w:val="20"/>
          <w:szCs w:val="20"/>
          <w:color w:val="auto"/>
        </w:rPr>
      </w:pPr>
    </w:p>
    <w:p>
      <w:pPr>
        <w:ind w:left="640" w:right="40" w:firstLine="638"/>
        <w:spacing w:after="0" w:line="245" w:lineRule="auto"/>
        <w:tabs>
          <w:tab w:leader="none" w:pos="1912" w:val="left"/>
        </w:tabs>
        <w:numPr>
          <w:ilvl w:val="0"/>
          <w:numId w:val="108"/>
        </w:numPr>
        <w:rPr>
          <w:rFonts w:ascii="Arial" w:cs="Arial" w:eastAsia="Arial" w:hAnsi="Arial"/>
          <w:sz w:val="21"/>
          <w:szCs w:val="21"/>
          <w:b w:val="1"/>
          <w:bCs w:val="1"/>
          <w:u w:val="single" w:color="auto"/>
          <w:color w:val="0000FF"/>
        </w:rPr>
      </w:pPr>
      <w:r>
        <w:rPr>
          <w:rFonts w:ascii="Arial" w:cs="Arial" w:eastAsia="Arial" w:hAnsi="Arial"/>
          <w:sz w:val="21"/>
          <w:szCs w:val="21"/>
          <w:b w:val="1"/>
          <w:bCs w:val="1"/>
          <w:u w:val="single" w:color="auto"/>
          <w:color w:val="0000FF"/>
        </w:rPr>
        <w:t>no tenor that has been removed from this definition pursuant to Section 2.17(e) shall be available for specification in such committed Loan Notice or Bid Request.</w:t>
      </w:r>
    </w:p>
    <w:p>
      <w:pPr>
        <w:spacing w:after="0" w:line="149" w:lineRule="exact"/>
        <w:rPr>
          <w:sz w:val="20"/>
          <w:szCs w:val="20"/>
          <w:color w:val="auto"/>
        </w:rPr>
      </w:pPr>
    </w:p>
    <w:p>
      <w:pPr>
        <w:jc w:val="both"/>
        <w:ind w:firstLine="624"/>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IP Rights</w:t>
      </w:r>
      <w:r>
        <w:rPr>
          <w:rFonts w:ascii="Arial" w:cs="Arial" w:eastAsia="Arial" w:hAnsi="Arial"/>
          <w:sz w:val="21"/>
          <w:szCs w:val="21"/>
          <w:color w:val="auto"/>
        </w:rPr>
        <w:t>” means trademarks, service marks, trade names, copyrights, patents, patent rights, franchises, licenses and other intellectual property rights.</w:t>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IRS</w:t>
      </w:r>
      <w:r>
        <w:rPr>
          <w:rFonts w:ascii="Arial" w:cs="Arial" w:eastAsia="Arial" w:hAnsi="Arial"/>
          <w:sz w:val="21"/>
          <w:szCs w:val="21"/>
          <w:color w:val="auto"/>
        </w:rPr>
        <w:t>” means the United States Internal Revenue Service.</w:t>
      </w:r>
    </w:p>
    <w:p>
      <w:pPr>
        <w:spacing w:after="0" w:line="183" w:lineRule="exact"/>
        <w:rPr>
          <w:sz w:val="20"/>
          <w:szCs w:val="20"/>
          <w:color w:val="auto"/>
        </w:rPr>
      </w:pPr>
    </w:p>
    <w:p>
      <w:pPr>
        <w:jc w:val="both"/>
        <w:ind w:firstLine="624"/>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ISP</w:t>
      </w:r>
      <w:r>
        <w:rPr>
          <w:rFonts w:ascii="Arial" w:cs="Arial" w:eastAsia="Arial" w:hAnsi="Arial"/>
          <w:sz w:val="19"/>
          <w:szCs w:val="19"/>
          <w:color w:val="auto"/>
        </w:rPr>
        <w:t xml:space="preserve"> ” means, with respect to any Letter of Credit, the “International Standby Practices 1998” published in the International Chamber of Commerce Publication No. 590 (or such later version thereof as may be in effect at the time of issuance).</w:t>
      </w:r>
    </w:p>
    <w:p>
      <w:pPr>
        <w:spacing w:after="0" w:line="108" w:lineRule="exact"/>
        <w:rPr>
          <w:sz w:val="20"/>
          <w:szCs w:val="20"/>
          <w:color w:val="auto"/>
        </w:rPr>
      </w:pPr>
    </w:p>
    <w:p>
      <w:pPr>
        <w:jc w:val="both"/>
        <w:ind w:firstLine="624"/>
        <w:spacing w:after="0" w:line="22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Issuer Documents</w:t>
      </w:r>
      <w:r>
        <w:rPr>
          <w:rFonts w:ascii="Arial" w:cs="Arial" w:eastAsia="Arial" w:hAnsi="Arial"/>
          <w:sz w:val="21"/>
          <w:szCs w:val="21"/>
          <w:color w:val="auto"/>
        </w:rPr>
        <w:t xml:space="preserve"> ” means with respect to any Letter of Credit, the Letter of Credit Application and any other document, agreement and instrument (other than this Agreement or any other Loan Document) entered into by the applicable L/C Issuer and the Borrower (or any Subsidiary of the Borrower that is a co-applicant in respect thereof) or in favor of such L/C Issuer and relating to such Letter of Credit.</w:t>
      </w:r>
    </w:p>
    <w:p>
      <w:pPr>
        <w:spacing w:after="0" w:line="15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JPMCB</w:t>
      </w:r>
      <w:r>
        <w:rPr>
          <w:rFonts w:ascii="Arial" w:cs="Arial" w:eastAsia="Arial" w:hAnsi="Arial"/>
          <w:sz w:val="21"/>
          <w:szCs w:val="21"/>
          <w:color w:val="auto"/>
        </w:rPr>
        <w:t>” means JPMorgan Chase Bank, N.A. and its successors.</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Judgment Currency</w:t>
      </w:r>
      <w:r>
        <w:rPr>
          <w:rFonts w:ascii="Arial" w:cs="Arial" w:eastAsia="Arial" w:hAnsi="Arial"/>
          <w:sz w:val="21"/>
          <w:szCs w:val="21"/>
          <w:color w:val="auto"/>
        </w:rPr>
        <w:t xml:space="preserve">” has the meaning specified in </w:t>
      </w:r>
      <w:r>
        <w:rPr>
          <w:rFonts w:ascii="Arial" w:cs="Arial" w:eastAsia="Arial" w:hAnsi="Arial"/>
          <w:sz w:val="21"/>
          <w:szCs w:val="21"/>
          <w:u w:val="single" w:color="auto"/>
          <w:color w:val="auto"/>
        </w:rPr>
        <w:t>Section 11.17</w:t>
      </w:r>
      <w:r>
        <w:rPr>
          <w:rFonts w:ascii="Arial" w:cs="Arial" w:eastAsia="Arial" w:hAnsi="Arial"/>
          <w:sz w:val="21"/>
          <w:szCs w:val="21"/>
          <w:color w:val="auto"/>
        </w:rPr>
        <w:t>.</w:t>
      </w:r>
    </w:p>
    <w:p>
      <w:pPr>
        <w:spacing w:after="0" w:line="183" w:lineRule="exact"/>
        <w:rPr>
          <w:sz w:val="20"/>
          <w:szCs w:val="20"/>
          <w:color w:val="auto"/>
        </w:rPr>
      </w:pPr>
    </w:p>
    <w:p>
      <w:pPr>
        <w:jc w:val="both"/>
        <w:ind w:firstLine="624"/>
        <w:spacing w:after="0" w:line="22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Laws</w:t>
      </w:r>
      <w:r>
        <w:rPr>
          <w:rFonts w:ascii="Arial" w:cs="Arial" w:eastAsia="Arial" w:hAnsi="Arial"/>
          <w:sz w:val="21"/>
          <w:szCs w:val="21"/>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55" w:lineRule="exact"/>
        <w:rPr>
          <w:sz w:val="20"/>
          <w:szCs w:val="20"/>
          <w:color w:val="auto"/>
        </w:rPr>
      </w:pPr>
    </w:p>
    <w:p>
      <w:pPr>
        <w:jc w:val="both"/>
        <w:ind w:firstLine="624"/>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L/C Advance</w:t>
      </w:r>
      <w:r>
        <w:rPr>
          <w:rFonts w:ascii="Arial" w:cs="Arial" w:eastAsia="Arial" w:hAnsi="Arial"/>
          <w:sz w:val="21"/>
          <w:szCs w:val="21"/>
          <w:color w:val="auto"/>
        </w:rPr>
        <w:t>” means, with respect to each Lender, such Lender’s funding of its participation in any L/C Borrowing in accordance with its Applicable Percentage.</w:t>
      </w:r>
    </w:p>
    <w:p>
      <w:pPr>
        <w:spacing w:after="0" w:line="155" w:lineRule="exact"/>
        <w:rPr>
          <w:sz w:val="20"/>
          <w:szCs w:val="20"/>
          <w:color w:val="auto"/>
        </w:rPr>
      </w:pPr>
    </w:p>
    <w:p>
      <w:pPr>
        <w:jc w:val="both"/>
        <w:ind w:firstLine="624"/>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L/C Borrowing</w:t>
      </w:r>
      <w:r>
        <w:rPr>
          <w:rFonts w:ascii="Arial" w:cs="Arial" w:eastAsia="Arial" w:hAnsi="Arial"/>
          <w:sz w:val="21"/>
          <w:szCs w:val="21"/>
          <w:color w:val="auto"/>
        </w:rPr>
        <w:t>” means an extension of credit resulting from a drawing under any Letter of Credit that has not been reimbursed on the date when made or refinanced as a Committed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ectPr>
          <w:pgSz w:w="11900" w:h="16838" w:orient="portrait"/>
          <w:cols w:equalWidth="0" w:num="1">
            <w:col w:w="11240"/>
          </w:cols>
          <w:pgMar w:left="320" w:top="1146" w:right="339" w:bottom="1440" w:gutter="0" w:footer="0" w:header="0"/>
        </w:sectPr>
      </w:pPr>
    </w:p>
    <w:bookmarkStart w:id="161" w:name="page162"/>
    <w:bookmarkEnd w:id="161"/>
    <w:p>
      <w:pPr>
        <w:jc w:val="both"/>
        <w:ind w:firstLine="624"/>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L/C Credit Extension</w:t>
      </w:r>
      <w:r>
        <w:rPr>
          <w:rFonts w:ascii="Arial" w:cs="Arial" w:eastAsia="Arial" w:hAnsi="Arial"/>
          <w:sz w:val="21"/>
          <w:szCs w:val="21"/>
          <w:color w:val="auto"/>
        </w:rPr>
        <w:t>” means, with respect to any Letter of Credit, the issuance or renewal thereof or extension of the expiry date thereof, or the increase of the amount thereof.</w:t>
      </w:r>
    </w:p>
    <w:p>
      <w:pPr>
        <w:spacing w:after="0" w:line="155" w:lineRule="exact"/>
        <w:rPr>
          <w:sz w:val="20"/>
          <w:szCs w:val="20"/>
          <w:color w:val="auto"/>
        </w:rPr>
      </w:pPr>
    </w:p>
    <w:p>
      <w:pPr>
        <w:jc w:val="both"/>
        <w:ind w:firstLine="624"/>
        <w:spacing w:after="0" w:line="21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L/C Issuer</w:t>
      </w:r>
      <w:r>
        <w:rPr>
          <w:rFonts w:ascii="Arial" w:cs="Arial" w:eastAsia="Arial" w:hAnsi="Arial"/>
          <w:sz w:val="21"/>
          <w:szCs w:val="21"/>
          <w:color w:val="auto"/>
        </w:rPr>
        <w:t xml:space="preserve">” means (a) JPMCB and (b) any other Lender that agrees to act in such capacity appointed by the Borrower with the consent of the Administrative Agent (such consent not to be unreasonably withheld, conditioned or delayed), such appointment evidenced by a written agreement, in form and substance reasonably satisfactory to the Administrative Agent and the Borrower, executed by the Borrower, the Administrative Agent and such appointed Lender. Each L/C Issuer may, in its discretion, arrange for one or more Letters of Credit to be issued by Affiliates of such L/C Issuer, in which case the term “L/C Issuer” shall include any such Affiliate with respect to Letters of Credit issued by such Affiliate (it being agreed that such L/C Issuer shall, or shall cause such Affiliate to, comply with the requirements of </w:t>
      </w:r>
      <w:r>
        <w:rPr>
          <w:rFonts w:ascii="Arial" w:cs="Arial" w:eastAsia="Arial" w:hAnsi="Arial"/>
          <w:sz w:val="21"/>
          <w:szCs w:val="21"/>
          <w:u w:val="single" w:color="auto"/>
          <w:color w:val="auto"/>
        </w:rPr>
        <w:t>Section 2.04</w:t>
      </w:r>
      <w:r>
        <w:rPr>
          <w:rFonts w:ascii="Arial" w:cs="Arial" w:eastAsia="Arial" w:hAnsi="Arial"/>
          <w:sz w:val="21"/>
          <w:szCs w:val="21"/>
          <w:color w:val="auto"/>
        </w:rPr>
        <w:t xml:space="preserve"> with respect to such Letters of Credit). Each reference herein to the “L/C Issuer” in connection with a Letter of Credit or other matter shall be deemed to be a reference to the relevant L/C Issuer with respect thereto.</w:t>
      </w:r>
    </w:p>
    <w:p>
      <w:pPr>
        <w:spacing w:after="0" w:line="155" w:lineRule="exact"/>
        <w:rPr>
          <w:sz w:val="20"/>
          <w:szCs w:val="20"/>
          <w:color w:val="auto"/>
        </w:rPr>
      </w:pPr>
    </w:p>
    <w:p>
      <w:pPr>
        <w:jc w:val="both"/>
        <w:ind w:firstLine="624"/>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Obligations</w:t>
      </w:r>
      <w:r>
        <w:rPr>
          <w:rFonts w:ascii="Arial" w:cs="Arial" w:eastAsia="Arial" w:hAnsi="Arial"/>
          <w:sz w:val="20"/>
          <w:szCs w:val="20"/>
          <w:color w:val="auto"/>
        </w:rPr>
        <w:t xml:space="preserve">” means, as of any date of determination, the aggregate amount available to be drawn under all outstanding Letters of Credit plus the aggregate of all Unreimbursed Amounts, including all L/C Borrowings. For purposes of computing the amount available to be drawn under any Letter of Credit, the amount of such Letter of Credit will be determined in accordance with </w:t>
      </w:r>
      <w:r>
        <w:rPr>
          <w:rFonts w:ascii="Arial" w:cs="Arial" w:eastAsia="Arial" w:hAnsi="Arial"/>
          <w:sz w:val="20"/>
          <w:szCs w:val="20"/>
          <w:u w:val="single" w:color="auto"/>
          <w:color w:val="auto"/>
        </w:rPr>
        <w:t>Section 1.07</w:t>
      </w:r>
      <w:r>
        <w:rPr>
          <w:rFonts w:ascii="Arial" w:cs="Arial" w:eastAsia="Arial" w:hAnsi="Arial"/>
          <w:sz w:val="20"/>
          <w:szCs w:val="20"/>
          <w:color w:val="auto"/>
        </w:rPr>
        <w:t>. 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of the Letter of Credit itself, or if compliant documents have been presented but not yet honored, such Letter of Credit shall be deemed to be “outstanding” and “undrawn” in the amount so remaining available to be paid, and the obligations of the Borrower and each Lender shall remain in full force and effect until the L/C Issuer and the Lenders shall have no further obligations to make any payments or disbursements under any circumstances with respect to any Letter of Credit.</w:t>
      </w:r>
    </w:p>
    <w:p>
      <w:pPr>
        <w:spacing w:after="0" w:line="157"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Lender-Related Person</w:t>
      </w:r>
      <w:r>
        <w:rPr>
          <w:rFonts w:ascii="Arial" w:cs="Arial" w:eastAsia="Arial" w:hAnsi="Arial"/>
          <w:sz w:val="21"/>
          <w:szCs w:val="21"/>
          <w:color w:val="auto"/>
        </w:rPr>
        <w:t xml:space="preserve">” has the meaning specified in </w:t>
      </w:r>
      <w:r>
        <w:rPr>
          <w:rFonts w:ascii="Arial" w:cs="Arial" w:eastAsia="Arial" w:hAnsi="Arial"/>
          <w:sz w:val="21"/>
          <w:szCs w:val="21"/>
          <w:u w:val="single" w:color="auto"/>
          <w:color w:val="auto"/>
        </w:rPr>
        <w:t>Section 11.04(d)</w:t>
      </w:r>
      <w:r>
        <w:rPr>
          <w:rFonts w:ascii="Arial" w:cs="Arial" w:eastAsia="Arial" w:hAnsi="Arial"/>
          <w:sz w:val="21"/>
          <w:szCs w:val="21"/>
          <w:color w:val="auto"/>
        </w:rPr>
        <w:t>.</w:t>
      </w:r>
    </w:p>
    <w:p>
      <w:pPr>
        <w:spacing w:after="0" w:line="183" w:lineRule="exact"/>
        <w:rPr>
          <w:sz w:val="20"/>
          <w:szCs w:val="20"/>
          <w:color w:val="auto"/>
        </w:rPr>
      </w:pPr>
    </w:p>
    <w:p>
      <w:pPr>
        <w:jc w:val="both"/>
        <w:ind w:firstLine="624"/>
        <w:spacing w:after="0" w:line="22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Lenders</w:t>
      </w:r>
      <w:r>
        <w:rPr>
          <w:rFonts w:ascii="Arial" w:cs="Arial" w:eastAsia="Arial" w:hAnsi="Arial"/>
          <w:sz w:val="21"/>
          <w:szCs w:val="21"/>
          <w:color w:val="auto"/>
        </w:rPr>
        <w:t xml:space="preserve">” means the Persons listed on </w:t>
      </w:r>
      <w:r>
        <w:rPr>
          <w:rFonts w:ascii="Arial" w:cs="Arial" w:eastAsia="Arial" w:hAnsi="Arial"/>
          <w:sz w:val="21"/>
          <w:szCs w:val="21"/>
          <w:u w:val="single" w:color="auto"/>
          <w:color w:val="auto"/>
        </w:rPr>
        <w:t>Schedule 2.01</w:t>
      </w:r>
      <w:r>
        <w:rPr>
          <w:rFonts w:ascii="Arial" w:cs="Arial" w:eastAsia="Arial" w:hAnsi="Arial"/>
          <w:sz w:val="21"/>
          <w:szCs w:val="21"/>
          <w:color w:val="auto"/>
        </w:rPr>
        <w:t xml:space="preserve"> and any other Person that shall have become a party hereto pursuant to an Assignment and Assumption or an Incremental Joinder Agreement, other than any such Person that shall have ceased to be a party hereto pursuant to an Assignment and Assumption. Unless the context otherwise requires, the term “Lenders” includes the L/C Issuers.</w:t>
      </w:r>
    </w:p>
    <w:p>
      <w:pPr>
        <w:spacing w:after="0" w:line="154" w:lineRule="exact"/>
        <w:rPr>
          <w:sz w:val="20"/>
          <w:szCs w:val="20"/>
          <w:color w:val="auto"/>
        </w:rPr>
      </w:pPr>
    </w:p>
    <w:p>
      <w:pPr>
        <w:jc w:val="both"/>
        <w:ind w:firstLine="624"/>
        <w:spacing w:after="0" w:line="23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Lending Office</w:t>
      </w:r>
      <w:r>
        <w:rPr>
          <w:rFonts w:ascii="Arial" w:cs="Arial" w:eastAsia="Arial" w:hAnsi="Arial"/>
          <w:sz w:val="21"/>
          <w:szCs w:val="21"/>
          <w:color w:val="auto"/>
        </w:rPr>
        <w:t>” means, as to any Lender, the office or branch of such Lender described as such in such Lender’s Administrative Questionnaire, or such other office or branch as such Lender may from time to time notify to the Borrower, and the Administrative Agent.</w:t>
      </w:r>
    </w:p>
    <w:p>
      <w:pPr>
        <w:spacing w:after="0" w:line="154" w:lineRule="exact"/>
        <w:rPr>
          <w:sz w:val="20"/>
          <w:szCs w:val="20"/>
          <w:color w:val="auto"/>
        </w:rPr>
      </w:pPr>
    </w:p>
    <w:p>
      <w:pPr>
        <w:jc w:val="both"/>
        <w:ind w:firstLine="624"/>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Letter of Credit</w:t>
      </w:r>
      <w:r>
        <w:rPr>
          <w:rFonts w:ascii="Arial" w:cs="Arial" w:eastAsia="Arial" w:hAnsi="Arial"/>
          <w:sz w:val="21"/>
          <w:szCs w:val="21"/>
          <w:color w:val="auto"/>
        </w:rPr>
        <w:t>” means any letter of credit issued or deemed to have been issued hereunder, including each Existing Letter of Credit.</w:t>
      </w:r>
    </w:p>
    <w:p>
      <w:pPr>
        <w:spacing w:after="0" w:line="155" w:lineRule="exact"/>
        <w:rPr>
          <w:sz w:val="20"/>
          <w:szCs w:val="20"/>
          <w:color w:val="auto"/>
        </w:rPr>
      </w:pPr>
    </w:p>
    <w:p>
      <w:pPr>
        <w:jc w:val="both"/>
        <w:ind w:firstLine="624"/>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Letter of Credit Application</w:t>
      </w:r>
      <w:r>
        <w:rPr>
          <w:rFonts w:ascii="Arial" w:cs="Arial" w:eastAsia="Arial" w:hAnsi="Arial"/>
          <w:sz w:val="21"/>
          <w:szCs w:val="21"/>
          <w:color w:val="auto"/>
        </w:rPr>
        <w:t>” means an application and agreement for the issuance or amendment of a Letter of Credit in the form from time to time in use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w:t>
      </w:r>
    </w:p>
    <w:p>
      <w:pPr>
        <w:sectPr>
          <w:pgSz w:w="11900" w:h="16838" w:orient="portrait"/>
          <w:cols w:equalWidth="0" w:num="1">
            <w:col w:w="11240"/>
          </w:cols>
          <w:pgMar w:left="320" w:top="1152" w:right="339" w:bottom="1440" w:gutter="0" w:footer="0" w:header="0"/>
        </w:sectPr>
      </w:pPr>
    </w:p>
    <w:bookmarkStart w:id="162" w:name="page163"/>
    <w:bookmarkEnd w:id="162"/>
    <w:p>
      <w:pPr>
        <w:spacing w:after="0"/>
        <w:rPr>
          <w:sz w:val="20"/>
          <w:szCs w:val="20"/>
          <w:color w:val="auto"/>
        </w:rPr>
      </w:pPr>
      <w:r>
        <w:rPr>
          <w:rFonts w:ascii="Arial" w:cs="Arial" w:eastAsia="Arial" w:hAnsi="Arial"/>
          <w:sz w:val="20"/>
          <w:szCs w:val="20"/>
          <w:color w:val="auto"/>
        </w:rPr>
        <w:t>applicable L/C Issuer and provided to the Borrower upon its request for such issuance or amendment of such Letter of Credit.</w:t>
      </w:r>
    </w:p>
    <w:p>
      <w:pPr>
        <w:spacing w:after="0" w:line="194" w:lineRule="exact"/>
        <w:rPr>
          <w:sz w:val="20"/>
          <w:szCs w:val="20"/>
          <w:color w:val="auto"/>
        </w:rPr>
      </w:pPr>
    </w:p>
    <w:p>
      <w:pPr>
        <w:jc w:val="both"/>
        <w:ind w:firstLine="624"/>
        <w:spacing w:after="0" w:line="23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Commitment</w:t>
      </w:r>
      <w:r>
        <w:rPr>
          <w:rFonts w:ascii="Arial" w:cs="Arial" w:eastAsia="Arial" w:hAnsi="Arial"/>
          <w:sz w:val="20"/>
          <w:szCs w:val="20"/>
          <w:color w:val="auto"/>
        </w:rPr>
        <w:t xml:space="preserve">” means, with respect to any L/C Issuer, the maximum permitted Outstanding Amount of the L/C Obligations that may be attributable to Letters of Credit issued by such L/C Issuer. The initial amount of each L/C Issuer’s Letter of Credit Commitment is set forth on </w:t>
      </w:r>
      <w:r>
        <w:rPr>
          <w:rFonts w:ascii="Arial" w:cs="Arial" w:eastAsia="Arial" w:hAnsi="Arial"/>
          <w:sz w:val="20"/>
          <w:szCs w:val="20"/>
          <w:u w:val="single" w:color="auto"/>
          <w:color w:val="auto"/>
        </w:rPr>
        <w:t>Schedule 2.04(a)</w:t>
      </w:r>
      <w:r>
        <w:rPr>
          <w:rFonts w:ascii="Arial" w:cs="Arial" w:eastAsia="Arial" w:hAnsi="Arial"/>
          <w:sz w:val="20"/>
          <w:szCs w:val="20"/>
          <w:color w:val="auto"/>
        </w:rPr>
        <w:t xml:space="preserve"> or, in the case of any L/C Issuer that becomes an L/C Issuer pursuant to clause (d) of the definition of such term, in the agreement referred to in such clause. The Letter of Credit Commitment of any L/C Issuer may be increased or reduced from time to time by a written agreement between such L/C Issuer and the Borrower;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copy of such written agreement shall have been delivered to the Administrative Agent.</w:t>
      </w:r>
    </w:p>
    <w:p>
      <w:pPr>
        <w:spacing w:after="0" w:line="156" w:lineRule="exact"/>
        <w:rPr>
          <w:sz w:val="20"/>
          <w:szCs w:val="20"/>
          <w:color w:val="auto"/>
        </w:rPr>
      </w:pPr>
    </w:p>
    <w:p>
      <w:pPr>
        <w:jc w:val="both"/>
        <w:ind w:firstLine="624"/>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Letter of Credit Expiration Date</w:t>
      </w:r>
      <w:r>
        <w:rPr>
          <w:rFonts w:ascii="Arial" w:cs="Arial" w:eastAsia="Arial" w:hAnsi="Arial"/>
          <w:sz w:val="21"/>
          <w:szCs w:val="21"/>
          <w:color w:val="auto"/>
        </w:rPr>
        <w:t>” means the day that is five (5) Business Days prior to the Maturity Date (or, if such day is not a Business Day, the immediately preceding Business Day).</w:t>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Letter of Credit Fee</w:t>
      </w:r>
      <w:r>
        <w:rPr>
          <w:rFonts w:ascii="Arial" w:cs="Arial" w:eastAsia="Arial" w:hAnsi="Arial"/>
          <w:sz w:val="21"/>
          <w:szCs w:val="21"/>
          <w:color w:val="auto"/>
        </w:rPr>
        <w:t xml:space="preserve">” has the meaning specified in </w:t>
      </w:r>
      <w:r>
        <w:rPr>
          <w:rFonts w:ascii="Arial" w:cs="Arial" w:eastAsia="Arial" w:hAnsi="Arial"/>
          <w:sz w:val="21"/>
          <w:szCs w:val="21"/>
          <w:u w:val="single" w:color="auto"/>
          <w:color w:val="auto"/>
        </w:rPr>
        <w:t>Section 2.04(h)</w:t>
      </w:r>
      <w:r>
        <w:rPr>
          <w:rFonts w:ascii="Arial" w:cs="Arial" w:eastAsia="Arial" w:hAnsi="Arial"/>
          <w:sz w:val="21"/>
          <w:szCs w:val="21"/>
          <w:color w:val="auto"/>
        </w:rPr>
        <w:t>.</w:t>
      </w:r>
    </w:p>
    <w:p>
      <w:pPr>
        <w:spacing w:after="0" w:line="183" w:lineRule="exact"/>
        <w:rPr>
          <w:sz w:val="20"/>
          <w:szCs w:val="20"/>
          <w:color w:val="auto"/>
        </w:rPr>
      </w:pPr>
    </w:p>
    <w:p>
      <w:pPr>
        <w:jc w:val="both"/>
        <w:ind w:firstLine="624"/>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Letter of Credit Sublimit</w:t>
      </w:r>
      <w:r>
        <w:rPr>
          <w:rFonts w:ascii="Arial" w:cs="Arial" w:eastAsia="Arial" w:hAnsi="Arial"/>
          <w:sz w:val="21"/>
          <w:szCs w:val="21"/>
          <w:color w:val="auto"/>
        </w:rPr>
        <w:t>” means an amount equal to the lesser of $25,000,000 and the Aggregate Commitments. The Letter of Credit Sublimit is part of, and not in addition to, the Aggregate Commitments.</w:t>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Liabilities</w:t>
      </w:r>
      <w:r>
        <w:rPr>
          <w:rFonts w:ascii="Arial" w:cs="Arial" w:eastAsia="Arial" w:hAnsi="Arial"/>
          <w:sz w:val="21"/>
          <w:szCs w:val="21"/>
          <w:color w:val="auto"/>
        </w:rPr>
        <w:t>” means any losses, claims (including intraparty claims), demands, damages or liabilities of any kind.</w:t>
      </w:r>
    </w:p>
    <w:p>
      <w:pPr>
        <w:spacing w:after="0" w:line="177" w:lineRule="exact"/>
        <w:rPr>
          <w:sz w:val="20"/>
          <w:szCs w:val="20"/>
          <w:color w:val="auto"/>
        </w:rPr>
      </w:pPr>
    </w:p>
    <w:p>
      <w:pPr>
        <w:jc w:val="both"/>
        <w:ind w:firstLine="624"/>
        <w:spacing w:after="0" w:line="226" w:lineRule="auto"/>
        <w:rPr>
          <w:sz w:val="20"/>
          <w:szCs w:val="20"/>
          <w:color w:val="auto"/>
        </w:rPr>
      </w:pPr>
      <w:r>
        <w:rPr>
          <w:rFonts w:ascii="Arial" w:cs="Arial" w:eastAsia="Arial" w:hAnsi="Arial"/>
          <w:sz w:val="21"/>
          <w:szCs w:val="21"/>
          <w:b w:val="1"/>
          <w:bCs w:val="1"/>
          <w:color w:val="FF0000"/>
          <w:strike w:val="1"/>
        </w:rPr>
        <w:t>“</w:t>
      </w:r>
      <w:r>
        <w:rPr>
          <w:rFonts w:ascii="Arial" w:cs="Arial" w:eastAsia="Arial" w:hAnsi="Arial"/>
          <w:sz w:val="21"/>
          <w:szCs w:val="21"/>
          <w:b w:val="1"/>
          <w:bCs w:val="1"/>
          <w:u w:val="single" w:color="auto"/>
          <w:color w:val="FF0000"/>
          <w:strike w:val="1"/>
        </w:rPr>
        <w:t>LIBO Rate</w:t>
      </w:r>
      <w:r>
        <w:rPr>
          <w:rFonts w:ascii="Arial" w:cs="Arial" w:eastAsia="Arial" w:hAnsi="Arial"/>
          <w:sz w:val="21"/>
          <w:szCs w:val="21"/>
          <w:b w:val="1"/>
          <w:bCs w:val="1"/>
          <w:color w:val="FF0000"/>
          <w:strike w:val="1"/>
        </w:rPr>
        <w:t xml:space="preserve">” means, with respect to any Eurocurrency Rate Borrowing denominated in US Dollars for any Interest Period, the LIBO Screen Rate at approximately 11:00 a.m., London time, two (2) Business Days prior to the commencement of such Interest Period; </w:t>
      </w:r>
      <w:r>
        <w:rPr>
          <w:rFonts w:ascii="Arial" w:cs="Arial" w:eastAsia="Arial" w:hAnsi="Arial"/>
          <w:sz w:val="21"/>
          <w:szCs w:val="21"/>
          <w:b w:val="1"/>
          <w:bCs w:val="1"/>
          <w:u w:val="single" w:color="auto"/>
          <w:color w:val="FF0000"/>
          <w:strike w:val="1"/>
        </w:rPr>
        <w:t>provided</w:t>
      </w:r>
      <w:r>
        <w:rPr>
          <w:rFonts w:ascii="Arial" w:cs="Arial" w:eastAsia="Arial" w:hAnsi="Arial"/>
          <w:sz w:val="21"/>
          <w:szCs w:val="21"/>
          <w:b w:val="1"/>
          <w:bCs w:val="1"/>
          <w:color w:val="FF0000"/>
          <w:strike w:val="1"/>
        </w:rPr>
        <w:t xml:space="preserve"> that if the LIBO Screen Rate shall not be available at such time for such Interest Period (an “</w:t>
      </w:r>
      <w:r>
        <w:rPr>
          <w:rFonts w:ascii="Arial" w:cs="Arial" w:eastAsia="Arial" w:hAnsi="Arial"/>
          <w:sz w:val="21"/>
          <w:szCs w:val="21"/>
          <w:b w:val="1"/>
          <w:bCs w:val="1"/>
          <w:u w:val="single" w:color="auto"/>
          <w:color w:val="FF0000"/>
          <w:strike w:val="1"/>
        </w:rPr>
        <w:t>Impacted Interest Period</w:t>
      </w:r>
      <w:r>
        <w:rPr>
          <w:rFonts w:ascii="Arial" w:cs="Arial" w:eastAsia="Arial" w:hAnsi="Arial"/>
          <w:sz w:val="21"/>
          <w:szCs w:val="21"/>
          <w:b w:val="1"/>
          <w:bCs w:val="1"/>
          <w:color w:val="FF0000"/>
          <w:strike w:val="1"/>
        </w:rPr>
        <w:t>”) then the LIBO Rate shall be the Interpolated Rate.</w:t>
      </w:r>
    </w:p>
    <w:p>
      <w:pPr>
        <w:spacing w:after="0" w:line="150" w:lineRule="exact"/>
        <w:rPr>
          <w:sz w:val="20"/>
          <w:szCs w:val="20"/>
          <w:color w:val="auto"/>
        </w:rPr>
      </w:pPr>
    </w:p>
    <w:p>
      <w:pPr>
        <w:jc w:val="both"/>
        <w:ind w:firstLine="624"/>
        <w:spacing w:after="0" w:line="242" w:lineRule="auto"/>
        <w:rPr>
          <w:sz w:val="20"/>
          <w:szCs w:val="20"/>
          <w:color w:val="auto"/>
        </w:rPr>
      </w:pPr>
      <w:r>
        <w:rPr>
          <w:rFonts w:ascii="Arial" w:cs="Arial" w:eastAsia="Arial" w:hAnsi="Arial"/>
          <w:sz w:val="19"/>
          <w:szCs w:val="19"/>
          <w:b w:val="1"/>
          <w:bCs w:val="1"/>
          <w:color w:val="FF0000"/>
          <w:strike w:val="1"/>
        </w:rPr>
        <w:t>“</w:t>
      </w:r>
      <w:r>
        <w:rPr>
          <w:rFonts w:ascii="Arial" w:cs="Arial" w:eastAsia="Arial" w:hAnsi="Arial"/>
          <w:sz w:val="19"/>
          <w:szCs w:val="19"/>
          <w:b w:val="1"/>
          <w:bCs w:val="1"/>
          <w:u w:val="single" w:color="auto"/>
          <w:color w:val="FF0000"/>
          <w:strike w:val="1"/>
        </w:rPr>
        <w:t>LIBO Screen Rate</w:t>
      </w:r>
      <w:r>
        <w:rPr>
          <w:rFonts w:ascii="Arial" w:cs="Arial" w:eastAsia="Arial" w:hAnsi="Arial"/>
          <w:sz w:val="19"/>
          <w:szCs w:val="19"/>
          <w:b w:val="1"/>
          <w:bCs w:val="1"/>
          <w:color w:val="FF0000"/>
          <w:strike w:val="1"/>
        </w:rPr>
        <w:t xml:space="preserve">” means, for any day and time, with respect to any Eurocurrency Rate Borrowing denominated in US Dollars for any Interest Period, the London interbank offered rate as administered by ICE Benchmark Administration (or any other Person that takes over the administration of such rate) for US Dollars for a period equal in length to such Interest Period as displayed on such day and time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 </w:t>
      </w:r>
      <w:r>
        <w:rPr>
          <w:rFonts w:ascii="Arial" w:cs="Arial" w:eastAsia="Arial" w:hAnsi="Arial"/>
          <w:sz w:val="19"/>
          <w:szCs w:val="19"/>
          <w:b w:val="1"/>
          <w:bCs w:val="1"/>
          <w:u w:val="single" w:color="auto"/>
          <w:color w:val="FF0000"/>
          <w:strike w:val="1"/>
        </w:rPr>
        <w:t>provided</w:t>
      </w:r>
      <w:r>
        <w:rPr>
          <w:rFonts w:ascii="Arial" w:cs="Arial" w:eastAsia="Arial" w:hAnsi="Arial"/>
          <w:sz w:val="19"/>
          <w:szCs w:val="19"/>
          <w:b w:val="1"/>
          <w:bCs w:val="1"/>
          <w:color w:val="FF0000"/>
          <w:strike w:val="1"/>
        </w:rPr>
        <w:t xml:space="preserve"> that if the LIBO Screen Rate as so determined would be less than zero, such rate shall be deemed to be zero for the purposes of this Agreement.</w:t>
      </w:r>
    </w:p>
    <w:p>
      <w:pPr>
        <w:spacing w:after="0" w:line="146" w:lineRule="exact"/>
        <w:rPr>
          <w:sz w:val="20"/>
          <w:szCs w:val="20"/>
          <w:color w:val="auto"/>
        </w:rPr>
      </w:pPr>
    </w:p>
    <w:p>
      <w:pPr>
        <w:ind w:left="620"/>
        <w:spacing w:after="0"/>
        <w:rPr>
          <w:sz w:val="20"/>
          <w:szCs w:val="20"/>
          <w:color w:val="auto"/>
        </w:rPr>
      </w:pPr>
      <w:r>
        <w:rPr>
          <w:rFonts w:ascii="Arial" w:cs="Arial" w:eastAsia="Arial" w:hAnsi="Arial"/>
          <w:sz w:val="21"/>
          <w:szCs w:val="21"/>
          <w:b w:val="1"/>
          <w:bCs w:val="1"/>
          <w:color w:val="FF0000"/>
          <w:strike w:val="1"/>
        </w:rPr>
        <w:t>“</w:t>
      </w:r>
      <w:r>
        <w:rPr>
          <w:rFonts w:ascii="Arial" w:cs="Arial" w:eastAsia="Arial" w:hAnsi="Arial"/>
          <w:sz w:val="21"/>
          <w:szCs w:val="21"/>
          <w:b w:val="1"/>
          <w:bCs w:val="1"/>
          <w:u w:val="single" w:color="auto"/>
          <w:color w:val="FF0000"/>
          <w:strike w:val="1"/>
        </w:rPr>
        <w:t>LIBOR</w:t>
      </w:r>
      <w:r>
        <w:rPr>
          <w:rFonts w:ascii="Arial" w:cs="Arial" w:eastAsia="Arial" w:hAnsi="Arial"/>
          <w:sz w:val="21"/>
          <w:szCs w:val="21"/>
          <w:b w:val="1"/>
          <w:bCs w:val="1"/>
          <w:color w:val="FF0000"/>
          <w:strike w:val="1"/>
        </w:rPr>
        <w:t xml:space="preserve">” has the meaning assigned to such term in </w:t>
      </w:r>
      <w:r>
        <w:rPr>
          <w:rFonts w:ascii="Arial" w:cs="Arial" w:eastAsia="Arial" w:hAnsi="Arial"/>
          <w:sz w:val="21"/>
          <w:szCs w:val="21"/>
          <w:b w:val="1"/>
          <w:bCs w:val="1"/>
          <w:u w:val="single" w:color="auto"/>
          <w:color w:val="FF0000"/>
          <w:strike w:val="1"/>
        </w:rPr>
        <w:t>Section 1.09</w:t>
      </w:r>
      <w:r>
        <w:rPr>
          <w:rFonts w:ascii="Arial" w:cs="Arial" w:eastAsia="Arial" w:hAnsi="Arial"/>
          <w:sz w:val="21"/>
          <w:szCs w:val="21"/>
          <w:b w:val="1"/>
          <w:bCs w:val="1"/>
          <w:color w:val="FF0000"/>
          <w:strike w:val="1"/>
        </w:rPr>
        <w:t>.</w:t>
      </w:r>
    </w:p>
    <w:p>
      <w:pPr>
        <w:spacing w:after="0" w:line="189" w:lineRule="exact"/>
        <w:rPr>
          <w:sz w:val="20"/>
          <w:szCs w:val="20"/>
          <w:color w:val="auto"/>
        </w:rPr>
      </w:pPr>
    </w:p>
    <w:p>
      <w:pPr>
        <w:jc w:val="both"/>
        <w:ind w:firstLine="624"/>
        <w:spacing w:after="0" w:line="23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Lien</w:t>
      </w:r>
      <w:r>
        <w:rPr>
          <w:rFonts w:ascii="Arial" w:cs="Arial" w:eastAsia="Arial" w:hAnsi="Arial"/>
          <w:sz w:val="21"/>
          <w:szCs w:val="21"/>
          <w:color w:val="auto"/>
        </w:rPr>
        <w:t>” means any mortgage, pledge, hypothecation, encumbrance, lien (statutory or other), charge or other security interest or preferential arrangement in the nature of a security interest of any kind (including any conditional sale or other title retention agreement, any easement and right of way or other encumbrance on title to real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w:t>
      </w:r>
    </w:p>
    <w:p>
      <w:pPr>
        <w:sectPr>
          <w:pgSz w:w="11900" w:h="16838" w:orient="portrait"/>
          <w:cols w:equalWidth="0" w:num="1">
            <w:col w:w="11240"/>
          </w:cols>
          <w:pgMar w:left="320" w:top="1152" w:right="339" w:bottom="1440" w:gutter="0" w:footer="0" w:header="0"/>
        </w:sectPr>
      </w:pPr>
    </w:p>
    <w:bookmarkStart w:id="163" w:name="page164"/>
    <w:bookmarkEnd w:id="163"/>
    <w:p>
      <w:pPr>
        <w:jc w:val="both"/>
        <w:spacing w:after="0" w:line="239" w:lineRule="auto"/>
        <w:rPr>
          <w:sz w:val="20"/>
          <w:szCs w:val="20"/>
          <w:color w:val="auto"/>
        </w:rPr>
      </w:pPr>
      <w:r>
        <w:rPr>
          <w:rFonts w:ascii="Arial" w:cs="Arial" w:eastAsia="Arial" w:hAnsi="Arial"/>
          <w:sz w:val="21"/>
          <w:szCs w:val="21"/>
          <w:color w:val="auto"/>
        </w:rPr>
        <w:t xml:space="preserve">and any financing lease having substantially the same economic effect as any of the foregoing);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no event shall an operating lease be deemed to be a Lien.</w:t>
      </w:r>
    </w:p>
    <w:p>
      <w:pPr>
        <w:spacing w:after="0" w:line="155" w:lineRule="exact"/>
        <w:rPr>
          <w:sz w:val="20"/>
          <w:szCs w:val="20"/>
          <w:color w:val="auto"/>
        </w:rPr>
      </w:pPr>
    </w:p>
    <w:p>
      <w:pPr>
        <w:jc w:val="both"/>
        <w:ind w:firstLine="624"/>
        <w:spacing w:after="0" w:line="23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Limited Condition Transaction</w:t>
      </w:r>
      <w:r>
        <w:rPr>
          <w:rFonts w:ascii="Arial" w:cs="Arial" w:eastAsia="Arial" w:hAnsi="Arial"/>
          <w:sz w:val="21"/>
          <w:szCs w:val="21"/>
          <w:color w:val="auto"/>
        </w:rPr>
        <w:t>” means any investment or Acquisition (whether by merger, amalgamation, consolidation or other business combination or the acquisition of Equity Interests or otherwise), whose consummation is not conditioned on the availability of, or on obtaining, third party financing.</w:t>
      </w:r>
    </w:p>
    <w:p>
      <w:pPr>
        <w:spacing w:after="0" w:line="15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Loan</w:t>
      </w:r>
      <w:r>
        <w:rPr>
          <w:rFonts w:ascii="Arial" w:cs="Arial" w:eastAsia="Arial" w:hAnsi="Arial"/>
          <w:sz w:val="21"/>
          <w:szCs w:val="21"/>
          <w:color w:val="auto"/>
        </w:rPr>
        <w:t>” means a Committed Loan or a Bid Loan, as the context may require.</w:t>
      </w:r>
    </w:p>
    <w:p>
      <w:pPr>
        <w:spacing w:after="0" w:line="183" w:lineRule="exact"/>
        <w:rPr>
          <w:sz w:val="20"/>
          <w:szCs w:val="20"/>
          <w:color w:val="auto"/>
        </w:rPr>
      </w:pPr>
    </w:p>
    <w:p>
      <w:pPr>
        <w:jc w:val="both"/>
        <w:ind w:firstLine="624"/>
        <w:spacing w:after="0" w:line="22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Loan Documents</w:t>
      </w:r>
      <w:r>
        <w:rPr>
          <w:rFonts w:ascii="Arial" w:cs="Arial" w:eastAsia="Arial" w:hAnsi="Arial"/>
          <w:sz w:val="21"/>
          <w:szCs w:val="21"/>
          <w:color w:val="auto"/>
        </w:rPr>
        <w:t xml:space="preserve">” means this Agreement, each Incremental Joinder Agreement, each Guarantor Counterpart and, other than for purposes of </w:t>
      </w:r>
      <w:r>
        <w:rPr>
          <w:rFonts w:ascii="Arial" w:cs="Arial" w:eastAsia="Arial" w:hAnsi="Arial"/>
          <w:sz w:val="21"/>
          <w:szCs w:val="21"/>
          <w:u w:val="single" w:color="auto"/>
          <w:color w:val="auto"/>
        </w:rPr>
        <w:t>Section 11.01</w:t>
      </w:r>
      <w:r>
        <w:rPr>
          <w:rFonts w:ascii="Arial" w:cs="Arial" w:eastAsia="Arial" w:hAnsi="Arial"/>
          <w:sz w:val="21"/>
          <w:szCs w:val="21"/>
          <w:color w:val="auto"/>
        </w:rPr>
        <w:t xml:space="preserve">, each agreement referred to in the definition of “L/C Issuer” pursuant to which any Lender becomes an L/C Issuer hereunder, each agreement referred to in the definition of “Letter of Credit Commitment” as to the amount thereof with respect to any L/C Issuer, each Letter of Credit Application and any agreement creating or perfecting rights in Cash Collateral pursuant to the provisions of </w:t>
      </w:r>
      <w:r>
        <w:rPr>
          <w:rFonts w:ascii="Arial" w:cs="Arial" w:eastAsia="Arial" w:hAnsi="Arial"/>
          <w:sz w:val="21"/>
          <w:szCs w:val="21"/>
          <w:u w:val="single" w:color="auto"/>
          <w:color w:val="auto"/>
        </w:rPr>
        <w:t>Section 2.15</w:t>
      </w:r>
      <w:r>
        <w:rPr>
          <w:rFonts w:ascii="Arial" w:cs="Arial" w:eastAsia="Arial" w:hAnsi="Arial"/>
          <w:sz w:val="21"/>
          <w:szCs w:val="21"/>
          <w:color w:val="auto"/>
        </w:rPr>
        <w:t xml:space="preserve"> and each Note.</w:t>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Loan Parties</w:t>
      </w:r>
      <w:r>
        <w:rPr>
          <w:rFonts w:ascii="Arial" w:cs="Arial" w:eastAsia="Arial" w:hAnsi="Arial"/>
          <w:sz w:val="21"/>
          <w:szCs w:val="21"/>
          <w:color w:val="auto"/>
        </w:rPr>
        <w:t>” means, collectively, the Borrower and the Guarantors.</w:t>
      </w:r>
    </w:p>
    <w:p>
      <w:pPr>
        <w:spacing w:after="0" w:line="177" w:lineRule="exact"/>
        <w:rPr>
          <w:sz w:val="20"/>
          <w:szCs w:val="20"/>
          <w:color w:val="auto"/>
        </w:rPr>
      </w:pPr>
    </w:p>
    <w:p>
      <w:pPr>
        <w:jc w:val="both"/>
        <w:ind w:firstLine="624"/>
        <w:spacing w:after="0" w:line="23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Local Time</w:t>
      </w:r>
      <w:r>
        <w:rPr>
          <w:rFonts w:ascii="Arial" w:cs="Arial" w:eastAsia="Arial" w:hAnsi="Arial"/>
          <w:sz w:val="20"/>
          <w:szCs w:val="20"/>
          <w:color w:val="auto"/>
        </w:rPr>
        <w:t xml:space="preserve">” means </w:t>
      </w:r>
      <w:r>
        <w:rPr>
          <w:rFonts w:ascii="Arial" w:cs="Arial" w:eastAsia="Arial" w:hAnsi="Arial"/>
          <w:sz w:val="20"/>
          <w:szCs w:val="20"/>
          <w:b w:val="1"/>
          <w:bCs w:val="1"/>
          <w:color w:val="FF0000"/>
        </w:rPr>
        <w:t>(a)</w:t>
      </w:r>
      <w:r>
        <w:rPr>
          <w:rFonts w:ascii="Arial" w:cs="Arial" w:eastAsia="Arial" w:hAnsi="Arial"/>
          <w:sz w:val="20"/>
          <w:szCs w:val="20"/>
          <w:b w:val="1"/>
          <w:bCs w:val="1"/>
          <w:u w:val="single" w:color="auto"/>
          <w:color w:val="0000FF"/>
        </w:rPr>
        <w:t>,</w:t>
      </w:r>
      <w:r>
        <w:rPr>
          <w:rFonts w:ascii="Arial" w:cs="Arial" w:eastAsia="Arial" w:hAnsi="Arial"/>
          <w:sz w:val="20"/>
          <w:szCs w:val="20"/>
          <w:color w:val="auto"/>
        </w:rPr>
        <w:t xml:space="preserve"> with respect to a Loan or Borrowing denominated in US Dollars </w:t>
      </w:r>
      <w:r>
        <w:rPr>
          <w:rFonts w:ascii="Arial" w:cs="Arial" w:eastAsia="Arial" w:hAnsi="Arial"/>
          <w:sz w:val="20"/>
          <w:szCs w:val="20"/>
          <w:b w:val="1"/>
          <w:bCs w:val="1"/>
          <w:color w:val="FF0000"/>
          <w:strike w:val="1"/>
        </w:rPr>
        <w:t>that is a Base Rate Loan or Base</w:t>
      </w:r>
      <w:r>
        <w:rPr>
          <w:rFonts w:ascii="Arial" w:cs="Arial" w:eastAsia="Arial" w:hAnsi="Arial"/>
          <w:sz w:val="20"/>
          <w:szCs w:val="20"/>
          <w:color w:val="auto"/>
        </w:rPr>
        <w:t xml:space="preserve"> </w:t>
      </w:r>
      <w:r>
        <w:rPr>
          <w:rFonts w:ascii="Arial" w:cs="Arial" w:eastAsia="Arial" w:hAnsi="Arial"/>
          <w:sz w:val="20"/>
          <w:szCs w:val="20"/>
          <w:b w:val="1"/>
          <w:bCs w:val="1"/>
          <w:color w:val="FF0000"/>
          <w:strike w:val="1"/>
        </w:rPr>
        <w:t>Rate Borrowing and with respect to any Letter of Credit</w:t>
      </w:r>
      <w:r>
        <w:rPr>
          <w:rFonts w:ascii="Arial" w:cs="Arial" w:eastAsia="Arial" w:hAnsi="Arial"/>
          <w:sz w:val="20"/>
          <w:szCs w:val="20"/>
          <w:b w:val="1"/>
          <w:bCs w:val="1"/>
          <w:color w:val="FF0000"/>
        </w:rPr>
        <w:t xml:space="preserve"> </w:t>
      </w:r>
      <w:r>
        <w:rPr>
          <w:rFonts w:ascii="Arial" w:cs="Arial" w:eastAsia="Arial" w:hAnsi="Arial"/>
          <w:sz w:val="20"/>
          <w:szCs w:val="20"/>
          <w:color w:val="000000"/>
        </w:rPr>
        <w:t>, New York City time</w:t>
      </w:r>
      <w:r>
        <w:rPr>
          <w:rFonts w:ascii="Arial" w:cs="Arial" w:eastAsia="Arial" w:hAnsi="Arial"/>
          <w:sz w:val="20"/>
          <w:szCs w:val="20"/>
          <w:b w:val="1"/>
          <w:bCs w:val="1"/>
          <w:color w:val="FF0000"/>
        </w:rPr>
        <w:t xml:space="preserve"> and (b) with respect to any Loan or Borrowing </w:t>
      </w:r>
      <w:r>
        <w:rPr>
          <w:rFonts w:ascii="Arial" w:cs="Arial" w:eastAsia="Arial" w:hAnsi="Arial"/>
          <w:sz w:val="20"/>
          <w:szCs w:val="20"/>
          <w:b w:val="1"/>
          <w:bCs w:val="1"/>
          <w:color w:val="FF0000"/>
          <w:strike w:val="1"/>
        </w:rPr>
        <w:t>denominated in US Dollars that is a Eurocurrency Rate Loan or Eurocurrency Rate Borrowing or any Loan or Borrowing denominated in an Alternative Currency or a Discretionary Alternative Currency, London time.</w:t>
      </w:r>
      <w:r>
        <w:rPr>
          <w:rFonts w:ascii="Arial" w:cs="Arial" w:eastAsia="Arial" w:hAnsi="Arial"/>
          <w:sz w:val="20"/>
          <w:szCs w:val="20"/>
          <w:b w:val="1"/>
          <w:bCs w:val="1"/>
          <w:u w:val="single" w:color="auto"/>
          <w:color w:val="0000FF"/>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1515110</wp:posOffset>
            </wp:positionH>
            <wp:positionV relativeFrom="paragraph">
              <wp:posOffset>-485775</wp:posOffset>
            </wp:positionV>
            <wp:extent cx="1911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9113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-351155</wp:posOffset>
            </wp:positionV>
            <wp:extent cx="27273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727325" cy="8255"/>
                    </a:xfrm>
                    <a:prstGeom prst="rect">
                      <a:avLst/>
                    </a:prstGeom>
                    <a:noFill/>
                  </pic:spPr>
                </pic:pic>
              </a:graphicData>
            </a:graphic>
          </wp:anchor>
        </w:drawing>
      </w:r>
    </w:p>
    <w:p>
      <w:pPr>
        <w:spacing w:after="0" w:line="134" w:lineRule="exact"/>
        <w:rPr>
          <w:sz w:val="20"/>
          <w:szCs w:val="20"/>
          <w:color w:val="auto"/>
        </w:rPr>
      </w:pPr>
    </w:p>
    <w:p>
      <w:pPr>
        <w:jc w:val="both"/>
        <w:ind w:firstLine="624"/>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Major Default</w:t>
      </w:r>
      <w:r>
        <w:rPr>
          <w:rFonts w:ascii="Arial" w:cs="Arial" w:eastAsia="Arial" w:hAnsi="Arial"/>
          <w:sz w:val="21"/>
          <w:szCs w:val="21"/>
          <w:color w:val="auto"/>
        </w:rPr>
        <w:t xml:space="preserve">” means a Default that has occurred and is continuing under </w:t>
      </w:r>
      <w:r>
        <w:rPr>
          <w:rFonts w:ascii="Arial" w:cs="Arial" w:eastAsia="Arial" w:hAnsi="Arial"/>
          <w:sz w:val="21"/>
          <w:szCs w:val="21"/>
          <w:u w:val="single" w:color="auto"/>
          <w:color w:val="auto"/>
        </w:rPr>
        <w:t>Section 8.01(a)</w:t>
      </w:r>
      <w:r>
        <w:rPr>
          <w:rFonts w:ascii="Arial" w:cs="Arial" w:eastAsia="Arial" w:hAnsi="Arial"/>
          <w:sz w:val="21"/>
          <w:szCs w:val="21"/>
          <w:color w:val="auto"/>
        </w:rPr>
        <w:t xml:space="preserve">, </w:t>
      </w:r>
      <w:r>
        <w:rPr>
          <w:rFonts w:ascii="Arial" w:cs="Arial" w:eastAsia="Arial" w:hAnsi="Arial"/>
          <w:sz w:val="21"/>
          <w:szCs w:val="21"/>
          <w:u w:val="single" w:color="auto"/>
          <w:color w:val="auto"/>
        </w:rPr>
        <w:t>(b)</w:t>
      </w:r>
      <w:r>
        <w:rPr>
          <w:rFonts w:ascii="Arial" w:cs="Arial" w:eastAsia="Arial" w:hAnsi="Arial"/>
          <w:sz w:val="21"/>
          <w:szCs w:val="21"/>
          <w:color w:val="auto"/>
        </w:rPr>
        <w:t xml:space="preserve">, </w:t>
      </w:r>
      <w:r>
        <w:rPr>
          <w:rFonts w:ascii="Arial" w:cs="Arial" w:eastAsia="Arial" w:hAnsi="Arial"/>
          <w:sz w:val="21"/>
          <w:szCs w:val="21"/>
          <w:u w:val="single" w:color="auto"/>
          <w:color w:val="auto"/>
        </w:rPr>
        <w:t>(e)</w:t>
      </w:r>
      <w:r>
        <w:rPr>
          <w:rFonts w:ascii="Arial" w:cs="Arial" w:eastAsia="Arial" w:hAnsi="Arial"/>
          <w:sz w:val="21"/>
          <w:szCs w:val="21"/>
          <w:color w:val="auto"/>
        </w:rPr>
        <w:t xml:space="preserve">, </w:t>
      </w:r>
      <w:r>
        <w:rPr>
          <w:rFonts w:ascii="Arial" w:cs="Arial" w:eastAsia="Arial" w:hAnsi="Arial"/>
          <w:sz w:val="21"/>
          <w:szCs w:val="21"/>
          <w:u w:val="single" w:color="auto"/>
          <w:color w:val="auto"/>
        </w:rPr>
        <w:t>(f)</w:t>
      </w:r>
      <w:r>
        <w:rPr>
          <w:rFonts w:ascii="Arial" w:cs="Arial" w:eastAsia="Arial" w:hAnsi="Arial"/>
          <w:sz w:val="21"/>
          <w:szCs w:val="21"/>
          <w:color w:val="auto"/>
        </w:rPr>
        <w:t xml:space="preserve">, </w:t>
      </w:r>
      <w:r>
        <w:rPr>
          <w:rFonts w:ascii="Arial" w:cs="Arial" w:eastAsia="Arial" w:hAnsi="Arial"/>
          <w:sz w:val="21"/>
          <w:szCs w:val="21"/>
          <w:u w:val="single" w:color="auto"/>
          <w:color w:val="auto"/>
        </w:rPr>
        <w:t>(g)</w:t>
      </w:r>
      <w:r>
        <w:rPr>
          <w:rFonts w:ascii="Arial" w:cs="Arial" w:eastAsia="Arial" w:hAnsi="Arial"/>
          <w:sz w:val="21"/>
          <w:szCs w:val="21"/>
          <w:color w:val="auto"/>
        </w:rPr>
        <w:t xml:space="preserve">, </w:t>
      </w:r>
      <w:r>
        <w:rPr>
          <w:rFonts w:ascii="Arial" w:cs="Arial" w:eastAsia="Arial" w:hAnsi="Arial"/>
          <w:sz w:val="21"/>
          <w:szCs w:val="21"/>
          <w:u w:val="single" w:color="auto"/>
          <w:color w:val="auto"/>
        </w:rPr>
        <w:t>(j)</w:t>
      </w:r>
      <w:r>
        <w:rPr>
          <w:rFonts w:ascii="Arial" w:cs="Arial" w:eastAsia="Arial" w:hAnsi="Arial"/>
          <w:sz w:val="21"/>
          <w:szCs w:val="21"/>
          <w:color w:val="auto"/>
        </w:rPr>
        <w:t xml:space="preserve"> (solely with respect to this Agreement, including </w:t>
      </w:r>
      <w:r>
        <w:rPr>
          <w:rFonts w:ascii="Arial" w:cs="Arial" w:eastAsia="Arial" w:hAnsi="Arial"/>
          <w:sz w:val="21"/>
          <w:szCs w:val="21"/>
          <w:u w:val="single" w:color="auto"/>
          <w:color w:val="auto"/>
        </w:rPr>
        <w:t>Article IX</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(k)</w:t>
      </w:r>
      <w:r>
        <w:rPr>
          <w:rFonts w:ascii="Arial" w:cs="Arial" w:eastAsia="Arial" w:hAnsi="Arial"/>
          <w:sz w:val="21"/>
          <w:szCs w:val="21"/>
          <w:color w:val="auto"/>
        </w:rPr>
        <w:t>.</w:t>
      </w:r>
    </w:p>
    <w:p>
      <w:pPr>
        <w:spacing w:after="0" w:line="155" w:lineRule="exact"/>
        <w:rPr>
          <w:sz w:val="20"/>
          <w:szCs w:val="20"/>
          <w:color w:val="auto"/>
        </w:rPr>
      </w:pPr>
    </w:p>
    <w:p>
      <w:pPr>
        <w:jc w:val="both"/>
        <w:ind w:firstLine="624"/>
        <w:spacing w:after="0" w:line="22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Acquisition</w:t>
      </w:r>
      <w:r>
        <w:rPr>
          <w:rFonts w:ascii="Arial" w:cs="Arial" w:eastAsia="Arial" w:hAnsi="Arial"/>
          <w:sz w:val="21"/>
          <w:szCs w:val="21"/>
          <w:color w:val="auto"/>
        </w:rPr>
        <w:t>” means any Acquisition that involves the payment of non-contingent consideration (including the aggregate principal amount of any Indebtedness that is assumed or refinanced by the Borrower or any Subsidiary concurrent with or following such Acquisition) by the Borrower and its Subsidiaries in excess of $200,000,000 (including the value of any Equity Interests of the Borrower or any of its Subsidiaries used as consideration in such Acquisition). For purposes hereof, any Acquisition that is a Qualified Acquisition shall be deemed to be a Material Acquisition.</w:t>
      </w:r>
    </w:p>
    <w:p>
      <w:pPr>
        <w:spacing w:after="0" w:line="155" w:lineRule="exact"/>
        <w:rPr>
          <w:sz w:val="20"/>
          <w:szCs w:val="20"/>
          <w:color w:val="auto"/>
        </w:rPr>
      </w:pPr>
    </w:p>
    <w:p>
      <w:pPr>
        <w:jc w:val="both"/>
        <w:ind w:firstLine="624"/>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Adverse Effect</w:t>
      </w:r>
      <w:r>
        <w:rPr>
          <w:rFonts w:ascii="Arial" w:cs="Arial" w:eastAsia="Arial" w:hAnsi="Arial"/>
          <w:sz w:val="20"/>
          <w:szCs w:val="20"/>
          <w:color w:val="auto"/>
        </w:rPr>
        <w:t>” means (a) a material adverse change in, or a material adverse effect upon, the business, results of operations or financial condition of the Borrower and its Subsidiaries taken as a whole, (b) a material adverse effect on the ability of any Loan Party to perform its payment Obligations under any Loan Document to which it is a party, or (c) a material adverse effect on the rights and remedies of the Administrative Agent or any Lender under any Loan Document.</w:t>
      </w:r>
    </w:p>
    <w:p>
      <w:pPr>
        <w:spacing w:after="0" w:line="155" w:lineRule="exact"/>
        <w:rPr>
          <w:sz w:val="20"/>
          <w:szCs w:val="20"/>
          <w:color w:val="auto"/>
        </w:rPr>
      </w:pPr>
    </w:p>
    <w:p>
      <w:pPr>
        <w:jc w:val="both"/>
        <w:ind w:firstLine="624"/>
        <w:spacing w:after="0" w:line="23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Disposition</w:t>
      </w:r>
      <w:r>
        <w:rPr>
          <w:rFonts w:ascii="Arial" w:cs="Arial" w:eastAsia="Arial" w:hAnsi="Arial"/>
          <w:sz w:val="20"/>
          <w:szCs w:val="20"/>
          <w:color w:val="auto"/>
        </w:rPr>
        <w:t>” means any Disposition (in a single transaction or series of related transactions) of (a) assets comprising all or substantially all of the assets of any Person, or of all or substantially all or any significant portion of a business or operating unit of a business, division, product line (including rights in respect of any drug or other pharmaceutical product) or line of business of any Person or (b) Equity Interests in any Subsidiary if, as a result thereof, such Subsidiary shall cease to be a Subsidiary, in each case, that involves gross proceeds to Borrower and its Subsidiaries (including as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w:t>
      </w:r>
    </w:p>
    <w:p>
      <w:pPr>
        <w:sectPr>
          <w:pgSz w:w="11900" w:h="16838" w:orient="portrait"/>
          <w:cols w:equalWidth="0" w:num="1">
            <w:col w:w="11240"/>
          </w:cols>
          <w:pgMar w:left="320" w:top="1152" w:right="339" w:bottom="1440" w:gutter="0" w:footer="0" w:header="0"/>
        </w:sectPr>
      </w:pPr>
    </w:p>
    <w:bookmarkStart w:id="164" w:name="page165"/>
    <w:bookmarkEnd w:id="164"/>
    <w:p>
      <w:pPr>
        <w:spacing w:after="0"/>
        <w:rPr>
          <w:sz w:val="20"/>
          <w:szCs w:val="20"/>
          <w:color w:val="auto"/>
        </w:rPr>
      </w:pPr>
      <w:r>
        <w:rPr>
          <w:rFonts w:ascii="Arial" w:cs="Arial" w:eastAsia="Arial" w:hAnsi="Arial"/>
          <w:sz w:val="21"/>
          <w:szCs w:val="21"/>
          <w:color w:val="auto"/>
        </w:rPr>
        <w:t>the aggregate principal amount of any Indebtedness that is assumed by the acquiror) in excess of $200,000,000.</w:t>
      </w:r>
    </w:p>
    <w:p>
      <w:pPr>
        <w:spacing w:after="0" w:line="183" w:lineRule="exact"/>
        <w:rPr>
          <w:sz w:val="20"/>
          <w:szCs w:val="20"/>
          <w:color w:val="auto"/>
        </w:rPr>
      </w:pPr>
    </w:p>
    <w:p>
      <w:pPr>
        <w:jc w:val="both"/>
        <w:ind w:firstLine="624"/>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Indebtedness</w:t>
      </w:r>
      <w:r>
        <w:rPr>
          <w:rFonts w:ascii="Arial" w:cs="Arial" w:eastAsia="Arial" w:hAnsi="Arial"/>
          <w:sz w:val="21"/>
          <w:szCs w:val="21"/>
          <w:color w:val="auto"/>
        </w:rPr>
        <w:t>” means Indebtedness (other than the Obligations) of any one or more of the Borrower and its Subsidiaries in an aggregate principal amount exceeding $75,000,000.</w:t>
      </w:r>
    </w:p>
    <w:p>
      <w:pPr>
        <w:spacing w:after="0" w:line="155" w:lineRule="exact"/>
        <w:rPr>
          <w:sz w:val="20"/>
          <w:szCs w:val="20"/>
          <w:color w:val="auto"/>
        </w:rPr>
      </w:pPr>
    </w:p>
    <w:p>
      <w:pPr>
        <w:jc w:val="both"/>
        <w:ind w:firstLine="624"/>
        <w:spacing w:after="0" w:line="244"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Material Subsidiary</w:t>
      </w:r>
      <w:r>
        <w:rPr>
          <w:rFonts w:ascii="Arial" w:cs="Arial" w:eastAsia="Arial" w:hAnsi="Arial"/>
          <w:sz w:val="19"/>
          <w:szCs w:val="19"/>
          <w:color w:val="auto"/>
        </w:rPr>
        <w:t>” means (a) the Borrower and each Subsidiary Guarantor and (b) each other Domestic Subsidiary, whether existing as of the Effective Date or formed or acquired thereafter (i) the revenues of which, as of the end of any fiscal quarter, for the period of the four fiscal quarters of the Borrower then most recently ended, were equal to or greater than 10% of the consolidated revenues of the Borrower and its Subsidiaries for such period or (ii) the consolidated assets of which, as of the end of any fiscal quarter, were equal to or greater than 10% of the Consolidated Total Assets of the Borrower and its Subsidiaries, in each case, as reflected on the most recent annual or quarterly consolidated financial statements of the Borrower and its Subsidiaries.</w:t>
      </w:r>
    </w:p>
    <w:p>
      <w:pPr>
        <w:spacing w:after="0" w:line="151" w:lineRule="exact"/>
        <w:rPr>
          <w:sz w:val="20"/>
          <w:szCs w:val="20"/>
          <w:color w:val="auto"/>
        </w:rPr>
      </w:pPr>
    </w:p>
    <w:p>
      <w:pPr>
        <w:jc w:val="both"/>
        <w:ind w:firstLine="624"/>
        <w:spacing w:after="0" w:line="239"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Maturity Date</w:t>
      </w:r>
      <w:r>
        <w:rPr>
          <w:rFonts w:ascii="Arial" w:cs="Arial" w:eastAsia="Arial" w:hAnsi="Arial"/>
          <w:sz w:val="21"/>
          <w:szCs w:val="21"/>
          <w:color w:val="auto"/>
        </w:rPr>
        <w:t xml:space="preserve">” means the third anniversary of the Effective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such date is not a Business Day, the Maturity Date shall be the immediately preceding Business Day.</w:t>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Maximum Rate</w:t>
      </w:r>
      <w:r>
        <w:rPr>
          <w:rFonts w:ascii="Arial" w:cs="Arial" w:eastAsia="Arial" w:hAnsi="Arial"/>
          <w:sz w:val="21"/>
          <w:szCs w:val="21"/>
          <w:color w:val="auto"/>
        </w:rPr>
        <w:t>” has the meaning assigned to it in Section 11.09.</w:t>
      </w:r>
    </w:p>
    <w:p>
      <w:pPr>
        <w:spacing w:after="0" w:line="183" w:lineRule="exact"/>
        <w:rPr>
          <w:sz w:val="20"/>
          <w:szCs w:val="20"/>
          <w:color w:val="auto"/>
        </w:rPr>
      </w:pPr>
    </w:p>
    <w:p>
      <w:pPr>
        <w:jc w:val="both"/>
        <w:ind w:firstLine="624"/>
        <w:spacing w:after="0" w:line="23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Milestone Payments</w:t>
      </w:r>
      <w:r>
        <w:rPr>
          <w:rFonts w:ascii="Arial" w:cs="Arial" w:eastAsia="Arial" w:hAnsi="Arial"/>
          <w:sz w:val="20"/>
          <w:szCs w:val="20"/>
          <w:color w:val="auto"/>
        </w:rPr>
        <w:t>” means payments made under contractual arrangements arising in connection with any acquisition (or licensing) of assets (including rights in respect of any drug candidate, drug or other pharmaceutical product) or Equity Interests by the Borrower or any Subsidiary to the sellers (or licensors) of such assets (including rights in respect of any drug candidate, drug or other pharmaceutical product) or Equity Interests acquired (or licensed) under such contractual arrangements based on the achievement of specified revenue, profit or other performance targets (financial or otherwise).</w:t>
      </w:r>
    </w:p>
    <w:p>
      <w:pPr>
        <w:spacing w:after="0" w:line="156" w:lineRule="exact"/>
        <w:rPr>
          <w:sz w:val="20"/>
          <w:szCs w:val="20"/>
          <w:color w:val="auto"/>
        </w:rPr>
      </w:pPr>
    </w:p>
    <w:p>
      <w:pPr>
        <w:jc w:val="both"/>
        <w:ind w:firstLine="624"/>
        <w:spacing w:after="0" w:line="23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MNPI</w:t>
      </w:r>
      <w:r>
        <w:rPr>
          <w:rFonts w:ascii="Arial" w:cs="Arial" w:eastAsia="Arial" w:hAnsi="Arial"/>
          <w:sz w:val="21"/>
          <w:szCs w:val="21"/>
          <w:color w:val="auto"/>
        </w:rPr>
        <w:t>” means material non-public information (within the meaning of the United States federal or state securities Laws or the securities Laws of other applicable jurisdictions) with respect to Borrower or its Subsidiaries, or the respective securities of any of the foregoing.</w:t>
      </w:r>
    </w:p>
    <w:p>
      <w:pPr>
        <w:spacing w:after="0" w:line="154" w:lineRule="exact"/>
        <w:rPr>
          <w:sz w:val="20"/>
          <w:szCs w:val="20"/>
          <w:color w:val="auto"/>
        </w:rPr>
      </w:pPr>
    </w:p>
    <w:p>
      <w:pPr>
        <w:jc w:val="both"/>
        <w:ind w:firstLine="624"/>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Multiemployer Plan</w:t>
      </w:r>
      <w:r>
        <w:rPr>
          <w:rFonts w:ascii="Arial" w:cs="Arial" w:eastAsia="Arial" w:hAnsi="Arial"/>
          <w:sz w:val="21"/>
          <w:szCs w:val="21"/>
          <w:color w:val="auto"/>
        </w:rPr>
        <w:t>” means any employee benefit plan of the type described in Section 4001(a)(3) of ERISA that is subject to Title IV of ERISA and to which Borrower or any ERISA Affiliate makes or is obligated to make contributions.</w:t>
      </w:r>
    </w:p>
    <w:p>
      <w:pPr>
        <w:spacing w:after="0" w:line="155" w:lineRule="exact"/>
        <w:rPr>
          <w:sz w:val="20"/>
          <w:szCs w:val="20"/>
          <w:color w:val="auto"/>
        </w:rPr>
      </w:pPr>
    </w:p>
    <w:p>
      <w:pPr>
        <w:jc w:val="both"/>
        <w:ind w:firstLine="624"/>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Net Worth</w:t>
      </w:r>
      <w:r>
        <w:rPr>
          <w:rFonts w:ascii="Arial" w:cs="Arial" w:eastAsia="Arial" w:hAnsi="Arial"/>
          <w:sz w:val="21"/>
          <w:szCs w:val="21"/>
          <w:color w:val="auto"/>
        </w:rPr>
        <w:t>” means, as at any time, (a) the Consolidated Total Assets at such time less (b) all liabilities of the Borrower and its Subsidiaries at such time, calculated in accordance with GAAP on a consolidated basis.</w:t>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Non-Extension Notice Date</w:t>
      </w:r>
      <w:r>
        <w:rPr>
          <w:rFonts w:ascii="Arial" w:cs="Arial" w:eastAsia="Arial" w:hAnsi="Arial"/>
          <w:sz w:val="21"/>
          <w:szCs w:val="21"/>
          <w:color w:val="auto"/>
        </w:rPr>
        <w:t xml:space="preserve">” has the meaning specified in </w:t>
      </w:r>
      <w:r>
        <w:rPr>
          <w:rFonts w:ascii="Arial" w:cs="Arial" w:eastAsia="Arial" w:hAnsi="Arial"/>
          <w:sz w:val="21"/>
          <w:szCs w:val="21"/>
          <w:u w:val="single" w:color="auto"/>
          <w:color w:val="auto"/>
        </w:rPr>
        <w:t>Section 2.04(b)(iii)</w:t>
      </w:r>
      <w:r>
        <w:rPr>
          <w:rFonts w:ascii="Arial" w:cs="Arial" w:eastAsia="Arial" w:hAnsi="Arial"/>
          <w:sz w:val="21"/>
          <w:szCs w:val="21"/>
          <w:color w:val="auto"/>
        </w:rPr>
        <w:t>.</w:t>
      </w:r>
    </w:p>
    <w:p>
      <w:pPr>
        <w:spacing w:after="0" w:line="183" w:lineRule="exact"/>
        <w:rPr>
          <w:sz w:val="20"/>
          <w:szCs w:val="20"/>
          <w:color w:val="auto"/>
        </w:rPr>
      </w:pPr>
    </w:p>
    <w:p>
      <w:pPr>
        <w:jc w:val="both"/>
        <w:ind w:firstLine="624"/>
        <w:spacing w:after="0" w:line="22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Non-Qualifying Lender</w:t>
      </w:r>
      <w:r>
        <w:rPr>
          <w:rFonts w:ascii="Arial" w:cs="Arial" w:eastAsia="Arial" w:hAnsi="Arial"/>
          <w:sz w:val="21"/>
          <w:szCs w:val="21"/>
          <w:color w:val="auto"/>
        </w:rPr>
        <w:t>” means a Lender that is (a) not a U.S. citizen, (b) not a “resident of a member State of the European Union”, (c) a Disqualified Competitor or (d) a Defaulting Lender. For the avoidance of doubt, any Lender that is a U.S. corporation that is publicly traded, or is a Subsidiary of a publicly traded U.S. corporation, shall not be treated as a Non-Qualifying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26</w:t>
      </w:r>
    </w:p>
    <w:p>
      <w:pPr>
        <w:sectPr>
          <w:pgSz w:w="11900" w:h="16838" w:orient="portrait"/>
          <w:cols w:equalWidth="0" w:num="1">
            <w:col w:w="11240"/>
          </w:cols>
          <w:pgMar w:left="320" w:top="1152" w:right="339" w:bottom="1440" w:gutter="0" w:footer="0" w:header="0"/>
        </w:sectPr>
      </w:pPr>
    </w:p>
    <w:bookmarkStart w:id="165" w:name="page166"/>
    <w:bookmarkEnd w:id="165"/>
    <w:p>
      <w:pPr>
        <w:jc w:val="both"/>
        <w:ind w:firstLine="624"/>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Note</w:t>
      </w:r>
      <w:r>
        <w:rPr>
          <w:rFonts w:ascii="Arial" w:cs="Arial" w:eastAsia="Arial" w:hAnsi="Arial"/>
          <w:sz w:val="21"/>
          <w:szCs w:val="21"/>
          <w:color w:val="auto"/>
        </w:rPr>
        <w:t xml:space="preserve">” means a promissory note made by the Borrower in favor of a Lender evidencing Loans made by such Lender to the Borrower, substantially in the form of </w:t>
      </w:r>
      <w:r>
        <w:rPr>
          <w:rFonts w:ascii="Arial" w:cs="Arial" w:eastAsia="Arial" w:hAnsi="Arial"/>
          <w:sz w:val="21"/>
          <w:szCs w:val="21"/>
          <w:u w:val="single" w:color="auto"/>
          <w:color w:val="auto"/>
        </w:rPr>
        <w:t>Exhibit E</w:t>
      </w:r>
      <w:r>
        <w:rPr>
          <w:rFonts w:ascii="Arial" w:cs="Arial" w:eastAsia="Arial" w:hAnsi="Arial"/>
          <w:sz w:val="21"/>
          <w:szCs w:val="21"/>
          <w:color w:val="auto"/>
        </w:rPr>
        <w:t>.</w:t>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NYFRB</w:t>
      </w:r>
      <w:r>
        <w:rPr>
          <w:rFonts w:ascii="Arial" w:cs="Arial" w:eastAsia="Arial" w:hAnsi="Arial"/>
          <w:sz w:val="21"/>
          <w:szCs w:val="21"/>
          <w:color w:val="auto"/>
        </w:rPr>
        <w:t>” means the Federal Reserve Bank of New York.</w:t>
      </w:r>
    </w:p>
    <w:p>
      <w:pPr>
        <w:spacing w:after="0" w:line="183" w:lineRule="exact"/>
        <w:rPr>
          <w:sz w:val="20"/>
          <w:szCs w:val="20"/>
          <w:color w:val="auto"/>
        </w:rPr>
      </w:pPr>
    </w:p>
    <w:p>
      <w:pPr>
        <w:jc w:val="both"/>
        <w:ind w:firstLine="624"/>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NYFRB Rate</w:t>
      </w:r>
      <w:r>
        <w:rPr>
          <w:rFonts w:ascii="Arial" w:cs="Arial" w:eastAsia="Arial" w:hAnsi="Arial"/>
          <w:sz w:val="19"/>
          <w:szCs w:val="19"/>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none of such rates are published for any day that is a Business Day, the term “NYFRB Rate” means the rate for a federal funds transaction quoted at 11:00 a.m., New York City time, on such day received by the Administrative Agent from a federal funds broker of recognized standing selected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any of the aforesaid rates as so determined would be less than zero, such rate shall be deemed to be zero for purposes of this Agreement.</w:t>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NYFRB’s Website</w:t>
      </w:r>
      <w:r>
        <w:rPr>
          <w:rFonts w:ascii="Arial" w:cs="Arial" w:eastAsia="Arial" w:hAnsi="Arial"/>
          <w:sz w:val="21"/>
          <w:szCs w:val="21"/>
          <w:color w:val="auto"/>
        </w:rPr>
        <w:t>” means the website of the NYFRB at http://www.newyorkfed.org, or any successor source.</w:t>
      </w:r>
    </w:p>
    <w:p>
      <w:pPr>
        <w:spacing w:after="0" w:line="183" w:lineRule="exact"/>
        <w:rPr>
          <w:sz w:val="20"/>
          <w:szCs w:val="20"/>
          <w:color w:val="auto"/>
        </w:rPr>
      </w:pPr>
    </w:p>
    <w:p>
      <w:pPr>
        <w:jc w:val="both"/>
        <w:ind w:firstLine="624"/>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Obligations</w:t>
      </w:r>
      <w:r>
        <w:rPr>
          <w:rFonts w:ascii="Arial" w:cs="Arial" w:eastAsia="Arial" w:hAnsi="Arial"/>
          <w:sz w:val="19"/>
          <w:szCs w:val="19"/>
          <w:color w:val="auto"/>
        </w:rPr>
        <w:t>” means (a) the due and punctual payment by the Borrower of (i) the principal of and interest (including interest accruing during the pendency of any proceeding under any Debtor Relief Laws, regardless of whether allowed or allowable in such proceeding) on the Loans, when and as due, whether at maturity, by acceleration, upon one or more dates set for prepayment or otherwise, (ii) each payment required to be made by the Borrower in respect of any Letter of Credit, when and as due, including payments in respect of reimbursement of disbursements and interest thereon, and (iii) all other monetary obligations of the Borrower under this Agreement and each of the other Loan Documents, including obligations to pay fees, expense reimbursement obligations and indemnification obligations, whether primary, secondary, direct, indirect (including those acquired by assumption), absolute or contingent, due or to become due, now existing or hereafter arising (including monetary obligations incurred during the pendency of any proceeding under any Debtor Relief Laws, regardless of whether allowed or allowable in such proceeding) and obligations to provide Cash Collateral with respect to Letters of Credit and (b) all other debts, liabilities, obligations, covenants and duties of any Loan Party arising under this Agreement or any other Loan Document, whether primary, secondary, direct, indirect (including those acquired by assumption), absolute or contingent, due or to become due, now existing or hereafter arising (including all such debts, liabilities, obligations, covenants and duties incurred during the pendency of any proceeding under any Debtor Relief Laws, regardless of whether allowed or allowable in such proceeding).</w:t>
      </w:r>
    </w:p>
    <w:p>
      <w:pPr>
        <w:spacing w:after="0" w:line="15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Obligations Guarantee</w:t>
      </w:r>
      <w:r>
        <w:rPr>
          <w:rFonts w:ascii="Arial" w:cs="Arial" w:eastAsia="Arial" w:hAnsi="Arial"/>
          <w:sz w:val="21"/>
          <w:szCs w:val="21"/>
          <w:color w:val="auto"/>
        </w:rPr>
        <w:t xml:space="preserve">” means the Guarantee of the Guarantors contained in </w:t>
      </w:r>
      <w:r>
        <w:rPr>
          <w:rFonts w:ascii="Arial" w:cs="Arial" w:eastAsia="Arial" w:hAnsi="Arial"/>
          <w:sz w:val="21"/>
          <w:szCs w:val="21"/>
          <w:u w:val="single" w:color="auto"/>
          <w:color w:val="auto"/>
        </w:rPr>
        <w:t>Article IX</w:t>
      </w:r>
      <w:r>
        <w:rPr>
          <w:rFonts w:ascii="Arial" w:cs="Arial" w:eastAsia="Arial" w:hAnsi="Arial"/>
          <w:sz w:val="21"/>
          <w:szCs w:val="21"/>
          <w:color w:val="auto"/>
        </w:rPr>
        <w:t>.</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OFAC</w:t>
      </w:r>
      <w:r>
        <w:rPr>
          <w:rFonts w:ascii="Arial" w:cs="Arial" w:eastAsia="Arial" w:hAnsi="Arial"/>
          <w:sz w:val="21"/>
          <w:szCs w:val="21"/>
          <w:color w:val="auto"/>
        </w:rPr>
        <w:t>” means the Office of Foreign Assets Control of the U.S. Department of Treasury.</w:t>
      </w:r>
    </w:p>
    <w:p>
      <w:pPr>
        <w:spacing w:after="0" w:line="183" w:lineRule="exact"/>
        <w:rPr>
          <w:sz w:val="20"/>
          <w:szCs w:val="20"/>
          <w:color w:val="auto"/>
        </w:rPr>
      </w:pPr>
    </w:p>
    <w:p>
      <w:pPr>
        <w:jc w:val="both"/>
        <w:ind w:firstLine="624"/>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Organization Documents</w:t>
      </w:r>
      <w:r>
        <w:rPr>
          <w:rFonts w:ascii="Arial" w:cs="Arial" w:eastAsia="Arial" w:hAnsi="Arial"/>
          <w:sz w:val="19"/>
          <w:szCs w:val="19"/>
          <w:color w:val="auto"/>
        </w:rPr>
        <w:t>” means (a) with respect to any corporation, the certificate or articles of incorporation and the bylaws, (b) with respect to any limited liability company, the certificate or articles of formation, association or organization (or analogous constitutional documents) and operating agreement, and (c) with respect to any partnership, joint venture, trust or other form of business entity, the partnership, joint venture or other applicable agreement of formation or organization and any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27</w:t>
      </w:r>
    </w:p>
    <w:p>
      <w:pPr>
        <w:sectPr>
          <w:pgSz w:w="11900" w:h="16838" w:orient="portrait"/>
          <w:cols w:equalWidth="0" w:num="1">
            <w:col w:w="11240"/>
          </w:cols>
          <w:pgMar w:left="320" w:top="1152" w:right="339" w:bottom="1440" w:gutter="0" w:footer="0" w:header="0"/>
        </w:sectPr>
      </w:pPr>
    </w:p>
    <w:bookmarkStart w:id="166" w:name="page167"/>
    <w:bookmarkEnd w:id="166"/>
    <w:p>
      <w:pPr>
        <w:jc w:val="both"/>
        <w:spacing w:after="0" w:line="230" w:lineRule="auto"/>
        <w:rPr>
          <w:sz w:val="20"/>
          <w:szCs w:val="20"/>
          <w:color w:val="auto"/>
        </w:rPr>
      </w:pPr>
      <w:r>
        <w:rPr>
          <w:rFonts w:ascii="Arial" w:cs="Arial" w:eastAsia="Arial" w:hAnsi="Arial"/>
          <w:sz w:val="21"/>
          <w:szCs w:val="21"/>
          <w:color w:val="auto"/>
        </w:rPr>
        <w:t>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54" w:lineRule="exact"/>
        <w:rPr>
          <w:sz w:val="20"/>
          <w:szCs w:val="20"/>
          <w:color w:val="auto"/>
        </w:rPr>
      </w:pPr>
    </w:p>
    <w:p>
      <w:pPr>
        <w:jc w:val="both"/>
        <w:ind w:firstLine="624"/>
        <w:spacing w:after="0" w:line="23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Other Connection Taxes</w:t>
      </w:r>
      <w:r>
        <w:rPr>
          <w:rFonts w:ascii="Arial" w:cs="Arial" w:eastAsia="Arial" w:hAnsi="Arial"/>
          <w:sz w:val="21"/>
          <w:szCs w:val="21"/>
          <w:color w:val="auto"/>
        </w:rPr>
        <w:t>” means, with respect to any recipient, Taxes imposed by any jurisdiction with which such recipient has a present or former connection (other than on account of the execution, delivery, performance, filing, recording and enforcement of, and the other activities contemplated in, this Agreement).</w:t>
      </w:r>
    </w:p>
    <w:p>
      <w:pPr>
        <w:spacing w:after="0" w:line="154" w:lineRule="exact"/>
        <w:rPr>
          <w:sz w:val="20"/>
          <w:szCs w:val="20"/>
          <w:color w:val="auto"/>
        </w:rPr>
      </w:pPr>
    </w:p>
    <w:p>
      <w:pPr>
        <w:jc w:val="both"/>
        <w:ind w:firstLine="624"/>
        <w:spacing w:after="0" w:line="22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Other Taxes</w:t>
      </w:r>
      <w:r>
        <w:rPr>
          <w:rFonts w:ascii="Arial" w:cs="Arial" w:eastAsia="Arial" w:hAnsi="Arial"/>
          <w:sz w:val="21"/>
          <w:szCs w:val="21"/>
          <w:color w:val="auto"/>
        </w:rPr>
        <w:t>” means all present or future stamp or documentary Taxes or any other excise or property Taxes, charges or similar levies arising from any payment made hereunder or under any other Loan Document or from the execution, delivery, registration, performance or enforcement of, or otherwise with respect to, this Agreement or any other Loan Document, except any such Taxes that are Other Connection Taxes imposed with respect to an assignment (other than pursuant to an assignment request by the Borrower under Section 11.13).</w:t>
      </w:r>
    </w:p>
    <w:p>
      <w:pPr>
        <w:spacing w:after="0" w:line="155" w:lineRule="exact"/>
        <w:rPr>
          <w:sz w:val="20"/>
          <w:szCs w:val="20"/>
          <w:color w:val="auto"/>
        </w:rPr>
      </w:pPr>
    </w:p>
    <w:p>
      <w:pPr>
        <w:jc w:val="both"/>
        <w:ind w:firstLine="624"/>
        <w:spacing w:after="0" w:line="21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Outstanding Amount</w:t>
      </w:r>
      <w:r>
        <w:rPr>
          <w:rFonts w:ascii="Arial" w:cs="Arial" w:eastAsia="Arial" w:hAnsi="Arial"/>
          <w:sz w:val="21"/>
          <w:szCs w:val="21"/>
          <w:color w:val="auto"/>
        </w:rPr>
        <w:t>” means (a) with respect to Committed Loans on any date, the sum of the US Dollar Equivalents of the outstanding principal amounts thereof after giving effect to any borrowings and prepayments or repayments of such Committed Loans occurring on such date, (b) with respect to Bid Loans on any date, the sum of the US Dollar Equivalents of the outstanding principal amounts thereof after giving effect to any borrowings and prepayments or repayments of such Bid Loans occurring on such date, and (c) with respect to any L/C Obligations on any date, the sum of the US Dollar Equivalents of the outstanding amounts of such L/C Obligations on such date after giving effect to any L/C Credit Extension occurring on such date and any other changes in the aggregate amount of the L/C Obligations as of such date, including as a result of any reimbursements by the Borrower of Unreimbursed Amounts.</w:t>
      </w:r>
    </w:p>
    <w:p>
      <w:pPr>
        <w:spacing w:after="0" w:line="153" w:lineRule="exact"/>
        <w:rPr>
          <w:sz w:val="20"/>
          <w:szCs w:val="20"/>
          <w:color w:val="auto"/>
        </w:rPr>
      </w:pPr>
    </w:p>
    <w:p>
      <w:pPr>
        <w:jc w:val="both"/>
        <w:ind w:firstLine="624"/>
        <w:spacing w:after="0" w:line="23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Overnight Bank Funding Rate</w:t>
      </w:r>
      <w:r>
        <w:rPr>
          <w:rFonts w:ascii="Arial" w:cs="Arial" w:eastAsia="Arial" w:hAnsi="Arial"/>
          <w:sz w:val="20"/>
          <w:szCs w:val="20"/>
          <w:color w:val="auto"/>
        </w:rPr>
        <w:t xml:space="preserve">” means, for any day, the rate comprised of both overnight federal funds and overnight </w:t>
      </w:r>
      <w:r>
        <w:rPr>
          <w:rFonts w:ascii="Arial" w:cs="Arial" w:eastAsia="Arial" w:hAnsi="Arial"/>
          <w:sz w:val="20"/>
          <w:szCs w:val="20"/>
          <w:b w:val="1"/>
          <w:bCs w:val="1"/>
          <w:color w:val="FF0000"/>
          <w:strike w:val="1"/>
        </w:rPr>
        <w:t>Eurodollar borrowings</w:t>
      </w:r>
      <w:r>
        <w:rPr>
          <w:rFonts w:ascii="Arial" w:cs="Arial" w:eastAsia="Arial" w:hAnsi="Arial"/>
          <w:sz w:val="20"/>
          <w:szCs w:val="20"/>
          <w:b w:val="1"/>
          <w:bCs w:val="1"/>
          <w:color w:val="FF0000"/>
        </w:rPr>
        <w:t xml:space="preserve"> </w:t>
      </w:r>
      <w:r>
        <w:rPr>
          <w:rFonts w:ascii="Arial" w:cs="Arial" w:eastAsia="Arial" w:hAnsi="Arial"/>
          <w:sz w:val="20"/>
          <w:szCs w:val="20"/>
          <w:b w:val="1"/>
          <w:bCs w:val="1"/>
          <w:u w:val="single" w:color="auto"/>
          <w:color w:val="0000FF"/>
        </w:rPr>
        <w:t>eurodollar transactions denominated in Dollars</w:t>
      </w:r>
      <w:r>
        <w:rPr>
          <w:rFonts w:ascii="Arial" w:cs="Arial" w:eastAsia="Arial" w:hAnsi="Arial"/>
          <w:sz w:val="20"/>
          <w:szCs w:val="20"/>
          <w:b w:val="1"/>
          <w:bCs w:val="1"/>
          <w:color w:val="FF0000"/>
        </w:rPr>
        <w:t xml:space="preserve"> </w:t>
      </w:r>
      <w:r>
        <w:rPr>
          <w:rFonts w:ascii="Arial" w:cs="Arial" w:eastAsia="Arial" w:hAnsi="Arial"/>
          <w:sz w:val="20"/>
          <w:szCs w:val="20"/>
          <w:color w:val="000000"/>
        </w:rPr>
        <w:t>by U.S.–managed banking offices of depository</w:t>
      </w:r>
      <w:r>
        <w:rPr>
          <w:rFonts w:ascii="Arial" w:cs="Arial" w:eastAsia="Arial" w:hAnsi="Arial"/>
          <w:sz w:val="20"/>
          <w:szCs w:val="20"/>
          <w:b w:val="1"/>
          <w:bCs w:val="1"/>
          <w:color w:val="FF0000"/>
        </w:rPr>
        <w:t xml:space="preserve"> </w:t>
      </w:r>
      <w:r>
        <w:rPr>
          <w:rFonts w:ascii="Arial" w:cs="Arial" w:eastAsia="Arial" w:hAnsi="Arial"/>
          <w:sz w:val="20"/>
          <w:szCs w:val="20"/>
          <w:color w:val="000000"/>
        </w:rPr>
        <w:t xml:space="preserve">institutions (as such composite rate shall be determined by the NYFRB as set forth on the NYFRB’s Website from time to time) and published on the next succeeding Business Day by the NYFRB as an overnight bank funding rate; </w:t>
      </w:r>
      <w:r>
        <w:rPr>
          <w:rFonts w:ascii="Arial" w:cs="Arial" w:eastAsia="Arial" w:hAnsi="Arial"/>
          <w:sz w:val="20"/>
          <w:szCs w:val="20"/>
          <w:u w:val="single" w:color="auto"/>
          <w:color w:val="000000"/>
        </w:rPr>
        <w:t>provided</w:t>
      </w:r>
      <w:r>
        <w:rPr>
          <w:rFonts w:ascii="Arial" w:cs="Arial" w:eastAsia="Arial" w:hAnsi="Arial"/>
          <w:sz w:val="20"/>
          <w:szCs w:val="20"/>
          <w:color w:val="000000"/>
        </w:rPr>
        <w:t xml:space="preserve"> that if such rate as so determined would be less than zero, such rate shall be deemed to be zero for purposes of this Agreement.</w:t>
      </w:r>
    </w:p>
    <w:p>
      <w:pPr>
        <w:spacing w:after="0" w:line="156" w:lineRule="exact"/>
        <w:rPr>
          <w:sz w:val="20"/>
          <w:szCs w:val="20"/>
          <w:color w:val="auto"/>
        </w:rPr>
      </w:pPr>
    </w:p>
    <w:p>
      <w:pPr>
        <w:jc w:val="both"/>
        <w:ind w:firstLine="624"/>
        <w:spacing w:after="0" w:line="22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Overnight Rate</w:t>
      </w:r>
      <w:r>
        <w:rPr>
          <w:rFonts w:ascii="Arial" w:cs="Arial" w:eastAsia="Arial" w:hAnsi="Arial"/>
          <w:sz w:val="21"/>
          <w:szCs w:val="21"/>
          <w:color w:val="auto"/>
        </w:rPr>
        <w:t>” means, for any day, (a) with respect to any amount denominated in US Dollars, the NYFRB Rate, and (b) with respect to any amount denominated in an Alternative Currency or a Discretionary Alternative Currency, an overnight rate reasonably determined by the Administrative Agent or the applicable L/C Issuer, as the case may be, in accordance with banking industry rules on interbank compensation.</w:t>
      </w:r>
    </w:p>
    <w:p>
      <w:pPr>
        <w:spacing w:after="0" w:line="15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Participant</w:t>
      </w:r>
      <w:r>
        <w:rPr>
          <w:rFonts w:ascii="Arial" w:cs="Arial" w:eastAsia="Arial" w:hAnsi="Arial"/>
          <w:sz w:val="21"/>
          <w:szCs w:val="21"/>
          <w:color w:val="auto"/>
        </w:rPr>
        <w:t xml:space="preserve">” has the meaning specified in </w:t>
      </w:r>
      <w:r>
        <w:rPr>
          <w:rFonts w:ascii="Arial" w:cs="Arial" w:eastAsia="Arial" w:hAnsi="Arial"/>
          <w:sz w:val="21"/>
          <w:szCs w:val="21"/>
          <w:u w:val="single" w:color="auto"/>
          <w:color w:val="auto"/>
        </w:rPr>
        <w:t>Section 11.06(e)</w:t>
      </w:r>
      <w:r>
        <w:rPr>
          <w:rFonts w:ascii="Arial" w:cs="Arial" w:eastAsia="Arial" w:hAnsi="Arial"/>
          <w:sz w:val="21"/>
          <w:szCs w:val="21"/>
          <w:color w:val="auto"/>
        </w:rPr>
        <w:t>.</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Participant Register</w:t>
      </w:r>
      <w:r>
        <w:rPr>
          <w:rFonts w:ascii="Arial" w:cs="Arial" w:eastAsia="Arial" w:hAnsi="Arial"/>
          <w:sz w:val="21"/>
          <w:szCs w:val="21"/>
          <w:color w:val="auto"/>
        </w:rPr>
        <w:t xml:space="preserve">” has the meaning specified in </w:t>
      </w:r>
      <w:r>
        <w:rPr>
          <w:rFonts w:ascii="Arial" w:cs="Arial" w:eastAsia="Arial" w:hAnsi="Arial"/>
          <w:sz w:val="21"/>
          <w:szCs w:val="21"/>
          <w:u w:val="single" w:color="auto"/>
          <w:color w:val="auto"/>
        </w:rPr>
        <w:t>Section 11.06(e)</w:t>
      </w:r>
      <w:r>
        <w:rPr>
          <w:rFonts w:ascii="Arial" w:cs="Arial" w:eastAsia="Arial" w:hAnsi="Arial"/>
          <w:sz w:val="21"/>
          <w:szCs w:val="21"/>
          <w:color w:val="auto"/>
        </w:rPr>
        <w:t>.</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Patriot Act</w:t>
      </w:r>
      <w:r>
        <w:rPr>
          <w:rFonts w:ascii="Arial" w:cs="Arial" w:eastAsia="Arial" w:hAnsi="Arial"/>
          <w:sz w:val="21"/>
          <w:szCs w:val="21"/>
          <w:color w:val="auto"/>
        </w:rPr>
        <w:t>” means the USA PATRIOT Act (Title III of Pub. L. 107-56 (signed into law October 26, 2001)).</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Payment</w:t>
      </w:r>
      <w:r>
        <w:rPr>
          <w:rFonts w:ascii="Arial" w:cs="Arial" w:eastAsia="Arial" w:hAnsi="Arial"/>
          <w:sz w:val="21"/>
          <w:szCs w:val="21"/>
          <w:color w:val="auto"/>
        </w:rPr>
        <w:t xml:space="preserve">” has the meaning specified in </w:t>
      </w:r>
      <w:r>
        <w:rPr>
          <w:rFonts w:ascii="Arial" w:cs="Arial" w:eastAsia="Arial" w:hAnsi="Arial"/>
          <w:sz w:val="21"/>
          <w:szCs w:val="21"/>
          <w:u w:val="single" w:color="auto"/>
          <w:color w:val="auto"/>
        </w:rPr>
        <w:t>Section 11.21</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28</w:t>
      </w:r>
    </w:p>
    <w:p>
      <w:pPr>
        <w:sectPr>
          <w:pgSz w:w="11900" w:h="16838" w:orient="portrait"/>
          <w:cols w:equalWidth="0" w:num="1">
            <w:col w:w="11240"/>
          </w:cols>
          <w:pgMar w:left="320" w:top="1152" w:right="339" w:bottom="1440" w:gutter="0" w:footer="0" w:header="0"/>
        </w:sectPr>
      </w:pPr>
    </w:p>
    <w:bookmarkStart w:id="167" w:name="page168"/>
    <w:bookmarkEnd w:id="167"/>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Payment Notice</w:t>
      </w:r>
      <w:r>
        <w:rPr>
          <w:rFonts w:ascii="Arial" w:cs="Arial" w:eastAsia="Arial" w:hAnsi="Arial"/>
          <w:sz w:val="21"/>
          <w:szCs w:val="21"/>
          <w:color w:val="auto"/>
        </w:rPr>
        <w:t xml:space="preserve">” has the meaning specified in </w:t>
      </w:r>
      <w:r>
        <w:rPr>
          <w:rFonts w:ascii="Arial" w:cs="Arial" w:eastAsia="Arial" w:hAnsi="Arial"/>
          <w:sz w:val="21"/>
          <w:szCs w:val="21"/>
          <w:u w:val="single" w:color="auto"/>
          <w:color w:val="auto"/>
        </w:rPr>
        <w:t>Section 11.21</w:t>
      </w:r>
      <w:r>
        <w:rPr>
          <w:rFonts w:ascii="Arial" w:cs="Arial" w:eastAsia="Arial" w:hAnsi="Arial"/>
          <w:sz w:val="21"/>
          <w:szCs w:val="21"/>
          <w:color w:val="auto"/>
        </w:rPr>
        <w:t>.</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PBGC</w:t>
      </w:r>
      <w:r>
        <w:rPr>
          <w:rFonts w:ascii="Arial" w:cs="Arial" w:eastAsia="Arial" w:hAnsi="Arial"/>
          <w:sz w:val="21"/>
          <w:szCs w:val="21"/>
          <w:color w:val="auto"/>
        </w:rPr>
        <w:t>” means the Pension Benefit Guaranty Corporation referred to and defined in ERISA.</w:t>
      </w:r>
    </w:p>
    <w:p>
      <w:pPr>
        <w:spacing w:after="0" w:line="183" w:lineRule="exact"/>
        <w:rPr>
          <w:sz w:val="20"/>
          <w:szCs w:val="20"/>
          <w:color w:val="auto"/>
        </w:rPr>
      </w:pPr>
    </w:p>
    <w:p>
      <w:pPr>
        <w:jc w:val="both"/>
        <w:ind w:firstLine="624"/>
        <w:spacing w:after="0" w:line="23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Pension Plan</w:t>
      </w:r>
      <w:r>
        <w:rPr>
          <w:rFonts w:ascii="Arial" w:cs="Arial" w:eastAsia="Arial" w:hAnsi="Arial"/>
          <w:sz w:val="21"/>
          <w:szCs w:val="21"/>
          <w:color w:val="auto"/>
        </w:rPr>
        <w:t>” means any “employee pension benefit plan” (as such term is defined in Section 3(2) of ERISA), other than a Multiemployer Plan, that is subject to Title IV of ERISA and is sponsored or maintained by the Borrower or any ERISA Affiliate or to which Borrower or any ERISA Affiliate has an obligation to contribute.</w:t>
      </w:r>
    </w:p>
    <w:p>
      <w:pPr>
        <w:spacing w:after="0" w:line="154"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Encumbrances</w:t>
      </w:r>
      <w:r>
        <w:rPr>
          <w:rFonts w:ascii="Arial" w:cs="Arial" w:eastAsia="Arial" w:hAnsi="Arial"/>
          <w:sz w:val="21"/>
          <w:szCs w:val="21"/>
          <w:color w:val="auto"/>
        </w:rPr>
        <w:t>” means:</w:t>
      </w:r>
    </w:p>
    <w:p>
      <w:pPr>
        <w:spacing w:after="0" w:line="183" w:lineRule="exact"/>
        <w:rPr>
          <w:sz w:val="20"/>
          <w:szCs w:val="20"/>
          <w:color w:val="auto"/>
        </w:rPr>
      </w:pPr>
    </w:p>
    <w:p>
      <w:pPr>
        <w:ind w:left="640" w:firstLine="638"/>
        <w:spacing w:after="0" w:line="263" w:lineRule="auto"/>
        <w:tabs>
          <w:tab w:leader="none" w:pos="1775" w:val="left"/>
        </w:tabs>
        <w:numPr>
          <w:ilvl w:val="0"/>
          <w:numId w:val="109"/>
        </w:numPr>
        <w:rPr>
          <w:rFonts w:ascii="Arial" w:cs="Arial" w:eastAsia="Arial" w:hAnsi="Arial"/>
          <w:sz w:val="20"/>
          <w:szCs w:val="20"/>
          <w:color w:val="auto"/>
        </w:rPr>
      </w:pPr>
      <w:r>
        <w:rPr>
          <w:rFonts w:ascii="Arial" w:cs="Arial" w:eastAsia="Arial" w:hAnsi="Arial"/>
          <w:sz w:val="20"/>
          <w:szCs w:val="20"/>
          <w:color w:val="auto"/>
        </w:rPr>
        <w:t>Liens imposed by law for Taxes that have not yet been paid (to the extent such non-payment does not violate Section 6.03) or that are being contested in compliance with Section 6.03 and Liens for unpaid utility charges;</w:t>
      </w:r>
    </w:p>
    <w:p>
      <w:pPr>
        <w:spacing w:after="0" w:line="131" w:lineRule="exact"/>
        <w:rPr>
          <w:rFonts w:ascii="Arial" w:cs="Arial" w:eastAsia="Arial" w:hAnsi="Arial"/>
          <w:sz w:val="20"/>
          <w:szCs w:val="20"/>
          <w:color w:val="auto"/>
        </w:rPr>
      </w:pPr>
    </w:p>
    <w:p>
      <w:pPr>
        <w:jc w:val="both"/>
        <w:ind w:left="640" w:firstLine="638"/>
        <w:spacing w:after="0" w:line="230" w:lineRule="auto"/>
        <w:tabs>
          <w:tab w:leader="none" w:pos="1756" w:val="left"/>
        </w:tabs>
        <w:numPr>
          <w:ilvl w:val="0"/>
          <w:numId w:val="109"/>
        </w:numPr>
        <w:rPr>
          <w:rFonts w:ascii="Arial" w:cs="Arial" w:eastAsia="Arial" w:hAnsi="Arial"/>
          <w:sz w:val="21"/>
          <w:szCs w:val="21"/>
          <w:color w:val="auto"/>
        </w:rPr>
      </w:pPr>
      <w:r>
        <w:rPr>
          <w:rFonts w:ascii="Arial" w:cs="Arial" w:eastAsia="Arial" w:hAnsi="Arial"/>
          <w:sz w:val="21"/>
          <w:szCs w:val="21"/>
          <w:color w:val="auto"/>
        </w:rPr>
        <w:t>carriers’, warehousemen’s, mechanics’, materialmen’s, repairmen’s, supplier’s and other like Liens imposed by law, arising in the ordinary course of business and securing obligations that are not overdue by more than sixty (60) days or are being contested in compliance with Section 6.03;</w:t>
      </w:r>
    </w:p>
    <w:p>
      <w:pPr>
        <w:spacing w:after="0" w:line="153" w:lineRule="exact"/>
        <w:rPr>
          <w:rFonts w:ascii="Arial" w:cs="Arial" w:eastAsia="Arial" w:hAnsi="Arial"/>
          <w:sz w:val="21"/>
          <w:szCs w:val="21"/>
          <w:color w:val="auto"/>
        </w:rPr>
      </w:pPr>
    </w:p>
    <w:p>
      <w:pPr>
        <w:jc w:val="both"/>
        <w:ind w:left="640" w:firstLine="638"/>
        <w:spacing w:after="0" w:line="225" w:lineRule="auto"/>
        <w:tabs>
          <w:tab w:leader="none" w:pos="1865" w:val="left"/>
        </w:tabs>
        <w:numPr>
          <w:ilvl w:val="0"/>
          <w:numId w:val="109"/>
        </w:numPr>
        <w:rPr>
          <w:rFonts w:ascii="Arial" w:cs="Arial" w:eastAsia="Arial" w:hAnsi="Arial"/>
          <w:sz w:val="21"/>
          <w:szCs w:val="21"/>
          <w:color w:val="auto"/>
        </w:rPr>
      </w:pPr>
      <w:r>
        <w:rPr>
          <w:rFonts w:ascii="Arial" w:cs="Arial" w:eastAsia="Arial" w:hAnsi="Arial"/>
          <w:sz w:val="21"/>
          <w:szCs w:val="21"/>
          <w:color w:val="auto"/>
        </w:rPr>
        <w:t>pledges and deposits made in the ordinary course of business in connection with workers’ compensation, unemployment insurance and other social security or retirement benefits laws, to secure liability to insurance carriers under insurance of self-insurance arrangements or regulations or employment laws or to secure other public, statutory or regulatory regulations;</w:t>
      </w:r>
    </w:p>
    <w:p>
      <w:pPr>
        <w:spacing w:after="0" w:line="154" w:lineRule="exact"/>
        <w:rPr>
          <w:rFonts w:ascii="Arial" w:cs="Arial" w:eastAsia="Arial" w:hAnsi="Arial"/>
          <w:sz w:val="21"/>
          <w:szCs w:val="21"/>
          <w:color w:val="auto"/>
        </w:rPr>
      </w:pPr>
    </w:p>
    <w:p>
      <w:pPr>
        <w:jc w:val="both"/>
        <w:ind w:left="640" w:firstLine="638"/>
        <w:spacing w:after="0" w:line="252" w:lineRule="auto"/>
        <w:tabs>
          <w:tab w:leader="none" w:pos="1762" w:val="left"/>
        </w:tabs>
        <w:numPr>
          <w:ilvl w:val="0"/>
          <w:numId w:val="109"/>
        </w:numPr>
        <w:rPr>
          <w:rFonts w:ascii="Arial" w:cs="Arial" w:eastAsia="Arial" w:hAnsi="Arial"/>
          <w:sz w:val="19"/>
          <w:szCs w:val="19"/>
          <w:color w:val="auto"/>
        </w:rPr>
      </w:pPr>
      <w:r>
        <w:rPr>
          <w:rFonts w:ascii="Arial" w:cs="Arial" w:eastAsia="Arial" w:hAnsi="Arial"/>
          <w:sz w:val="19"/>
          <w:szCs w:val="19"/>
          <w:color w:val="auto"/>
        </w:rPr>
        <w:t>pledges and deposits to secure the performance of bids, trade contracts, government contracts, leases, statutory obligations, customer deposit and advances, company credit cards, travel cards and other employee credit card programs, surety, customs and appeal bonds, performance and completion bonds and other obligations of a like nature, in each case in the ordinary course of business, and Liens to secure letters of credit or bank guarantees supporting any of the foregoing;</w:t>
      </w:r>
    </w:p>
    <w:p>
      <w:pPr>
        <w:spacing w:after="0" w:line="142" w:lineRule="exact"/>
        <w:rPr>
          <w:rFonts w:ascii="Arial" w:cs="Arial" w:eastAsia="Arial" w:hAnsi="Arial"/>
          <w:sz w:val="19"/>
          <w:szCs w:val="19"/>
          <w:color w:val="auto"/>
        </w:rPr>
      </w:pPr>
    </w:p>
    <w:p>
      <w:pPr>
        <w:ind w:left="640" w:firstLine="638"/>
        <w:spacing w:after="0" w:line="239" w:lineRule="auto"/>
        <w:tabs>
          <w:tab w:leader="none" w:pos="1813" w:val="left"/>
        </w:tabs>
        <w:numPr>
          <w:ilvl w:val="0"/>
          <w:numId w:val="109"/>
        </w:numPr>
        <w:rPr>
          <w:rFonts w:ascii="Arial" w:cs="Arial" w:eastAsia="Arial" w:hAnsi="Arial"/>
          <w:sz w:val="21"/>
          <w:szCs w:val="21"/>
          <w:color w:val="auto"/>
        </w:rPr>
      </w:pPr>
      <w:r>
        <w:rPr>
          <w:rFonts w:ascii="Arial" w:cs="Arial" w:eastAsia="Arial" w:hAnsi="Arial"/>
          <w:sz w:val="21"/>
          <w:szCs w:val="21"/>
          <w:color w:val="auto"/>
        </w:rPr>
        <w:t>judgment Liens in respect of judgments that do not constitute an Event of Default under Section 8.01(h) or Liens securing appeal or surety bonds related to such judgments;</w:t>
      </w:r>
    </w:p>
    <w:p>
      <w:pPr>
        <w:spacing w:after="0" w:line="155" w:lineRule="exact"/>
        <w:rPr>
          <w:rFonts w:ascii="Arial" w:cs="Arial" w:eastAsia="Arial" w:hAnsi="Arial"/>
          <w:sz w:val="21"/>
          <w:szCs w:val="21"/>
          <w:color w:val="auto"/>
        </w:rPr>
      </w:pPr>
    </w:p>
    <w:p>
      <w:pPr>
        <w:jc w:val="both"/>
        <w:ind w:left="640" w:firstLine="638"/>
        <w:spacing w:after="0" w:line="225" w:lineRule="auto"/>
        <w:tabs>
          <w:tab w:leader="none" w:pos="1765" w:val="left"/>
        </w:tabs>
        <w:numPr>
          <w:ilvl w:val="0"/>
          <w:numId w:val="109"/>
        </w:numPr>
        <w:rPr>
          <w:rFonts w:ascii="Arial" w:cs="Arial" w:eastAsia="Arial" w:hAnsi="Arial"/>
          <w:sz w:val="21"/>
          <w:szCs w:val="21"/>
          <w:color w:val="auto"/>
        </w:rPr>
      </w:pPr>
      <w:r>
        <w:rPr>
          <w:rFonts w:ascii="Arial" w:cs="Arial" w:eastAsia="Arial" w:hAnsi="Arial"/>
          <w:sz w:val="21"/>
          <w:szCs w:val="21"/>
          <w:color w:val="auto"/>
        </w:rPr>
        <w:t>easements, zoning restrictions, rights-of-way and similar charges or encumbrances on real property imposed by law or arising in the ordinary course of business that do not secure any monetary obligations and do not materially detract from the value of the affected property or materially interfere with the ordinary conduct of business of the Borrower and its Subsidiaries, taken as a whole;</w:t>
      </w:r>
    </w:p>
    <w:p>
      <w:pPr>
        <w:spacing w:after="0" w:line="154" w:lineRule="exact"/>
        <w:rPr>
          <w:rFonts w:ascii="Arial" w:cs="Arial" w:eastAsia="Arial" w:hAnsi="Arial"/>
          <w:sz w:val="21"/>
          <w:szCs w:val="21"/>
          <w:color w:val="auto"/>
        </w:rPr>
      </w:pPr>
    </w:p>
    <w:p>
      <w:pPr>
        <w:jc w:val="both"/>
        <w:ind w:left="640" w:firstLine="638"/>
        <w:spacing w:after="0" w:line="261" w:lineRule="auto"/>
        <w:tabs>
          <w:tab w:leader="none" w:pos="1782" w:val="left"/>
        </w:tabs>
        <w:numPr>
          <w:ilvl w:val="0"/>
          <w:numId w:val="109"/>
        </w:numPr>
        <w:rPr>
          <w:rFonts w:ascii="Arial" w:cs="Arial" w:eastAsia="Arial" w:hAnsi="Arial"/>
          <w:sz w:val="19"/>
          <w:szCs w:val="19"/>
          <w:color w:val="auto"/>
        </w:rPr>
      </w:pPr>
      <w:r>
        <w:rPr>
          <w:rFonts w:ascii="Arial" w:cs="Arial" w:eastAsia="Arial" w:hAnsi="Arial"/>
          <w:sz w:val="19"/>
          <w:szCs w:val="19"/>
          <w:color w:val="auto"/>
        </w:rPr>
        <w:t xml:space="preserve">leases, licenses, subleases or sublicenses granted (i) to others not adversely interfering in any material respect with the business of the Borrower and its Subsidiaries as conducted at the time granted, taken as a whole, (ii) between or among any of the Loan Parties or any of their Subsidiaries or (iii) granted to other Persons and permitted under </w:t>
      </w:r>
      <w:r>
        <w:rPr>
          <w:rFonts w:ascii="Arial" w:cs="Arial" w:eastAsia="Arial" w:hAnsi="Arial"/>
          <w:sz w:val="19"/>
          <w:szCs w:val="19"/>
          <w:u w:val="single" w:color="auto"/>
          <w:color w:val="auto"/>
        </w:rPr>
        <w:t>Section 7.04</w:t>
      </w:r>
      <w:r>
        <w:rPr>
          <w:rFonts w:ascii="Arial" w:cs="Arial" w:eastAsia="Arial" w:hAnsi="Arial"/>
          <w:sz w:val="19"/>
          <w:szCs w:val="19"/>
          <w:color w:val="auto"/>
        </w:rPr>
        <w:t>;</w:t>
      </w:r>
    </w:p>
    <w:p>
      <w:pPr>
        <w:spacing w:after="0" w:line="135" w:lineRule="exact"/>
        <w:rPr>
          <w:rFonts w:ascii="Arial" w:cs="Arial" w:eastAsia="Arial" w:hAnsi="Arial"/>
          <w:sz w:val="19"/>
          <w:szCs w:val="19"/>
          <w:color w:val="auto"/>
        </w:rPr>
      </w:pPr>
    </w:p>
    <w:p>
      <w:pPr>
        <w:ind w:left="640" w:firstLine="638"/>
        <w:spacing w:after="0" w:line="239" w:lineRule="auto"/>
        <w:tabs>
          <w:tab w:leader="none" w:pos="1771" w:val="left"/>
        </w:tabs>
        <w:numPr>
          <w:ilvl w:val="0"/>
          <w:numId w:val="109"/>
        </w:numPr>
        <w:rPr>
          <w:rFonts w:ascii="Arial" w:cs="Arial" w:eastAsia="Arial" w:hAnsi="Arial"/>
          <w:sz w:val="21"/>
          <w:szCs w:val="21"/>
          <w:color w:val="auto"/>
        </w:rPr>
      </w:pPr>
      <w:r>
        <w:rPr>
          <w:rFonts w:ascii="Arial" w:cs="Arial" w:eastAsia="Arial" w:hAnsi="Arial"/>
          <w:sz w:val="21"/>
          <w:szCs w:val="21"/>
          <w:color w:val="auto"/>
        </w:rPr>
        <w:t>Liens in favor of a banking or other financial institution arising as a matter of law or in the ordinary course of business under customary general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29</w:t>
      </w:r>
    </w:p>
    <w:p>
      <w:pPr>
        <w:sectPr>
          <w:pgSz w:w="11900" w:h="16838" w:orient="portrait"/>
          <w:cols w:equalWidth="0" w:num="1">
            <w:col w:w="11240"/>
          </w:cols>
          <w:pgMar w:left="320" w:top="1152" w:right="339" w:bottom="1440" w:gutter="0" w:footer="0" w:header="0"/>
        </w:sectPr>
      </w:pPr>
    </w:p>
    <w:bookmarkStart w:id="168" w:name="page169"/>
    <w:bookmarkEnd w:id="168"/>
    <w:p>
      <w:pPr>
        <w:jc w:val="both"/>
        <w:ind w:left="640"/>
        <w:spacing w:after="0" w:line="230" w:lineRule="auto"/>
        <w:rPr>
          <w:sz w:val="20"/>
          <w:szCs w:val="20"/>
          <w:color w:val="auto"/>
        </w:rPr>
      </w:pPr>
      <w:r>
        <w:rPr>
          <w:rFonts w:ascii="Arial" w:cs="Arial" w:eastAsia="Arial" w:hAnsi="Arial"/>
          <w:sz w:val="21"/>
          <w:szCs w:val="21"/>
          <w:color w:val="auto"/>
        </w:rPr>
        <w:t>and conditions encumbering deposits or other funds maintained with a financial institution (including the right of setoff) and that are within the general parameters customary in the banking industry or arising pursuant to such banking institution’s general terms and conditions;</w:t>
      </w:r>
    </w:p>
    <w:p>
      <w:pPr>
        <w:spacing w:after="0" w:line="154" w:lineRule="exact"/>
        <w:rPr>
          <w:sz w:val="20"/>
          <w:szCs w:val="20"/>
          <w:color w:val="auto"/>
        </w:rPr>
      </w:pPr>
    </w:p>
    <w:p>
      <w:pPr>
        <w:jc w:val="both"/>
        <w:ind w:left="640" w:firstLine="638"/>
        <w:spacing w:after="0" w:line="225" w:lineRule="auto"/>
        <w:tabs>
          <w:tab w:leader="none" w:pos="1731" w:val="left"/>
        </w:tabs>
        <w:numPr>
          <w:ilvl w:val="0"/>
          <w:numId w:val="110"/>
        </w:numPr>
        <w:rPr>
          <w:rFonts w:ascii="Arial" w:cs="Arial" w:eastAsia="Arial" w:hAnsi="Arial"/>
          <w:sz w:val="21"/>
          <w:szCs w:val="21"/>
          <w:color w:val="auto"/>
        </w:rPr>
      </w:pPr>
      <w:r>
        <w:rPr>
          <w:rFonts w:ascii="Arial" w:cs="Arial" w:eastAsia="Arial" w:hAnsi="Arial"/>
          <w:sz w:val="21"/>
          <w:szCs w:val="21"/>
          <w:color w:val="auto"/>
        </w:rPr>
        <w:t>Liens on specific items of inventory or other goods (other than fixed or capital assets) and proceeds thereof of any Person securing such Person’s obligations in respect of bankers’ acceptances or letters of credit issued or created for the account of such Person to facilitate the purchase, shipment or storage of such inventory or other goods in the ordinary course of business;</w:t>
      </w:r>
    </w:p>
    <w:p>
      <w:pPr>
        <w:spacing w:after="0" w:line="154" w:lineRule="exact"/>
        <w:rPr>
          <w:rFonts w:ascii="Arial" w:cs="Arial" w:eastAsia="Arial" w:hAnsi="Arial"/>
          <w:sz w:val="21"/>
          <w:szCs w:val="21"/>
          <w:color w:val="auto"/>
        </w:rPr>
      </w:pPr>
    </w:p>
    <w:p>
      <w:pPr>
        <w:jc w:val="both"/>
        <w:ind w:left="640" w:firstLine="638"/>
        <w:spacing w:after="0" w:line="230" w:lineRule="auto"/>
        <w:tabs>
          <w:tab w:leader="none" w:pos="1694" w:val="left"/>
        </w:tabs>
        <w:numPr>
          <w:ilvl w:val="0"/>
          <w:numId w:val="110"/>
        </w:numPr>
        <w:rPr>
          <w:rFonts w:ascii="Arial" w:cs="Arial" w:eastAsia="Arial" w:hAnsi="Arial"/>
          <w:sz w:val="21"/>
          <w:szCs w:val="21"/>
          <w:color w:val="auto"/>
        </w:rPr>
      </w:pPr>
      <w:r>
        <w:rPr>
          <w:rFonts w:ascii="Arial" w:cs="Arial" w:eastAsia="Arial" w:hAnsi="Arial"/>
          <w:sz w:val="21"/>
          <w:szCs w:val="21"/>
          <w:color w:val="auto"/>
        </w:rPr>
        <w:t>Liens in favor of customs and revenue authorities arising as a matter of law to secure payment of customs duties in connection with the importation of goods in the ordinary course of business so long as such Liens only cover the related goods;</w:t>
      </w:r>
    </w:p>
    <w:p>
      <w:pPr>
        <w:spacing w:after="0" w:line="153" w:lineRule="exact"/>
        <w:rPr>
          <w:rFonts w:ascii="Arial" w:cs="Arial" w:eastAsia="Arial" w:hAnsi="Arial"/>
          <w:sz w:val="21"/>
          <w:szCs w:val="21"/>
          <w:color w:val="auto"/>
        </w:rPr>
      </w:pPr>
    </w:p>
    <w:p>
      <w:pPr>
        <w:jc w:val="both"/>
        <w:ind w:left="640" w:firstLine="638"/>
        <w:spacing w:after="0" w:line="230" w:lineRule="auto"/>
        <w:tabs>
          <w:tab w:leader="none" w:pos="1818" w:val="left"/>
        </w:tabs>
        <w:numPr>
          <w:ilvl w:val="0"/>
          <w:numId w:val="110"/>
        </w:numPr>
        <w:rPr>
          <w:rFonts w:ascii="Arial" w:cs="Arial" w:eastAsia="Arial" w:hAnsi="Arial"/>
          <w:sz w:val="21"/>
          <w:szCs w:val="21"/>
          <w:color w:val="auto"/>
        </w:rPr>
      </w:pPr>
      <w:r>
        <w:rPr>
          <w:rFonts w:ascii="Arial" w:cs="Arial" w:eastAsia="Arial" w:hAnsi="Arial"/>
          <w:sz w:val="21"/>
          <w:szCs w:val="21"/>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153" w:lineRule="exact"/>
        <w:rPr>
          <w:rFonts w:ascii="Arial" w:cs="Arial" w:eastAsia="Arial" w:hAnsi="Arial"/>
          <w:sz w:val="21"/>
          <w:szCs w:val="21"/>
          <w:color w:val="auto"/>
        </w:rPr>
      </w:pPr>
    </w:p>
    <w:p>
      <w:pPr>
        <w:ind w:left="640" w:firstLine="638"/>
        <w:spacing w:after="0" w:line="239" w:lineRule="auto"/>
        <w:tabs>
          <w:tab w:leader="none" w:pos="1730" w:val="left"/>
        </w:tabs>
        <w:numPr>
          <w:ilvl w:val="0"/>
          <w:numId w:val="110"/>
        </w:numPr>
        <w:rPr>
          <w:rFonts w:ascii="Arial" w:cs="Arial" w:eastAsia="Arial" w:hAnsi="Arial"/>
          <w:sz w:val="21"/>
          <w:szCs w:val="21"/>
          <w:color w:val="auto"/>
        </w:rPr>
      </w:pPr>
      <w:r>
        <w:rPr>
          <w:rFonts w:ascii="Arial" w:cs="Arial" w:eastAsia="Arial" w:hAnsi="Arial"/>
          <w:sz w:val="21"/>
          <w:szCs w:val="21"/>
          <w:color w:val="auto"/>
        </w:rPr>
        <w:t>any interest or title of a landlord, lessor or sublessor under any lease of real estate or any Lien affecting solely the interest of the landlord, lessor or sublessor;</w:t>
      </w:r>
    </w:p>
    <w:p>
      <w:pPr>
        <w:spacing w:after="0" w:line="155" w:lineRule="exact"/>
        <w:rPr>
          <w:rFonts w:ascii="Arial" w:cs="Arial" w:eastAsia="Arial" w:hAnsi="Arial"/>
          <w:sz w:val="21"/>
          <w:szCs w:val="21"/>
          <w:color w:val="auto"/>
        </w:rPr>
      </w:pPr>
    </w:p>
    <w:p>
      <w:pPr>
        <w:jc w:val="both"/>
        <w:ind w:left="640" w:firstLine="638"/>
        <w:spacing w:after="0" w:line="230" w:lineRule="auto"/>
        <w:tabs>
          <w:tab w:leader="none" w:pos="1837" w:val="left"/>
        </w:tabs>
        <w:numPr>
          <w:ilvl w:val="0"/>
          <w:numId w:val="110"/>
        </w:numPr>
        <w:rPr>
          <w:rFonts w:ascii="Arial" w:cs="Arial" w:eastAsia="Arial" w:hAnsi="Arial"/>
          <w:sz w:val="21"/>
          <w:szCs w:val="21"/>
          <w:color w:val="auto"/>
        </w:rPr>
      </w:pPr>
      <w:r>
        <w:rPr>
          <w:rFonts w:ascii="Arial" w:cs="Arial" w:eastAsia="Arial" w:hAnsi="Arial"/>
          <w:sz w:val="21"/>
          <w:szCs w:val="21"/>
          <w:color w:val="auto"/>
        </w:rPr>
        <w:t>purported Liens evidenced by the filing of precautionary UCC financing statements or similar filings relating to operating leases of personal property entered into by the Borrower or any of its Subsidiaries in the ordinary course of business;</w:t>
      </w:r>
    </w:p>
    <w:p>
      <w:pPr>
        <w:spacing w:after="0" w:line="153" w:lineRule="exact"/>
        <w:rPr>
          <w:rFonts w:ascii="Arial" w:cs="Arial" w:eastAsia="Arial" w:hAnsi="Arial"/>
          <w:sz w:val="21"/>
          <w:szCs w:val="21"/>
          <w:color w:val="auto"/>
        </w:rPr>
      </w:pPr>
    </w:p>
    <w:p>
      <w:pPr>
        <w:ind w:left="640" w:firstLine="638"/>
        <w:spacing w:after="0" w:line="290" w:lineRule="auto"/>
        <w:tabs>
          <w:tab w:leader="none" w:pos="1745" w:val="left"/>
        </w:tabs>
        <w:numPr>
          <w:ilvl w:val="0"/>
          <w:numId w:val="110"/>
        </w:numPr>
        <w:rPr>
          <w:rFonts w:ascii="Arial" w:cs="Arial" w:eastAsia="Arial" w:hAnsi="Arial"/>
          <w:sz w:val="19"/>
          <w:szCs w:val="19"/>
          <w:color w:val="auto"/>
        </w:rPr>
      </w:pPr>
      <w:r>
        <w:rPr>
          <w:rFonts w:ascii="Arial" w:cs="Arial" w:eastAsia="Arial" w:hAnsi="Arial"/>
          <w:sz w:val="19"/>
          <w:szCs w:val="19"/>
          <w:color w:val="auto"/>
        </w:rPr>
        <w:t>any interest or title of a licensor under any license or sublicense entered into by the Borrower or any Subsidiary as a licensee or sublicensee (i) existing on the Effective Date or (ii) in the ordinary course of its business; and</w:t>
      </w:r>
    </w:p>
    <w:p>
      <w:pPr>
        <w:spacing w:after="0" w:line="107" w:lineRule="exact"/>
        <w:rPr>
          <w:rFonts w:ascii="Arial" w:cs="Arial" w:eastAsia="Arial" w:hAnsi="Arial"/>
          <w:sz w:val="19"/>
          <w:szCs w:val="19"/>
          <w:color w:val="auto"/>
        </w:rPr>
      </w:pPr>
    </w:p>
    <w:p>
      <w:pPr>
        <w:ind w:firstLine="1278"/>
        <w:spacing w:after="0" w:line="239" w:lineRule="auto"/>
        <w:tabs>
          <w:tab w:leader="none" w:pos="1825" w:val="left"/>
        </w:tabs>
        <w:numPr>
          <w:ilvl w:val="0"/>
          <w:numId w:val="110"/>
        </w:numPr>
        <w:rPr>
          <w:rFonts w:ascii="Arial" w:cs="Arial" w:eastAsia="Arial" w:hAnsi="Arial"/>
          <w:sz w:val="21"/>
          <w:szCs w:val="21"/>
          <w:color w:val="auto"/>
        </w:rPr>
      </w:pPr>
      <w:r>
        <w:rPr>
          <w:rFonts w:ascii="Arial" w:cs="Arial" w:eastAsia="Arial" w:hAnsi="Arial"/>
          <w:sz w:val="21"/>
          <w:szCs w:val="21"/>
          <w:color w:val="auto"/>
        </w:rPr>
        <w:t>with respect to any real property, immaterial title defects or irregularities that do not, individually or in the aggregate, materially impair the use of such real property; and</w:t>
      </w:r>
    </w:p>
    <w:p>
      <w:pPr>
        <w:spacing w:after="0" w:line="172" w:lineRule="exact"/>
        <w:rPr>
          <w:rFonts w:ascii="Arial" w:cs="Arial" w:eastAsia="Arial" w:hAnsi="Arial"/>
          <w:sz w:val="21"/>
          <w:szCs w:val="21"/>
          <w:color w:val="auto"/>
        </w:rPr>
      </w:pPr>
    </w:p>
    <w:p>
      <w:pPr>
        <w:ind w:left="1740" w:hanging="462"/>
        <w:spacing w:after="0"/>
        <w:tabs>
          <w:tab w:leader="none" w:pos="1740" w:val="left"/>
        </w:tabs>
        <w:numPr>
          <w:ilvl w:val="0"/>
          <w:numId w:val="110"/>
        </w:numPr>
        <w:rPr>
          <w:rFonts w:ascii="Arial" w:cs="Arial" w:eastAsia="Arial" w:hAnsi="Arial"/>
          <w:sz w:val="21"/>
          <w:szCs w:val="21"/>
          <w:color w:val="auto"/>
        </w:rPr>
      </w:pPr>
      <w:r>
        <w:rPr>
          <w:rFonts w:ascii="Arial" w:cs="Arial" w:eastAsia="Arial" w:hAnsi="Arial"/>
          <w:sz w:val="19"/>
          <w:szCs w:val="19"/>
          <w:color w:val="auto"/>
        </w:rPr>
        <w:t>non-exclusive licenses of Intellectual Property rights in the ordinary course of business;</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term “Permitted Encumbrances” shall not include any Lien securing Indebtedness.</w:t>
      </w:r>
    </w:p>
    <w:p>
      <w:pPr>
        <w:spacing w:after="0" w:line="183" w:lineRule="exact"/>
        <w:rPr>
          <w:sz w:val="20"/>
          <w:szCs w:val="20"/>
          <w:color w:val="auto"/>
        </w:rPr>
      </w:pPr>
    </w:p>
    <w:p>
      <w:pPr>
        <w:ind w:left="80" w:firstLine="556"/>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Person</w:t>
      </w:r>
      <w:r>
        <w:rPr>
          <w:rFonts w:ascii="Arial" w:cs="Arial" w:eastAsia="Arial" w:hAnsi="Arial"/>
          <w:sz w:val="21"/>
          <w:szCs w:val="21"/>
          <w:color w:val="auto"/>
        </w:rPr>
        <w:t>” means any natural person, corporation, limited liability company, trust, joint venture, association, company, partnership, Governmental Authority or other entity.</w:t>
      </w:r>
    </w:p>
    <w:p>
      <w:pPr>
        <w:spacing w:after="0" w:line="155" w:lineRule="exact"/>
        <w:rPr>
          <w:sz w:val="20"/>
          <w:szCs w:val="20"/>
          <w:color w:val="auto"/>
        </w:rPr>
      </w:pPr>
    </w:p>
    <w:p>
      <w:pPr>
        <w:ind w:firstLine="624"/>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Plan Asset Regulations</w:t>
      </w:r>
      <w:r>
        <w:rPr>
          <w:rFonts w:ascii="Arial" w:cs="Arial" w:eastAsia="Arial" w:hAnsi="Arial"/>
          <w:sz w:val="21"/>
          <w:szCs w:val="21"/>
          <w:color w:val="auto"/>
        </w:rPr>
        <w:t>” means 29 CFR § 2510.3-101 et seq., as modified by Section 3(42) of ERISA, as amended from time to time.</w:t>
      </w:r>
    </w:p>
    <w:p>
      <w:pPr>
        <w:spacing w:after="0" w:line="155" w:lineRule="exact"/>
        <w:rPr>
          <w:sz w:val="20"/>
          <w:szCs w:val="20"/>
          <w:color w:val="auto"/>
        </w:rPr>
      </w:pPr>
    </w:p>
    <w:p>
      <w:pPr>
        <w:ind w:firstLine="624"/>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Prepayment Notice</w:t>
      </w:r>
      <w:r>
        <w:rPr>
          <w:rFonts w:ascii="Arial" w:cs="Arial" w:eastAsia="Arial" w:hAnsi="Arial"/>
          <w:sz w:val="21"/>
          <w:szCs w:val="21"/>
          <w:color w:val="auto"/>
        </w:rPr>
        <w:t xml:space="preserve"> ” means a notice of a prepayment of any Committed Borrowing pursuant to </w:t>
      </w:r>
      <w:r>
        <w:rPr>
          <w:rFonts w:ascii="Arial" w:cs="Arial" w:eastAsia="Arial" w:hAnsi="Arial"/>
          <w:sz w:val="21"/>
          <w:szCs w:val="21"/>
          <w:u w:val="single" w:color="auto"/>
          <w:color w:val="auto"/>
        </w:rPr>
        <w:t>Section 2.05(a)</w:t>
      </w:r>
      <w:r>
        <w:rPr>
          <w:rFonts w:ascii="Arial" w:cs="Arial" w:eastAsia="Arial" w:hAnsi="Arial"/>
          <w:sz w:val="21"/>
          <w:szCs w:val="21"/>
          <w:color w:val="auto"/>
        </w:rPr>
        <w:t xml:space="preserve">, which shall be substantially in the form of </w:t>
      </w:r>
      <w:r>
        <w:rPr>
          <w:rFonts w:ascii="Arial" w:cs="Arial" w:eastAsia="Arial" w:hAnsi="Arial"/>
          <w:sz w:val="21"/>
          <w:szCs w:val="21"/>
          <w:u w:val="single" w:color="auto"/>
          <w:color w:val="auto"/>
        </w:rPr>
        <w:t>Exhibit F</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30</w:t>
      </w:r>
    </w:p>
    <w:p>
      <w:pPr>
        <w:sectPr>
          <w:pgSz w:w="11900" w:h="16838" w:orient="portrait"/>
          <w:cols w:equalWidth="0" w:num="1">
            <w:col w:w="11240"/>
          </w:cols>
          <w:pgMar w:left="320" w:top="1152" w:right="339" w:bottom="1440" w:gutter="0" w:footer="0" w:header="0"/>
        </w:sectPr>
      </w:pPr>
    </w:p>
    <w:bookmarkStart w:id="169" w:name="page170"/>
    <w:bookmarkEnd w:id="169"/>
    <w:p>
      <w:pPr>
        <w:jc w:val="both"/>
        <w:ind w:firstLine="624"/>
        <w:spacing w:after="0" w:line="23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Prime Rate</w:t>
      </w:r>
      <w:r>
        <w:rPr>
          <w:rFonts w:ascii="Arial" w:cs="Arial" w:eastAsia="Arial" w:hAnsi="Arial"/>
          <w:sz w:val="20"/>
          <w:szCs w:val="20"/>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56" w:lineRule="exact"/>
        <w:rPr>
          <w:sz w:val="20"/>
          <w:szCs w:val="20"/>
          <w:color w:val="auto"/>
        </w:rPr>
      </w:pPr>
    </w:p>
    <w:p>
      <w:pPr>
        <w:jc w:val="both"/>
        <w:ind w:firstLine="624"/>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PTE</w:t>
      </w:r>
      <w:r>
        <w:rPr>
          <w:rFonts w:ascii="Arial" w:cs="Arial" w:eastAsia="Arial" w:hAnsi="Arial"/>
          <w:sz w:val="21"/>
          <w:szCs w:val="21"/>
          <w:color w:val="auto"/>
        </w:rPr>
        <w:t>” means a prohibited transaction class exemption issued by the U.S. Department of Labor, as any such exemption may be amended from time to time.</w:t>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Public Lender</w:t>
      </w:r>
      <w:r>
        <w:rPr>
          <w:rFonts w:ascii="Arial" w:cs="Arial" w:eastAsia="Arial" w:hAnsi="Arial"/>
          <w:sz w:val="21"/>
          <w:szCs w:val="21"/>
          <w:color w:val="auto"/>
        </w:rPr>
        <w:t xml:space="preserve">” has the meaning specified in </w:t>
      </w:r>
      <w:r>
        <w:rPr>
          <w:rFonts w:ascii="Arial" w:cs="Arial" w:eastAsia="Arial" w:hAnsi="Arial"/>
          <w:sz w:val="21"/>
          <w:szCs w:val="21"/>
          <w:u w:val="single" w:color="auto"/>
          <w:color w:val="auto"/>
        </w:rPr>
        <w:t>Section 6.02</w:t>
      </w:r>
      <w:r>
        <w:rPr>
          <w:rFonts w:ascii="Arial" w:cs="Arial" w:eastAsia="Arial" w:hAnsi="Arial"/>
          <w:sz w:val="21"/>
          <w:szCs w:val="21"/>
          <w:color w:val="auto"/>
        </w:rPr>
        <w:t>.</w:t>
      </w:r>
    </w:p>
    <w:p>
      <w:pPr>
        <w:spacing w:after="0" w:line="183" w:lineRule="exact"/>
        <w:rPr>
          <w:sz w:val="20"/>
          <w:szCs w:val="20"/>
          <w:color w:val="auto"/>
        </w:rPr>
      </w:pPr>
    </w:p>
    <w:p>
      <w:pPr>
        <w:jc w:val="both"/>
        <w:ind w:firstLine="624"/>
        <w:spacing w:after="0" w:line="22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Qualified Acquisition</w:t>
      </w:r>
      <w:r>
        <w:rPr>
          <w:rFonts w:ascii="Arial" w:cs="Arial" w:eastAsia="Arial" w:hAnsi="Arial"/>
          <w:sz w:val="21"/>
          <w:szCs w:val="21"/>
          <w:color w:val="auto"/>
        </w:rPr>
        <w:t>” means any Acquisition consummated after the Effective Date that (a) involves the payment of non-contingent consideration in excess of $200,000,000 (or any two Acquisitions occurring in the same 12-month period involving the payment of non-contingent consideration in excess of $200,000,000 in the aggregate) and (b) has been designated by the Borrower as a “Qualified Acquisition” by written notice to the Administrative Agent.</w:t>
      </w:r>
    </w:p>
    <w:p>
      <w:pPr>
        <w:spacing w:after="0" w:line="154" w:lineRule="exact"/>
        <w:rPr>
          <w:sz w:val="20"/>
          <w:szCs w:val="20"/>
          <w:color w:val="auto"/>
        </w:rPr>
      </w:pPr>
    </w:p>
    <w:p>
      <w:pPr>
        <w:jc w:val="both"/>
        <w:ind w:firstLine="624"/>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QFC</w:t>
      </w:r>
      <w:r>
        <w:rPr>
          <w:rFonts w:ascii="Arial" w:cs="Arial" w:eastAsia="Arial" w:hAnsi="Arial"/>
          <w:sz w:val="21"/>
          <w:szCs w:val="21"/>
          <w:color w:val="auto"/>
        </w:rPr>
        <w:t>” has the meaning assigned to the term “qualified financial contract” in, and shall be interpreted in accordance with, 12 U.S.C. 5390(c)(8)(D).</w:t>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QFC Credit Support</w:t>
      </w:r>
      <w:r>
        <w:rPr>
          <w:rFonts w:ascii="Arial" w:cs="Arial" w:eastAsia="Arial" w:hAnsi="Arial"/>
          <w:sz w:val="21"/>
          <w:szCs w:val="21"/>
          <w:color w:val="auto"/>
        </w:rPr>
        <w:t xml:space="preserve">” has the meaning specified in </w:t>
      </w:r>
      <w:r>
        <w:rPr>
          <w:rFonts w:ascii="Arial" w:cs="Arial" w:eastAsia="Arial" w:hAnsi="Arial"/>
          <w:sz w:val="21"/>
          <w:szCs w:val="21"/>
          <w:u w:val="single" w:color="auto"/>
          <w:color w:val="auto"/>
        </w:rPr>
        <w:t>Section 11.20</w:t>
      </w:r>
      <w:r>
        <w:rPr>
          <w:rFonts w:ascii="Arial" w:cs="Arial" w:eastAsia="Arial" w:hAnsi="Arial"/>
          <w:sz w:val="21"/>
          <w:szCs w:val="21"/>
          <w:color w:val="auto"/>
        </w:rPr>
        <w:t>.</w:t>
      </w:r>
    </w:p>
    <w:p>
      <w:pPr>
        <w:spacing w:after="0" w:line="177" w:lineRule="exact"/>
        <w:rPr>
          <w:sz w:val="20"/>
          <w:szCs w:val="20"/>
          <w:color w:val="auto"/>
        </w:rPr>
      </w:pPr>
    </w:p>
    <w:p>
      <w:pPr>
        <w:ind w:left="620"/>
        <w:spacing w:after="0"/>
        <w:rPr>
          <w:sz w:val="20"/>
          <w:szCs w:val="20"/>
          <w:color w:val="auto"/>
        </w:rPr>
      </w:pPr>
      <w:r>
        <w:rPr>
          <w:rFonts w:ascii="Arial" w:cs="Arial" w:eastAsia="Arial" w:hAnsi="Arial"/>
          <w:sz w:val="21"/>
          <w:szCs w:val="21"/>
          <w:b w:val="1"/>
          <w:bCs w:val="1"/>
          <w:u w:val="single" w:color="auto"/>
          <w:color w:val="0000FF"/>
        </w:rPr>
        <w:t>“Reference Time” has the meaning specified in Section 2.17(g).</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Register</w:t>
      </w:r>
      <w:r>
        <w:rPr>
          <w:rFonts w:ascii="Arial" w:cs="Arial" w:eastAsia="Arial" w:hAnsi="Arial"/>
          <w:sz w:val="21"/>
          <w:szCs w:val="21"/>
          <w:color w:val="auto"/>
        </w:rPr>
        <w:t xml:space="preserve">” has the meaning specified in </w:t>
      </w:r>
      <w:r>
        <w:rPr>
          <w:rFonts w:ascii="Arial" w:cs="Arial" w:eastAsia="Arial" w:hAnsi="Arial"/>
          <w:sz w:val="21"/>
          <w:szCs w:val="21"/>
          <w:u w:val="single" w:color="auto"/>
          <w:color w:val="auto"/>
        </w:rPr>
        <w:t>Section 11.06(d)</w:t>
      </w:r>
      <w:r>
        <w:rPr>
          <w:rFonts w:ascii="Arial" w:cs="Arial" w:eastAsia="Arial" w:hAnsi="Arial"/>
          <w:sz w:val="21"/>
          <w:szCs w:val="21"/>
          <w:color w:val="auto"/>
        </w:rPr>
        <w:t>.</w:t>
      </w:r>
    </w:p>
    <w:p>
      <w:pPr>
        <w:spacing w:after="0" w:line="177" w:lineRule="exact"/>
        <w:rPr>
          <w:sz w:val="20"/>
          <w:szCs w:val="20"/>
          <w:color w:val="auto"/>
        </w:rPr>
      </w:pPr>
    </w:p>
    <w:p>
      <w:pPr>
        <w:jc w:val="both"/>
        <w:ind w:firstLine="624"/>
        <w:spacing w:after="0" w:line="245" w:lineRule="auto"/>
        <w:rPr>
          <w:sz w:val="20"/>
          <w:szCs w:val="20"/>
          <w:color w:val="auto"/>
        </w:rPr>
      </w:pPr>
      <w:r>
        <w:rPr>
          <w:rFonts w:ascii="Arial" w:cs="Arial" w:eastAsia="Arial" w:hAnsi="Arial"/>
          <w:sz w:val="21"/>
          <w:szCs w:val="21"/>
          <w:b w:val="1"/>
          <w:bCs w:val="1"/>
          <w:color w:val="FF0000"/>
          <w:strike w:val="1"/>
        </w:rPr>
        <w:t>“</w:t>
      </w:r>
      <w:r>
        <w:rPr>
          <w:rFonts w:ascii="Arial" w:cs="Arial" w:eastAsia="Arial" w:hAnsi="Arial"/>
          <w:sz w:val="21"/>
          <w:szCs w:val="21"/>
          <w:b w:val="1"/>
          <w:bCs w:val="1"/>
          <w:u w:val="single" w:color="auto"/>
          <w:color w:val="FF0000"/>
          <w:strike w:val="1"/>
        </w:rPr>
        <w:t>Regulation D</w:t>
      </w:r>
      <w:r>
        <w:rPr>
          <w:rFonts w:ascii="Arial" w:cs="Arial" w:eastAsia="Arial" w:hAnsi="Arial"/>
          <w:sz w:val="21"/>
          <w:szCs w:val="21"/>
          <w:b w:val="1"/>
          <w:bCs w:val="1"/>
          <w:color w:val="FF0000"/>
          <w:strike w:val="1"/>
        </w:rPr>
        <w:t>” means Regulation D of the Federal Reserve Board, as in effect from time to time and all official rulings and interpretations thereunder or thereof.</w:t>
      </w:r>
    </w:p>
    <w:p>
      <w:pPr>
        <w:spacing w:after="0" w:line="149" w:lineRule="exact"/>
        <w:rPr>
          <w:sz w:val="20"/>
          <w:szCs w:val="20"/>
          <w:color w:val="auto"/>
        </w:rPr>
      </w:pPr>
    </w:p>
    <w:p>
      <w:pPr>
        <w:jc w:val="both"/>
        <w:ind w:firstLine="624"/>
        <w:spacing w:after="0" w:line="23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Indemnified Parties</w:t>
      </w:r>
      <w:r>
        <w:rPr>
          <w:rFonts w:ascii="Arial" w:cs="Arial" w:eastAsia="Arial" w:hAnsi="Arial"/>
          <w:sz w:val="20"/>
          <w:szCs w:val="20"/>
          <w:color w:val="auto"/>
        </w:rPr>
        <w:t xml:space="preserve">” means, with respect to any Indemnitee, (a) any controlling Person or controlled Affiliate of such Indemnitee, (b) the respective directors, officers or employees of such Indemnitee or any of its controlling Persons or controlled Affiliates and (c) the respective Agent of such Indemnitee or any of its controlling Persons or controlled Affiliates, in the case of this clause (c), acting at the instructions of such Indemnitee, controlling Person or such controlled Affiliate;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each reference to a controlled Affiliate or controlling Person in this definition pertains to a controlled Affiliate or controlling Person involved in the negotiation of this Agreement or any other Loan Document.</w:t>
      </w:r>
    </w:p>
    <w:p>
      <w:pPr>
        <w:spacing w:after="0" w:line="156" w:lineRule="exact"/>
        <w:rPr>
          <w:sz w:val="20"/>
          <w:szCs w:val="20"/>
          <w:color w:val="auto"/>
        </w:rPr>
      </w:pPr>
    </w:p>
    <w:p>
      <w:pPr>
        <w:jc w:val="both"/>
        <w:ind w:firstLine="624"/>
        <w:spacing w:after="0" w:line="239"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Related Parties</w:t>
      </w:r>
      <w:r>
        <w:rPr>
          <w:rFonts w:ascii="Arial" w:cs="Arial" w:eastAsia="Arial" w:hAnsi="Arial"/>
          <w:sz w:val="21"/>
          <w:szCs w:val="21"/>
          <w:color w:val="auto"/>
        </w:rPr>
        <w:t>” means, with respect to any Person, such Person’s Affiliates and the directors, officers, employees, agent or advisors of such Person and of such Person’s Affiliates.</w:t>
      </w:r>
    </w:p>
    <w:p>
      <w:pPr>
        <w:spacing w:after="0" w:line="149" w:lineRule="exact"/>
        <w:rPr>
          <w:sz w:val="20"/>
          <w:szCs w:val="20"/>
          <w:color w:val="auto"/>
        </w:rPr>
      </w:pPr>
    </w:p>
    <w:p>
      <w:pPr>
        <w:ind w:left="620"/>
        <w:spacing w:after="0"/>
        <w:rPr>
          <w:sz w:val="20"/>
          <w:szCs w:val="20"/>
          <w:color w:val="auto"/>
        </w:rPr>
      </w:pPr>
      <w:r>
        <w:rPr>
          <w:rFonts w:ascii="Arial" w:cs="Arial" w:eastAsia="Arial" w:hAnsi="Arial"/>
          <w:sz w:val="21"/>
          <w:szCs w:val="21"/>
          <w:b w:val="1"/>
          <w:bCs w:val="1"/>
          <w:u w:val="single" w:color="auto"/>
          <w:color w:val="0000FF"/>
        </w:rPr>
        <w:t>“Relevant Governmental Body” has the meaning specified in Section 2.17(g).</w:t>
      </w:r>
    </w:p>
    <w:p>
      <w:pPr>
        <w:spacing w:after="0" w:line="189" w:lineRule="exact"/>
        <w:rPr>
          <w:sz w:val="20"/>
          <w:szCs w:val="20"/>
          <w:color w:val="auto"/>
        </w:rPr>
      </w:pPr>
    </w:p>
    <w:p>
      <w:pPr>
        <w:jc w:val="both"/>
        <w:ind w:firstLine="624"/>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Reportable Event</w:t>
      </w:r>
      <w:r>
        <w:rPr>
          <w:rFonts w:ascii="Arial" w:cs="Arial" w:eastAsia="Arial" w:hAnsi="Arial"/>
          <w:sz w:val="21"/>
          <w:szCs w:val="21"/>
          <w:color w:val="auto"/>
        </w:rPr>
        <w:t>” means any of the events set forth in Section 4043(c) of ERISA, other than events for which the 30-day notice period has been waived under Section 4043 of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31</w:t>
      </w:r>
    </w:p>
    <w:p>
      <w:pPr>
        <w:sectPr>
          <w:pgSz w:w="11900" w:h="16838" w:orient="portrait"/>
          <w:cols w:equalWidth="0" w:num="1">
            <w:col w:w="11240"/>
          </w:cols>
          <w:pgMar w:left="320" w:top="1152" w:right="339" w:bottom="1440" w:gutter="0" w:footer="0" w:header="0"/>
        </w:sectPr>
      </w:pPr>
    </w:p>
    <w:bookmarkStart w:id="170" w:name="page171"/>
    <w:bookmarkEnd w:id="170"/>
    <w:p>
      <w:pPr>
        <w:jc w:val="both"/>
        <w:ind w:firstLine="624"/>
        <w:spacing w:after="0" w:line="23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Request for Credit Extension</w:t>
      </w:r>
      <w:r>
        <w:rPr>
          <w:rFonts w:ascii="Arial" w:cs="Arial" w:eastAsia="Arial" w:hAnsi="Arial"/>
          <w:sz w:val="21"/>
          <w:szCs w:val="21"/>
          <w:color w:val="auto"/>
        </w:rPr>
        <w:t>” means (a) with respect to a borrowing, conversion or continuation of Committed Loans, a Committed Loan Notice, (b) with respect to a Bid Loan, a Bid Request and (c) with respect to an L/C Credit Extension, a Letter of Credit Application.</w:t>
      </w:r>
    </w:p>
    <w:p>
      <w:pPr>
        <w:spacing w:after="0" w:line="154" w:lineRule="exact"/>
        <w:rPr>
          <w:sz w:val="20"/>
          <w:szCs w:val="20"/>
          <w:color w:val="auto"/>
        </w:rPr>
      </w:pPr>
    </w:p>
    <w:p>
      <w:pPr>
        <w:jc w:val="both"/>
        <w:ind w:firstLine="624"/>
        <w:spacing w:after="0" w:line="22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Lenders</w:t>
      </w:r>
      <w:r>
        <w:rPr>
          <w:rFonts w:ascii="Arial" w:cs="Arial" w:eastAsia="Arial" w:hAnsi="Arial"/>
          <w:sz w:val="20"/>
          <w:szCs w:val="20"/>
          <w:color w:val="auto"/>
        </w:rPr>
        <w:t xml:space="preserve">” means, as of any date of determination, Lenders holding in the aggregate more than 50% of the sum of the aggregate unused Commitments and the aggregate principal amount of the Total Outstandings (excluding any portion thereof attributable to Bid Loans;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for purposes of declaring the Loans to be due and payable pursuant to </w:t>
      </w:r>
      <w:r>
        <w:rPr>
          <w:rFonts w:ascii="Arial" w:cs="Arial" w:eastAsia="Arial" w:hAnsi="Arial"/>
          <w:sz w:val="20"/>
          <w:szCs w:val="20"/>
          <w:u w:val="single" w:color="auto"/>
          <w:color w:val="auto"/>
        </w:rPr>
        <w:t>Section 8.02</w:t>
      </w:r>
      <w:r>
        <w:rPr>
          <w:rFonts w:ascii="Arial" w:cs="Arial" w:eastAsia="Arial" w:hAnsi="Arial"/>
          <w:sz w:val="20"/>
          <w:szCs w:val="20"/>
          <w:color w:val="auto"/>
        </w:rPr>
        <w:t xml:space="preserve">, and for all purposes after the Loans have become due and payable pursuant to </w:t>
      </w:r>
      <w:r>
        <w:rPr>
          <w:rFonts w:ascii="Arial" w:cs="Arial" w:eastAsia="Arial" w:hAnsi="Arial"/>
          <w:sz w:val="20"/>
          <w:szCs w:val="20"/>
          <w:u w:val="single" w:color="auto"/>
          <w:color w:val="auto"/>
        </w:rPr>
        <w:t>Section 8.02</w:t>
      </w:r>
      <w:r>
        <w:rPr>
          <w:rFonts w:ascii="Arial" w:cs="Arial" w:eastAsia="Arial" w:hAnsi="Arial"/>
          <w:sz w:val="20"/>
          <w:szCs w:val="20"/>
          <w:color w:val="auto"/>
        </w:rPr>
        <w:t xml:space="preserve"> or all the Commitments have expired or terminated, any portion thereof attributable to Bid Loans shall be included) (with the aggregate amount of each Lender’s risk participation and funded participation in L/C Obligations being deemed “held” by such Lender for purposes of this definition);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Commitment of, and the portion of the Total Outstandings held or deemed held by, any Defaulting Lender will be excluded for purposes of making a determination of Required Lenders.</w:t>
      </w:r>
    </w:p>
    <w:p>
      <w:pPr>
        <w:spacing w:after="0" w:line="160" w:lineRule="exact"/>
        <w:rPr>
          <w:sz w:val="20"/>
          <w:szCs w:val="20"/>
          <w:color w:val="auto"/>
        </w:rPr>
      </w:pPr>
    </w:p>
    <w:p>
      <w:pPr>
        <w:jc w:val="both"/>
        <w:ind w:firstLine="624"/>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Resolution Authority</w:t>
      </w:r>
      <w:r>
        <w:rPr>
          <w:rFonts w:ascii="Arial" w:cs="Arial" w:eastAsia="Arial" w:hAnsi="Arial"/>
          <w:sz w:val="21"/>
          <w:szCs w:val="21"/>
          <w:color w:val="auto"/>
        </w:rPr>
        <w:t>” means an EEA Resolution Authority or, with respect to any UK Financial Institution, a UK Resolution Authority.</w:t>
      </w:r>
    </w:p>
    <w:p>
      <w:pPr>
        <w:spacing w:after="0" w:line="155" w:lineRule="exact"/>
        <w:rPr>
          <w:sz w:val="20"/>
          <w:szCs w:val="20"/>
          <w:color w:val="auto"/>
        </w:rPr>
      </w:pPr>
    </w:p>
    <w:p>
      <w:pPr>
        <w:jc w:val="both"/>
        <w:ind w:firstLine="624"/>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Responsible Officer</w:t>
      </w:r>
      <w:r>
        <w:rPr>
          <w:rFonts w:ascii="Arial" w:cs="Arial" w:eastAsia="Arial" w:hAnsi="Arial"/>
          <w:sz w:val="19"/>
          <w:szCs w:val="19"/>
          <w:color w:val="auto"/>
        </w:rPr>
        <w:t xml:space="preserve"> ” means, with respect to any Person, the chief executive officer, a director, the chief financial officer, the treasurer, the chief legal officer, the chief accounting officer, any vice president or any other duly authorized signatory of such Person (or, in the case of any Person that is partnership, of the general partner of such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when such term is used in reference to any document executed by, or certification of, a Responsible Officer, the secretary or assistant secretary or other duly authorized signatory of such Person shall have delivered an incumbency certificate to the Administrative Agent as to the authority of such individual. Any document delivered hereunder that is signed by a Responsible Officer of any Loan Party will be conclusively presumed to have been authorized by all necessary corporate, partnership and/or other action on the part of such Loan Party, and such Responsible Officer will be conclusively presumed to have acted on behalf of such Loan Party.</w:t>
      </w:r>
    </w:p>
    <w:p>
      <w:pPr>
        <w:spacing w:after="0" w:line="153" w:lineRule="exact"/>
        <w:rPr>
          <w:sz w:val="20"/>
          <w:szCs w:val="20"/>
          <w:color w:val="auto"/>
        </w:rPr>
      </w:pPr>
    </w:p>
    <w:p>
      <w:pPr>
        <w:jc w:val="both"/>
        <w:ind w:firstLine="636"/>
        <w:spacing w:after="0" w:line="22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Restricted Payment</w:t>
      </w:r>
      <w:r>
        <w:rPr>
          <w:rFonts w:ascii="Arial" w:cs="Arial" w:eastAsia="Arial" w:hAnsi="Arial"/>
          <w:sz w:val="21"/>
          <w:szCs w:val="21"/>
          <w:color w:val="auto"/>
        </w:rPr>
        <w:t>” means any dividend or other distribution (whether in cash, securities or other property) with respect to any Equity Interests in the Borrower or any Subsidiary, or any payment (whether in cash, securities or other property), including any sinking fund or similar deposit, on account of the purchase, redemption, retirement, acquisition, cancellation or termination of any such Equity Interests in the Borrower or any Subsidiary or any option or warrant to acquire any such Equity Interests in the Borrower or any Subsidiary.</w:t>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Reuters</w:t>
      </w:r>
      <w:r>
        <w:rPr>
          <w:rFonts w:ascii="Arial" w:cs="Arial" w:eastAsia="Arial" w:hAnsi="Arial"/>
          <w:sz w:val="21"/>
          <w:szCs w:val="21"/>
          <w:color w:val="auto"/>
        </w:rPr>
        <w:t>” means, as applicable, Thomson Reuters Corp., Refinitiv, or any successor thereto.</w:t>
      </w:r>
    </w:p>
    <w:p>
      <w:pPr>
        <w:spacing w:after="0" w:line="183" w:lineRule="exact"/>
        <w:rPr>
          <w:sz w:val="20"/>
          <w:szCs w:val="20"/>
          <w:color w:val="auto"/>
        </w:rPr>
      </w:pPr>
    </w:p>
    <w:p>
      <w:pPr>
        <w:jc w:val="both"/>
        <w:ind w:firstLine="624"/>
        <w:spacing w:after="0" w:line="233"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Revaluation Date</w:t>
      </w:r>
      <w:r>
        <w:rPr>
          <w:rFonts w:ascii="Arial" w:cs="Arial" w:eastAsia="Arial" w:hAnsi="Arial"/>
          <w:sz w:val="20"/>
          <w:szCs w:val="20"/>
          <w:color w:val="auto"/>
        </w:rPr>
        <w:t xml:space="preserve">” means (a) with respect to any Loan denominated in any Alternative Currency, each of the following: (i) the date of the Borrowing of such Loan and (ii) with respect to any </w:t>
      </w:r>
      <w:r>
        <w:rPr>
          <w:rFonts w:ascii="Arial" w:cs="Arial" w:eastAsia="Arial" w:hAnsi="Arial"/>
          <w:sz w:val="20"/>
          <w:szCs w:val="20"/>
          <w:b w:val="1"/>
          <w:bCs w:val="1"/>
          <w:color w:val="FF0000"/>
          <w:strike w:val="1"/>
        </w:rPr>
        <w:t>Eurocurrency Rate</w:t>
      </w:r>
      <w:r>
        <w:rPr>
          <w:rFonts w:ascii="Arial" w:cs="Arial" w:eastAsia="Arial" w:hAnsi="Arial"/>
          <w:sz w:val="20"/>
          <w:szCs w:val="20"/>
          <w:b w:val="1"/>
          <w:bCs w:val="1"/>
          <w:u w:val="single" w:color="auto"/>
          <w:color w:val="0000FF"/>
        </w:rPr>
        <w:t>Term Benchmark</w:t>
      </w:r>
      <w:r>
        <w:rPr>
          <w:rFonts w:ascii="Arial" w:cs="Arial" w:eastAsia="Arial" w:hAnsi="Arial"/>
          <w:sz w:val="20"/>
          <w:szCs w:val="20"/>
          <w:color w:val="auto"/>
        </w:rPr>
        <w:t xml:space="preserve"> Loan, each date of a conversion into or continuation of such Loan pursuant to the terms of this Agreement; (b) with respect to any Letter of Credit denominated in an Alternative Currency, each of the following: (i) the date on which such Letter of Credit is issued, (ii) the first Business Day of each calendar month and (iii) the date of any amendment of such Letter of Credit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32</w:t>
      </w:r>
    </w:p>
    <w:p>
      <w:pPr>
        <w:sectPr>
          <w:pgSz w:w="11900" w:h="16838" w:orient="portrait"/>
          <w:cols w:equalWidth="0" w:num="1">
            <w:col w:w="11240"/>
          </w:cols>
          <w:pgMar w:left="320" w:top="1152" w:right="339" w:bottom="1440" w:gutter="0" w:footer="0" w:header="0"/>
        </w:sectPr>
      </w:pPr>
    </w:p>
    <w:bookmarkStart w:id="171" w:name="page172"/>
    <w:bookmarkEnd w:id="171"/>
    <w:p>
      <w:pPr>
        <w:jc w:val="both"/>
        <w:spacing w:after="0" w:line="239" w:lineRule="auto"/>
        <w:rPr>
          <w:sz w:val="20"/>
          <w:szCs w:val="20"/>
          <w:color w:val="auto"/>
        </w:rPr>
      </w:pPr>
      <w:r>
        <w:rPr>
          <w:rFonts w:ascii="Arial" w:cs="Arial" w:eastAsia="Arial" w:hAnsi="Arial"/>
          <w:sz w:val="21"/>
          <w:szCs w:val="21"/>
          <w:color w:val="auto"/>
        </w:rPr>
        <w:t>has the effect of increasing the face amount thereof; and (c) any additional date as the Administrative Agent may determine at any time when an Event of Default exists.</w:t>
      </w:r>
    </w:p>
    <w:p>
      <w:pPr>
        <w:spacing w:after="0" w:line="149" w:lineRule="exact"/>
        <w:rPr>
          <w:sz w:val="20"/>
          <w:szCs w:val="20"/>
          <w:color w:val="auto"/>
        </w:rPr>
      </w:pPr>
    </w:p>
    <w:p>
      <w:pPr>
        <w:jc w:val="both"/>
        <w:ind w:firstLine="624"/>
        <w:spacing w:after="0" w:line="245" w:lineRule="auto"/>
        <w:rPr>
          <w:sz w:val="20"/>
          <w:szCs w:val="20"/>
          <w:color w:val="auto"/>
        </w:rPr>
      </w:pPr>
      <w:r>
        <w:rPr>
          <w:rFonts w:ascii="Arial" w:cs="Arial" w:eastAsia="Arial" w:hAnsi="Arial"/>
          <w:sz w:val="21"/>
          <w:szCs w:val="21"/>
          <w:b w:val="1"/>
          <w:bCs w:val="1"/>
          <w:u w:val="single" w:color="auto"/>
          <w:color w:val="0000FF"/>
        </w:rPr>
        <w:t>“RFR” when used in reference to any Loan or Borrowing, means that such Loan, or the Loans comprising such Borrowing, bears interest at a rate determined by reference to the Adjusted Daily Simple SOFR.</w:t>
      </w:r>
    </w:p>
    <w:p>
      <w:pPr>
        <w:spacing w:after="0" w:line="143" w:lineRule="exact"/>
        <w:rPr>
          <w:sz w:val="20"/>
          <w:szCs w:val="20"/>
          <w:color w:val="auto"/>
        </w:rPr>
      </w:pPr>
    </w:p>
    <w:p>
      <w:pPr>
        <w:ind w:left="620"/>
        <w:spacing w:after="0"/>
        <w:rPr>
          <w:sz w:val="20"/>
          <w:szCs w:val="20"/>
          <w:color w:val="auto"/>
        </w:rPr>
      </w:pPr>
      <w:r>
        <w:rPr>
          <w:rFonts w:ascii="Arial" w:cs="Arial" w:eastAsia="Arial" w:hAnsi="Arial"/>
          <w:sz w:val="21"/>
          <w:szCs w:val="21"/>
          <w:b w:val="1"/>
          <w:bCs w:val="1"/>
          <w:u w:val="single" w:color="auto"/>
          <w:color w:val="0000FF"/>
        </w:rPr>
        <w:t>“RFR Borrowing” means, as to any Borrowing, the RFR Loans comprising such Borrowing.</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21"/>
          <w:szCs w:val="21"/>
          <w:b w:val="1"/>
          <w:bCs w:val="1"/>
          <w:u w:val="single" w:color="auto"/>
          <w:color w:val="0000FF"/>
        </w:rPr>
        <w:t>“RFR Loan” means a Loan that bears interest at a rate based on the Adjusted Daily Simple SOFR.</w:t>
      </w:r>
    </w:p>
    <w:p>
      <w:pPr>
        <w:spacing w:after="0" w:line="189" w:lineRule="exact"/>
        <w:rPr>
          <w:sz w:val="20"/>
          <w:szCs w:val="20"/>
          <w:color w:val="auto"/>
        </w:rPr>
      </w:pPr>
    </w:p>
    <w:p>
      <w:pPr>
        <w:jc w:val="both"/>
        <w:ind w:firstLine="624"/>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Same Day Funds</w:t>
      </w:r>
      <w:r>
        <w:rPr>
          <w:rFonts w:ascii="Arial" w:cs="Arial" w:eastAsia="Arial" w:hAnsi="Arial"/>
          <w:sz w:val="20"/>
          <w:szCs w:val="20"/>
          <w:color w:val="auto"/>
        </w:rPr>
        <w:t xml:space="preserve">” means (a) with respect to disbursements and payments in US Dollars, immediately available funds, (b) with respect to disbursements and payments in an Alternative Currency, same day or other funds as may be determined by the Administrative Agent or the applicable L/C Issuer, as the case may be, to be customary in </w:t>
      </w:r>
      <w:r>
        <w:rPr>
          <w:rFonts w:ascii="Arial" w:cs="Arial" w:eastAsia="Arial" w:hAnsi="Arial"/>
          <w:sz w:val="20"/>
          <w:szCs w:val="20"/>
          <w:b w:val="1"/>
          <w:bCs w:val="1"/>
          <w:color w:val="FF0000"/>
          <w:strike w:val="1"/>
        </w:rPr>
        <w:t>London, or in</w:t>
      </w:r>
      <w:r>
        <w:rPr>
          <w:rFonts w:ascii="Arial" w:cs="Arial" w:eastAsia="Arial" w:hAnsi="Arial"/>
          <w:sz w:val="20"/>
          <w:szCs w:val="20"/>
          <w:color w:val="auto"/>
        </w:rPr>
        <w:t xml:space="preserve"> the place of disbursement or payment, for the settlement of international banking transactions in the relevant Alternative Currency and (c) with respect to disbursements and payments in a Discretionary Alternative Currency, same day or other funds as may be determined by the Administrative Agent to be customary in </w:t>
      </w:r>
      <w:r>
        <w:rPr>
          <w:rFonts w:ascii="Arial" w:cs="Arial" w:eastAsia="Arial" w:hAnsi="Arial"/>
          <w:sz w:val="20"/>
          <w:szCs w:val="20"/>
          <w:b w:val="1"/>
          <w:bCs w:val="1"/>
          <w:color w:val="FF0000"/>
          <w:strike w:val="1"/>
        </w:rPr>
        <w:t>London, or in</w:t>
      </w:r>
      <w:r>
        <w:rPr>
          <w:rFonts w:ascii="Arial" w:cs="Arial" w:eastAsia="Arial" w:hAnsi="Arial"/>
          <w:sz w:val="20"/>
          <w:szCs w:val="20"/>
          <w:color w:val="auto"/>
        </w:rPr>
        <w:t xml:space="preserve"> the place of disbursement or payment, for the settlement of international banking transactions in the relevant Discretionary Alternative Currency.</w:t>
      </w:r>
    </w:p>
    <w:p>
      <w:pPr>
        <w:spacing w:after="0" w:line="153" w:lineRule="exact"/>
        <w:rPr>
          <w:sz w:val="20"/>
          <w:szCs w:val="20"/>
          <w:color w:val="auto"/>
        </w:rPr>
      </w:pPr>
    </w:p>
    <w:p>
      <w:pPr>
        <w:jc w:val="both"/>
        <w:ind w:firstLine="624"/>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Sanctioned Country</w:t>
      </w:r>
      <w:r>
        <w:rPr>
          <w:rFonts w:ascii="Arial" w:cs="Arial" w:eastAsia="Arial" w:hAnsi="Arial"/>
          <w:sz w:val="21"/>
          <w:szCs w:val="21"/>
          <w:color w:val="auto"/>
        </w:rPr>
        <w:t>” means, at any time, a country, region or territory that is the subject or target of any Sanctions that broadly prohibit dealings with that country, region or territory.</w:t>
      </w:r>
    </w:p>
    <w:p>
      <w:pPr>
        <w:spacing w:after="0" w:line="155" w:lineRule="exact"/>
        <w:rPr>
          <w:sz w:val="20"/>
          <w:szCs w:val="20"/>
          <w:color w:val="auto"/>
        </w:rPr>
      </w:pPr>
    </w:p>
    <w:p>
      <w:pPr>
        <w:jc w:val="both"/>
        <w:ind w:firstLine="624"/>
        <w:spacing w:after="0" w:line="21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Sanctioned Person</w:t>
      </w:r>
      <w:r>
        <w:rPr>
          <w:rFonts w:ascii="Arial" w:cs="Arial" w:eastAsia="Arial" w:hAnsi="Arial"/>
          <w:sz w:val="21"/>
          <w:szCs w:val="21"/>
          <w:color w:val="auto"/>
        </w:rPr>
        <w:t xml:space="preserve"> ” means, at any time, (a) any Person whose name appears on the list of Specially Designated Nationals and Blocked Persons or on any other similar list of designated Persons published by OFAC, the United States Department of State, the United States Department of the Treasury or the United States Department of Commerce, (b) any Person listed in any Sanctions-related list of designated Persons maintained by </w:t>
      </w:r>
      <w:r>
        <w:rPr>
          <w:rFonts w:ascii="Arial" w:cs="Arial" w:eastAsia="Arial" w:hAnsi="Arial"/>
          <w:sz w:val="21"/>
          <w:szCs w:val="21"/>
          <w:b w:val="1"/>
          <w:bCs w:val="1"/>
          <w:color w:val="FF0000"/>
          <w:strike w:val="1"/>
        </w:rPr>
        <w:t>Her</w:t>
      </w:r>
      <w:r>
        <w:rPr>
          <w:rFonts w:ascii="Arial" w:cs="Arial" w:eastAsia="Arial" w:hAnsi="Arial"/>
          <w:sz w:val="21"/>
          <w:szCs w:val="21"/>
          <w:b w:val="1"/>
          <w:bCs w:val="1"/>
          <w:u w:val="single" w:color="auto"/>
          <w:color w:val="0000FF"/>
        </w:rPr>
        <w:t>His</w:t>
      </w:r>
      <w:r>
        <w:rPr>
          <w:rFonts w:ascii="Arial" w:cs="Arial" w:eastAsia="Arial" w:hAnsi="Arial"/>
          <w:sz w:val="21"/>
          <w:szCs w:val="21"/>
          <w:color w:val="auto"/>
        </w:rPr>
        <w:t xml:space="preserve"> Majesty’s Treasury of the United Kingdom, the European Union or any EU member state, (c) any Person located, organized or resident in a Sanctioned Country, (d) any Person subject to Sanctions by reason of a relationship of ownership or control with any such Person or Persons identified in clauses (a) or (b) above or (e) any Person otherwise the subject of Sanctions.</w:t>
      </w:r>
    </w:p>
    <w:p>
      <w:pPr>
        <w:spacing w:after="0" w:line="154" w:lineRule="exact"/>
        <w:rPr>
          <w:sz w:val="20"/>
          <w:szCs w:val="20"/>
          <w:color w:val="auto"/>
        </w:rPr>
      </w:pPr>
    </w:p>
    <w:p>
      <w:pPr>
        <w:jc w:val="both"/>
        <w:ind w:firstLine="624"/>
        <w:spacing w:after="0" w:line="22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Sanctions</w:t>
      </w:r>
      <w:r>
        <w:rPr>
          <w:rFonts w:ascii="Arial" w:cs="Arial" w:eastAsia="Arial" w:hAnsi="Arial"/>
          <w:sz w:val="21"/>
          <w:szCs w:val="21"/>
          <w:color w:val="auto"/>
        </w:rPr>
        <w:t xml:space="preserve">” means any economic or financial sanctions or trade embargoes administered or enforced by the United States federal government (including OFAC, the United States Department of State, the United States Department of the Treasury and the United States Department of Commerce), </w:t>
      </w:r>
      <w:r>
        <w:rPr>
          <w:rFonts w:ascii="Arial" w:cs="Arial" w:eastAsia="Arial" w:hAnsi="Arial"/>
          <w:sz w:val="21"/>
          <w:szCs w:val="21"/>
          <w:b w:val="1"/>
          <w:bCs w:val="1"/>
          <w:color w:val="FF0000"/>
          <w:strike w:val="1"/>
        </w:rPr>
        <w:t>Her</w:t>
      </w:r>
      <w:r>
        <w:rPr>
          <w:rFonts w:ascii="Arial" w:cs="Arial" w:eastAsia="Arial" w:hAnsi="Arial"/>
          <w:sz w:val="21"/>
          <w:szCs w:val="21"/>
          <w:b w:val="1"/>
          <w:bCs w:val="1"/>
          <w:u w:val="single" w:color="auto"/>
          <w:color w:val="0000FF"/>
        </w:rPr>
        <w:t>His</w:t>
      </w:r>
      <w:r>
        <w:rPr>
          <w:rFonts w:ascii="Arial" w:cs="Arial" w:eastAsia="Arial" w:hAnsi="Arial"/>
          <w:sz w:val="21"/>
          <w:szCs w:val="21"/>
          <w:color w:val="auto"/>
        </w:rPr>
        <w:t xml:space="preserve"> Majesty’s Treasury of the United Kingdom, the European Union or any EU member state in which the Borrower or a Subsidiary is organized or operates.</w:t>
      </w:r>
    </w:p>
    <w:p>
      <w:pPr>
        <w:spacing w:after="0" w:line="154" w:lineRule="exact"/>
        <w:rPr>
          <w:sz w:val="20"/>
          <w:szCs w:val="20"/>
          <w:color w:val="auto"/>
        </w:rPr>
      </w:pPr>
    </w:p>
    <w:p>
      <w:pPr>
        <w:jc w:val="both"/>
        <w:ind w:firstLine="624"/>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w:t>
      </w:r>
      <w:r>
        <w:rPr>
          <w:rFonts w:ascii="Arial" w:cs="Arial" w:eastAsia="Arial" w:hAnsi="Arial"/>
          <w:sz w:val="21"/>
          <w:szCs w:val="21"/>
          <w:color w:val="auto"/>
        </w:rPr>
        <w:t>” means the Securities and Exchange Commission, or any Governmental Authority succeeding to any of its principal functions.</w:t>
      </w:r>
    </w:p>
    <w:p>
      <w:pPr>
        <w:spacing w:after="0" w:line="155" w:lineRule="exact"/>
        <w:rPr>
          <w:sz w:val="20"/>
          <w:szCs w:val="20"/>
          <w:color w:val="auto"/>
        </w:rPr>
      </w:pPr>
    </w:p>
    <w:p>
      <w:pPr>
        <w:jc w:val="both"/>
        <w:ind w:firstLine="624"/>
        <w:spacing w:after="0" w:line="23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 Documents</w:t>
      </w:r>
      <w:r>
        <w:rPr>
          <w:rFonts w:ascii="Arial" w:cs="Arial" w:eastAsia="Arial" w:hAnsi="Arial"/>
          <w:sz w:val="21"/>
          <w:szCs w:val="21"/>
          <w:color w:val="auto"/>
        </w:rPr>
        <w:t>” means all reports, schedules, forms, proxy statements, prospectuses (including prospectus supplements), registration statements and other information filed by the Borrower with the SEC or furnished by the Borrower to the SEC pursuant to the Securities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33</w:t>
      </w:r>
    </w:p>
    <w:p>
      <w:pPr>
        <w:sectPr>
          <w:pgSz w:w="11900" w:h="16838" w:orient="portrait"/>
          <w:cols w:equalWidth="0" w:num="1">
            <w:col w:w="11240"/>
          </w:cols>
          <w:pgMar w:left="320" w:top="1152" w:right="339" w:bottom="1440" w:gutter="0" w:footer="0" w:header="0"/>
        </w:sectPr>
      </w:pPr>
    </w:p>
    <w:bookmarkStart w:id="172" w:name="page173"/>
    <w:bookmarkEnd w:id="172"/>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Securities Act</w:t>
      </w:r>
      <w:r>
        <w:rPr>
          <w:rFonts w:ascii="Arial" w:cs="Arial" w:eastAsia="Arial" w:hAnsi="Arial"/>
          <w:sz w:val="21"/>
          <w:szCs w:val="21"/>
          <w:color w:val="auto"/>
        </w:rPr>
        <w:t>” means the Securities Act of 1933.</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Securities Exchange Act</w:t>
      </w:r>
      <w:r>
        <w:rPr>
          <w:rFonts w:ascii="Arial" w:cs="Arial" w:eastAsia="Arial" w:hAnsi="Arial"/>
          <w:sz w:val="21"/>
          <w:szCs w:val="21"/>
          <w:color w:val="auto"/>
        </w:rPr>
        <w:t>” means the Securities Exchange Act of 1934.</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21"/>
          <w:szCs w:val="21"/>
          <w:b w:val="1"/>
          <w:bCs w:val="1"/>
          <w:u w:val="single" w:color="auto"/>
          <w:color w:val="0000FF"/>
        </w:rPr>
        <w:t>“SOFR” has the meaning specified in Section 2.17(g).</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1"/>
          <w:szCs w:val="21"/>
          <w:b w:val="1"/>
          <w:bCs w:val="1"/>
          <w:u w:val="single" w:color="auto"/>
          <w:color w:val="0000FF"/>
        </w:rPr>
        <w:t>“SOFR Administrator” has the meaning specified in Section 2.17(g).</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1"/>
          <w:szCs w:val="21"/>
          <w:b w:val="1"/>
          <w:bCs w:val="1"/>
          <w:u w:val="single" w:color="auto"/>
          <w:color w:val="0000FF"/>
        </w:rPr>
        <w:t>“SOFR Administrator’s Website” has the meaning specified in Section 2.17(g).</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21"/>
          <w:szCs w:val="21"/>
          <w:b w:val="1"/>
          <w:bCs w:val="1"/>
          <w:u w:val="single" w:color="auto"/>
          <w:color w:val="0000FF"/>
        </w:rPr>
        <w:t>“SOFR Rate Day” has the meaning specified in Section 2.17(g).</w:t>
      </w:r>
    </w:p>
    <w:p>
      <w:pPr>
        <w:spacing w:after="0" w:line="189" w:lineRule="exact"/>
        <w:rPr>
          <w:sz w:val="20"/>
          <w:szCs w:val="20"/>
          <w:color w:val="auto"/>
        </w:rPr>
      </w:pPr>
    </w:p>
    <w:p>
      <w:pPr>
        <w:jc w:val="both"/>
        <w:ind w:firstLine="624"/>
        <w:spacing w:after="0" w:line="23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Special Notice Currency</w:t>
      </w:r>
      <w:r>
        <w:rPr>
          <w:rFonts w:ascii="Arial" w:cs="Arial" w:eastAsia="Arial" w:hAnsi="Arial"/>
          <w:sz w:val="21"/>
          <w:szCs w:val="21"/>
          <w:color w:val="auto"/>
        </w:rPr>
        <w:t>” means, at any time, an Alternative Currency or a Discretionary Alternative Currency that is not the currency of a country that is a member of the Organization for Economic Cooperation and Development at such time located in North America or Europe.</w:t>
      </w:r>
    </w:p>
    <w:p>
      <w:pPr>
        <w:spacing w:after="0" w:line="148" w:lineRule="exact"/>
        <w:rPr>
          <w:sz w:val="20"/>
          <w:szCs w:val="20"/>
          <w:color w:val="auto"/>
        </w:rPr>
      </w:pPr>
    </w:p>
    <w:p>
      <w:pPr>
        <w:ind w:left="620"/>
        <w:spacing w:after="0"/>
        <w:rPr>
          <w:sz w:val="20"/>
          <w:szCs w:val="20"/>
          <w:color w:val="auto"/>
        </w:rPr>
      </w:pPr>
      <w:r>
        <w:rPr>
          <w:rFonts w:ascii="Arial" w:cs="Arial" w:eastAsia="Arial" w:hAnsi="Arial"/>
          <w:sz w:val="21"/>
          <w:szCs w:val="21"/>
          <w:b w:val="1"/>
          <w:bCs w:val="1"/>
          <w:color w:val="FF0000"/>
          <w:strike w:val="1"/>
        </w:rPr>
        <w:t>“</w:t>
      </w:r>
      <w:r>
        <w:rPr>
          <w:rFonts w:ascii="Arial" w:cs="Arial" w:eastAsia="Arial" w:hAnsi="Arial"/>
          <w:sz w:val="21"/>
          <w:szCs w:val="21"/>
          <w:b w:val="1"/>
          <w:bCs w:val="1"/>
          <w:u w:val="single" w:color="auto"/>
          <w:color w:val="FF0000"/>
          <w:strike w:val="1"/>
        </w:rPr>
        <w:t>Specified Time</w:t>
      </w:r>
      <w:r>
        <w:rPr>
          <w:rFonts w:ascii="Arial" w:cs="Arial" w:eastAsia="Arial" w:hAnsi="Arial"/>
          <w:sz w:val="21"/>
          <w:szCs w:val="21"/>
          <w:b w:val="1"/>
          <w:bCs w:val="1"/>
          <w:color w:val="FF0000"/>
          <w:strike w:val="1"/>
        </w:rPr>
        <w:t>” means, with respect to any Eurocurrency Rate Borrowing, 11:00 a.m., London time.</w:t>
      </w:r>
    </w:p>
    <w:p>
      <w:pPr>
        <w:spacing w:after="0" w:line="183" w:lineRule="exact"/>
        <w:rPr>
          <w:sz w:val="20"/>
          <w:szCs w:val="20"/>
          <w:color w:val="auto"/>
        </w:rPr>
      </w:pPr>
    </w:p>
    <w:p>
      <w:pPr>
        <w:jc w:val="both"/>
        <w:ind w:firstLine="624"/>
        <w:spacing w:after="0"/>
        <w:rPr>
          <w:sz w:val="20"/>
          <w:szCs w:val="20"/>
          <w:color w:val="auto"/>
        </w:rPr>
      </w:pPr>
      <w:r>
        <w:rPr>
          <w:rFonts w:ascii="Arial" w:cs="Arial" w:eastAsia="Arial" w:hAnsi="Arial"/>
          <w:sz w:val="19"/>
          <w:szCs w:val="19"/>
          <w:b w:val="1"/>
          <w:bCs w:val="1"/>
          <w:color w:val="FF0000"/>
          <w:strike w:val="1"/>
        </w:rPr>
        <w:t>“</w:t>
      </w:r>
      <w:r>
        <w:rPr>
          <w:rFonts w:ascii="Arial" w:cs="Arial" w:eastAsia="Arial" w:hAnsi="Arial"/>
          <w:sz w:val="19"/>
          <w:szCs w:val="19"/>
          <w:b w:val="1"/>
          <w:bCs w:val="1"/>
          <w:u w:val="single" w:color="auto"/>
          <w:color w:val="FF0000"/>
          <w:strike w:val="1"/>
        </w:rPr>
        <w:t>Statutory Reserve Rate</w:t>
      </w:r>
      <w:r>
        <w:rPr>
          <w:rFonts w:ascii="Arial" w:cs="Arial" w:eastAsia="Arial" w:hAnsi="Arial"/>
          <w:sz w:val="19"/>
          <w:szCs w:val="19"/>
          <w:b w:val="1"/>
          <w:bCs w:val="1"/>
          <w:color w:val="FF0000"/>
          <w:strike w:val="1"/>
        </w:rPr>
        <w:t>” means a fraction (expressed as a decimal), the numerator of which is the number one and the denominator of which is the number one minus the aggregate of the maximum reserve percentages (including any marginal, special, emergency or supplemental reserves), expressed as a decimal, established by the Federal Reserve Board to which the Administrative Agent is subject for eurocurrency funding (currently referred to as “Eurocurrency Liabilities” in Regulation D of the Federal Reserve Board). Such reserve percentages shall include those imposed pursuant to such Regulation D. Eurocurrency Loans shall be deemed to constitute eurocurrency funding and to be subject to 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any reserve percentage.</w:t>
      </w:r>
    </w:p>
    <w:p>
      <w:pPr>
        <w:spacing w:after="0" w:line="160" w:lineRule="exact"/>
        <w:rPr>
          <w:sz w:val="20"/>
          <w:szCs w:val="20"/>
          <w:color w:val="auto"/>
        </w:rPr>
      </w:pPr>
    </w:p>
    <w:p>
      <w:pPr>
        <w:jc w:val="both"/>
        <w:ind w:firstLine="624"/>
        <w:spacing w:after="0" w:line="23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xml:space="preserve"> ” means, with respect to any Person, a corporation, partnership, joint venture, limited liability company or other business entity (a) of which a majority of the Equity Interests having ordinary voting power for the election of directors or other governing body (other than Equity Interests having such power only by reason of the happening of a contingency) are at the time beneficially owned, or (b) that is, at the time any determination is made, otherwise Controlled, by such Person or one or more Subsidiaries of such Person or by such Person and one or more Subsidiaries of such Person. Unless otherwise specified, all references herein to a “Subsidiary” or to “Subsidiaries” will refer to a Subsidiary or Subsidiaries of the Borrower.</w:t>
      </w:r>
    </w:p>
    <w:p>
      <w:pPr>
        <w:spacing w:after="0" w:line="156" w:lineRule="exact"/>
        <w:rPr>
          <w:sz w:val="20"/>
          <w:szCs w:val="20"/>
          <w:color w:val="auto"/>
        </w:rPr>
      </w:pPr>
    </w:p>
    <w:p>
      <w:pPr>
        <w:jc w:val="both"/>
        <w:ind w:firstLine="624"/>
        <w:spacing w:after="0" w:line="26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 Guarantor</w:t>
      </w:r>
      <w:r>
        <w:rPr>
          <w:rFonts w:ascii="Arial" w:cs="Arial" w:eastAsia="Arial" w:hAnsi="Arial"/>
          <w:sz w:val="20"/>
          <w:szCs w:val="20"/>
          <w:color w:val="auto"/>
        </w:rPr>
        <w:t xml:space="preserve">” means (a) Incyte Holdings Corporation and (b) each other Subsidiary of the Borrower that, after the Effective Date, becomes a party to this Agreement as a “Guarantor”, either pursuant to </w:t>
      </w:r>
      <w:r>
        <w:rPr>
          <w:rFonts w:ascii="Arial" w:cs="Arial" w:eastAsia="Arial" w:hAnsi="Arial"/>
          <w:sz w:val="20"/>
          <w:szCs w:val="20"/>
          <w:u w:val="single" w:color="auto"/>
          <w:color w:val="auto"/>
        </w:rPr>
        <w:t>Section 7.03</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9.11</w:t>
      </w:r>
      <w:r>
        <w:rPr>
          <w:rFonts w:ascii="Arial" w:cs="Arial" w:eastAsia="Arial" w:hAnsi="Arial"/>
          <w:sz w:val="20"/>
          <w:szCs w:val="20"/>
          <w:color w:val="auto"/>
        </w:rPr>
        <w:t>.</w:t>
      </w:r>
    </w:p>
    <w:p>
      <w:pPr>
        <w:spacing w:after="0" w:line="13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Supported QFC</w:t>
      </w:r>
      <w:r>
        <w:rPr>
          <w:rFonts w:ascii="Arial" w:cs="Arial" w:eastAsia="Arial" w:hAnsi="Arial"/>
          <w:sz w:val="21"/>
          <w:szCs w:val="21"/>
          <w:color w:val="auto"/>
        </w:rPr>
        <w:t xml:space="preserve">” has the meaning specified in </w:t>
      </w:r>
      <w:r>
        <w:rPr>
          <w:rFonts w:ascii="Arial" w:cs="Arial" w:eastAsia="Arial" w:hAnsi="Arial"/>
          <w:sz w:val="21"/>
          <w:szCs w:val="21"/>
          <w:u w:val="single" w:color="auto"/>
          <w:color w:val="auto"/>
        </w:rPr>
        <w:t>Section 11.20</w:t>
      </w:r>
      <w:r>
        <w:rPr>
          <w:rFonts w:ascii="Arial" w:cs="Arial" w:eastAsia="Arial" w:hAnsi="Arial"/>
          <w:sz w:val="21"/>
          <w:szCs w:val="21"/>
          <w:color w:val="auto"/>
        </w:rPr>
        <w:t>.</w:t>
      </w:r>
    </w:p>
    <w:p>
      <w:pPr>
        <w:spacing w:after="0" w:line="183" w:lineRule="exact"/>
        <w:rPr>
          <w:sz w:val="20"/>
          <w:szCs w:val="20"/>
          <w:color w:val="auto"/>
        </w:rPr>
      </w:pPr>
    </w:p>
    <w:p>
      <w:pPr>
        <w:jc w:val="both"/>
        <w:ind w:firstLine="624"/>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Swap Contract</w:t>
      </w:r>
      <w:r>
        <w:rPr>
          <w:rFonts w:ascii="Arial" w:cs="Arial" w:eastAsia="Arial" w:hAnsi="Arial"/>
          <w:sz w:val="21"/>
          <w:szCs w:val="21"/>
          <w:color w:val="auto"/>
        </w:rPr>
        <w:t>” means (a) any and all rate swap transactions, basis swaps, credit derivative transactions, forward rate transactions, commodity swaps, commodity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34</w:t>
      </w:r>
    </w:p>
    <w:p>
      <w:pPr>
        <w:sectPr>
          <w:pgSz w:w="11900" w:h="16838" w:orient="portrait"/>
          <w:cols w:equalWidth="0" w:num="1">
            <w:col w:w="11240"/>
          </w:cols>
          <w:pgMar w:left="320" w:top="1152" w:right="339" w:bottom="1440" w:gutter="0" w:footer="0" w:header="0"/>
        </w:sectPr>
      </w:pPr>
    </w:p>
    <w:bookmarkStart w:id="173" w:name="page174"/>
    <w:bookmarkEnd w:id="173"/>
    <w:p>
      <w:pPr>
        <w:jc w:val="both"/>
        <w:spacing w:after="0"/>
        <w:rPr>
          <w:sz w:val="20"/>
          <w:szCs w:val="20"/>
          <w:color w:val="auto"/>
        </w:rPr>
      </w:pPr>
      <w:r>
        <w:rPr>
          <w:rFonts w:ascii="Arial" w:cs="Arial" w:eastAsia="Arial" w:hAnsi="Arial"/>
          <w:sz w:val="19"/>
          <w:szCs w:val="19"/>
          <w:color w:val="auto"/>
        </w:rPr>
        <w:t>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9"/>
          <w:szCs w:val="19"/>
          <w:u w:val="single" w:color="auto"/>
          <w:color w:val="auto"/>
        </w:rPr>
        <w:t>Master Agreement</w:t>
      </w:r>
      <w:r>
        <w:rPr>
          <w:rFonts w:ascii="Arial" w:cs="Arial" w:eastAsia="Arial" w:hAnsi="Arial"/>
          <w:sz w:val="19"/>
          <w:szCs w:val="19"/>
          <w:color w:val="auto"/>
        </w:rPr>
        <w:t>”), including any such obligations or liabilities under any Master Agreement.</w:t>
      </w:r>
    </w:p>
    <w:p>
      <w:pPr>
        <w:spacing w:after="0" w:line="154" w:lineRule="exact"/>
        <w:rPr>
          <w:sz w:val="20"/>
          <w:szCs w:val="20"/>
          <w:color w:val="auto"/>
        </w:rPr>
      </w:pPr>
    </w:p>
    <w:p>
      <w:pPr>
        <w:jc w:val="both"/>
        <w:ind w:firstLine="624"/>
        <w:spacing w:after="0" w:line="21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Swap Termination Value</w:t>
      </w:r>
      <w:r>
        <w:rPr>
          <w:rFonts w:ascii="Arial" w:cs="Arial" w:eastAsia="Arial" w:hAnsi="Arial"/>
          <w:sz w:val="21"/>
          <w:szCs w:val="21"/>
          <w:color w:val="auto"/>
        </w:rPr>
        <w:t xml:space="preserve">” means, in respect of any one or more Swap Contracts, after taking into account the effect of any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Arial" w:cs="Arial" w:eastAsia="Arial" w:hAnsi="Arial"/>
          <w:sz w:val="21"/>
          <w:szCs w:val="21"/>
          <w:u w:val="single" w:color="auto"/>
          <w:color w:val="auto"/>
        </w:rPr>
        <w:t>clause (a)</w:t>
      </w:r>
      <w:r>
        <w:rPr>
          <w:rFonts w:ascii="Arial" w:cs="Arial" w:eastAsia="Arial" w:hAnsi="Arial"/>
          <w:sz w:val="21"/>
          <w:szCs w:val="21"/>
          <w:color w:val="auto"/>
        </w:rPr>
        <w:t xml:space="preserve"> of this definition, the amount(s) determined as the mark-to-market value(s) for such Swap Contracts, as determined based upon one or more mid-market or other readily available quotations provided by any recognized dealer in such Swap Contracts (which may include a Lender or any Affiliate of a Lender) or any third party in the business of determining such values acceptable to the Administrative Agent.</w:t>
      </w:r>
    </w:p>
    <w:p>
      <w:pPr>
        <w:spacing w:after="0" w:line="154" w:lineRule="exact"/>
        <w:rPr>
          <w:sz w:val="20"/>
          <w:szCs w:val="20"/>
          <w:color w:val="auto"/>
        </w:rPr>
      </w:pPr>
    </w:p>
    <w:p>
      <w:pPr>
        <w:jc w:val="both"/>
        <w:ind w:firstLine="624"/>
        <w:spacing w:after="0" w:line="23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Taxes</w:t>
      </w:r>
      <w:r>
        <w:rPr>
          <w:rFonts w:ascii="Arial" w:cs="Arial" w:eastAsia="Arial" w:hAnsi="Arial"/>
          <w:sz w:val="21"/>
          <w:szCs w:val="21"/>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48" w:lineRule="exact"/>
        <w:rPr>
          <w:sz w:val="20"/>
          <w:szCs w:val="20"/>
          <w:color w:val="auto"/>
        </w:rPr>
      </w:pPr>
    </w:p>
    <w:p>
      <w:pPr>
        <w:jc w:val="both"/>
        <w:ind w:firstLine="624"/>
        <w:spacing w:after="0" w:line="270" w:lineRule="auto"/>
        <w:rPr>
          <w:sz w:val="20"/>
          <w:szCs w:val="20"/>
          <w:color w:val="auto"/>
        </w:rPr>
      </w:pPr>
      <w:r>
        <w:rPr>
          <w:rFonts w:ascii="Arial" w:cs="Arial" w:eastAsia="Arial" w:hAnsi="Arial"/>
          <w:sz w:val="20"/>
          <w:szCs w:val="20"/>
          <w:b w:val="1"/>
          <w:bCs w:val="1"/>
          <w:u w:val="single" w:color="auto"/>
          <w:color w:val="0000FF"/>
        </w:rPr>
        <w:t>“Term Benchmark”, when used in reference to any Loan or Borrowing, means that such Loan, or the Loans comprising such Borrowing, bears interest at a rate determined by reference to the Adjusted Term SOFR Rate.</w:t>
      </w:r>
    </w:p>
    <w:p>
      <w:pPr>
        <w:spacing w:after="0" w:line="119" w:lineRule="exact"/>
        <w:rPr>
          <w:sz w:val="20"/>
          <w:szCs w:val="20"/>
          <w:color w:val="auto"/>
        </w:rPr>
      </w:pPr>
    </w:p>
    <w:p>
      <w:pPr>
        <w:ind w:left="620"/>
        <w:spacing w:after="0"/>
        <w:rPr>
          <w:sz w:val="20"/>
          <w:szCs w:val="20"/>
          <w:color w:val="auto"/>
        </w:rPr>
      </w:pPr>
      <w:r>
        <w:rPr>
          <w:rFonts w:ascii="Arial" w:cs="Arial" w:eastAsia="Arial" w:hAnsi="Arial"/>
          <w:sz w:val="21"/>
          <w:szCs w:val="21"/>
          <w:b w:val="1"/>
          <w:bCs w:val="1"/>
          <w:u w:val="single" w:color="auto"/>
          <w:color w:val="0000FF"/>
        </w:rPr>
        <w:t>“Term Benchmark Borrowing” means a Borrowing comprised of Term Benchmark Loans.</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21"/>
          <w:szCs w:val="21"/>
          <w:b w:val="1"/>
          <w:bCs w:val="1"/>
          <w:u w:val="single" w:color="auto"/>
          <w:color w:val="0000FF"/>
        </w:rPr>
        <w:t>“Term Benchmark Loan” means a Loan that bears interest by reference to the Adjusted Term SOFR Rate.</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9"/>
          <w:szCs w:val="19"/>
          <w:b w:val="1"/>
          <w:bCs w:val="1"/>
          <w:u w:val="single" w:color="auto"/>
          <w:color w:val="0000FF"/>
        </w:rPr>
        <w:t>“Term SOFR Determination Day” has the meaning assigned to it under the definition of Term SOFR Reference Rate.</w:t>
      </w:r>
    </w:p>
    <w:p>
      <w:pPr>
        <w:spacing w:after="0" w:line="206" w:lineRule="exact"/>
        <w:rPr>
          <w:sz w:val="20"/>
          <w:szCs w:val="20"/>
          <w:color w:val="auto"/>
        </w:rPr>
      </w:pPr>
    </w:p>
    <w:p>
      <w:pPr>
        <w:jc w:val="both"/>
        <w:ind w:firstLine="624"/>
        <w:spacing w:after="0" w:line="226" w:lineRule="auto"/>
        <w:rPr>
          <w:sz w:val="20"/>
          <w:szCs w:val="20"/>
          <w:color w:val="auto"/>
        </w:rPr>
      </w:pPr>
      <w:r>
        <w:rPr>
          <w:rFonts w:ascii="Arial" w:cs="Arial" w:eastAsia="Arial" w:hAnsi="Arial"/>
          <w:sz w:val="21"/>
          <w:szCs w:val="21"/>
          <w:b w:val="1"/>
          <w:bCs w:val="1"/>
          <w:u w:val="single" w:color="auto"/>
          <w:color w:val="0000FF"/>
        </w:rPr>
        <w:t>“Term SOFR Rate” means, with respect to any Term Benchmark Borrowing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pacing w:after="0" w:line="150" w:lineRule="exact"/>
        <w:rPr>
          <w:sz w:val="20"/>
          <w:szCs w:val="20"/>
          <w:color w:val="auto"/>
        </w:rPr>
      </w:pPr>
    </w:p>
    <w:p>
      <w:pPr>
        <w:jc w:val="both"/>
        <w:ind w:firstLine="624"/>
        <w:spacing w:after="0" w:line="297" w:lineRule="auto"/>
        <w:rPr>
          <w:sz w:val="20"/>
          <w:szCs w:val="20"/>
          <w:color w:val="auto"/>
        </w:rPr>
      </w:pPr>
      <w:r>
        <w:rPr>
          <w:rFonts w:ascii="Arial" w:cs="Arial" w:eastAsia="Arial" w:hAnsi="Arial"/>
          <w:sz w:val="19"/>
          <w:szCs w:val="19"/>
          <w:b w:val="1"/>
          <w:bCs w:val="1"/>
          <w:u w:val="single" w:color="auto"/>
          <w:color w:val="0000FF"/>
        </w:rPr>
        <w:t>“Term SOFR Reference Rate” means, for any day and time (such day, the “Term SOFR Determination Day”), with respect to any Term Benchmark Borrowing denominated in Dollars and for any tenor comparable to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35</w:t>
      </w:r>
    </w:p>
    <w:p>
      <w:pPr>
        <w:sectPr>
          <w:pgSz w:w="11900" w:h="16838" w:orient="portrait"/>
          <w:cols w:equalWidth="0" w:num="1">
            <w:col w:w="11240"/>
          </w:cols>
          <w:pgMar w:left="320" w:top="1152" w:right="339" w:bottom="1440" w:gutter="0" w:footer="0" w:header="0"/>
        </w:sectPr>
      </w:pPr>
    </w:p>
    <w:bookmarkStart w:id="174" w:name="page175"/>
    <w:bookmarkEnd w:id="174"/>
    <w:p>
      <w:pPr>
        <w:jc w:val="both"/>
        <w:spacing w:after="0"/>
        <w:rPr>
          <w:sz w:val="20"/>
          <w:szCs w:val="20"/>
          <w:color w:val="auto"/>
        </w:rPr>
      </w:pPr>
      <w:r>
        <w:rPr>
          <w:rFonts w:ascii="Arial" w:cs="Arial" w:eastAsia="Arial" w:hAnsi="Arial"/>
          <w:sz w:val="19"/>
          <w:szCs w:val="19"/>
          <w:b w:val="1"/>
          <w:bCs w:val="1"/>
          <w:u w:val="single" w:color="auto"/>
          <w:color w:val="0000FF"/>
        </w:rPr>
        <w:t>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Term SOFR Determination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p>
    <w:p>
      <w:pPr>
        <w:spacing w:after="0" w:line="16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Total Outstandings</w:t>
      </w:r>
      <w:r>
        <w:rPr>
          <w:rFonts w:ascii="Arial" w:cs="Arial" w:eastAsia="Arial" w:hAnsi="Arial"/>
          <w:sz w:val="21"/>
          <w:szCs w:val="21"/>
          <w:color w:val="auto"/>
        </w:rPr>
        <w:t>” means the aggregate Outstanding Amount of all Loans and all L/C Obligations.</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Trade Date</w:t>
      </w:r>
      <w:r>
        <w:rPr>
          <w:rFonts w:ascii="Arial" w:cs="Arial" w:eastAsia="Arial" w:hAnsi="Arial"/>
          <w:sz w:val="21"/>
          <w:szCs w:val="21"/>
          <w:color w:val="auto"/>
        </w:rPr>
        <w:t xml:space="preserve">” has the meaning specified in </w:t>
      </w:r>
      <w:r>
        <w:rPr>
          <w:rFonts w:ascii="Arial" w:cs="Arial" w:eastAsia="Arial" w:hAnsi="Arial"/>
          <w:sz w:val="21"/>
          <w:szCs w:val="21"/>
          <w:u w:val="single" w:color="auto"/>
          <w:color w:val="auto"/>
        </w:rPr>
        <w:t>Section 11.06(h)(i)</w:t>
      </w:r>
      <w:r>
        <w:rPr>
          <w:rFonts w:ascii="Arial" w:cs="Arial" w:eastAsia="Arial" w:hAnsi="Arial"/>
          <w:sz w:val="21"/>
          <w:szCs w:val="21"/>
          <w:color w:val="auto"/>
        </w:rPr>
        <w:t>.</w:t>
      </w:r>
    </w:p>
    <w:p>
      <w:pPr>
        <w:spacing w:after="0" w:line="177" w:lineRule="exact"/>
        <w:rPr>
          <w:sz w:val="20"/>
          <w:szCs w:val="20"/>
          <w:color w:val="auto"/>
        </w:rPr>
      </w:pPr>
    </w:p>
    <w:p>
      <w:pPr>
        <w:jc w:val="both"/>
        <w:ind w:firstLine="624"/>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Type</w:t>
      </w:r>
      <w:r>
        <w:rPr>
          <w:rFonts w:ascii="Arial" w:cs="Arial" w:eastAsia="Arial" w:hAnsi="Arial"/>
          <w:sz w:val="20"/>
          <w:szCs w:val="20"/>
          <w:color w:val="auto"/>
        </w:rPr>
        <w:t xml:space="preserve">” means (a) with respect to a Committed Loan, its character as a Base Rate Loan </w:t>
      </w:r>
      <w:r>
        <w:rPr>
          <w:rFonts w:ascii="Arial" w:cs="Arial" w:eastAsia="Arial" w:hAnsi="Arial"/>
          <w:sz w:val="20"/>
          <w:szCs w:val="20"/>
          <w:b w:val="1"/>
          <w:bCs w:val="1"/>
          <w:color w:val="FF0000"/>
        </w:rPr>
        <w:t>or</w:t>
      </w:r>
      <w:r>
        <w:rPr>
          <w:rFonts w:ascii="Arial" w:cs="Arial" w:eastAsia="Arial" w:hAnsi="Arial"/>
          <w:sz w:val="20"/>
          <w:szCs w:val="20"/>
          <w:b w:val="1"/>
          <w:bCs w:val="1"/>
          <w:u w:val="single" w:color="auto"/>
          <w:color w:val="0000FF"/>
        </w:rPr>
        <w:t>,</w:t>
      </w:r>
      <w:r>
        <w:rPr>
          <w:rFonts w:ascii="Arial" w:cs="Arial" w:eastAsia="Arial" w:hAnsi="Arial"/>
          <w:sz w:val="20"/>
          <w:szCs w:val="20"/>
          <w:color w:val="auto"/>
        </w:rPr>
        <w:t xml:space="preserve"> a </w:t>
      </w:r>
      <w:r>
        <w:rPr>
          <w:rFonts w:ascii="Arial" w:cs="Arial" w:eastAsia="Arial" w:hAnsi="Arial"/>
          <w:sz w:val="20"/>
          <w:szCs w:val="20"/>
          <w:b w:val="1"/>
          <w:bCs w:val="1"/>
          <w:color w:val="FF0000"/>
          <w:strike w:val="1"/>
        </w:rPr>
        <w:t>Eurocurrency Rate</w:t>
      </w:r>
      <w:r>
        <w:rPr>
          <w:rFonts w:ascii="Arial" w:cs="Arial" w:eastAsia="Arial" w:hAnsi="Arial"/>
          <w:sz w:val="20"/>
          <w:szCs w:val="20"/>
          <w:b w:val="1"/>
          <w:bCs w:val="1"/>
          <w:u w:val="single" w:color="auto"/>
          <w:color w:val="0000FF"/>
        </w:rPr>
        <w:t>Term</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0000FF"/>
        </w:rPr>
        <w:t>Benchmark Loan or an RFR</w:t>
      </w:r>
      <w:r>
        <w:rPr>
          <w:rFonts w:ascii="Arial" w:cs="Arial" w:eastAsia="Arial" w:hAnsi="Arial"/>
          <w:sz w:val="20"/>
          <w:szCs w:val="20"/>
          <w:b w:val="1"/>
          <w:bCs w:val="1"/>
          <w:color w:val="0000FF"/>
        </w:rPr>
        <w:t xml:space="preserve"> </w:t>
      </w:r>
      <w:r>
        <w:rPr>
          <w:rFonts w:ascii="Arial" w:cs="Arial" w:eastAsia="Arial" w:hAnsi="Arial"/>
          <w:sz w:val="20"/>
          <w:szCs w:val="20"/>
          <w:color w:val="000000"/>
        </w:rPr>
        <w:t>Loan, and (b) with respect to a Bid Loan, its character as an Absolute Rate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5340985</wp:posOffset>
            </wp:positionH>
            <wp:positionV relativeFrom="paragraph">
              <wp:posOffset>-234950</wp:posOffset>
            </wp:positionV>
            <wp:extent cx="16700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67005" cy="8255"/>
                    </a:xfrm>
                    <a:prstGeom prst="rect">
                      <a:avLst/>
                    </a:prstGeom>
                    <a:noFill/>
                  </pic:spPr>
                </pic:pic>
              </a:graphicData>
            </a:graphic>
          </wp:anchor>
        </w:drawing>
      </w:r>
    </w:p>
    <w:p>
      <w:pPr>
        <w:spacing w:after="0" w:line="105" w:lineRule="exact"/>
        <w:rPr>
          <w:sz w:val="20"/>
          <w:szCs w:val="20"/>
          <w:color w:val="auto"/>
        </w:rPr>
      </w:pPr>
    </w:p>
    <w:p>
      <w:pPr>
        <w:jc w:val="both"/>
        <w:ind w:firstLine="624"/>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UCC</w:t>
      </w:r>
      <w:r>
        <w:rPr>
          <w:rFonts w:ascii="Arial" w:cs="Arial" w:eastAsia="Arial" w:hAnsi="Arial"/>
          <w:sz w:val="21"/>
          <w:szCs w:val="21"/>
          <w:color w:val="auto"/>
        </w:rPr>
        <w:t>” means the Uniform Commercial Code as in effect from time to time in the State of New York or any other state the laws of which are required to be applied in connection with the issue of perfection of security interests.</w:t>
      </w:r>
    </w:p>
    <w:p>
      <w:pPr>
        <w:spacing w:after="0" w:line="155" w:lineRule="exact"/>
        <w:rPr>
          <w:sz w:val="20"/>
          <w:szCs w:val="20"/>
          <w:color w:val="auto"/>
        </w:rPr>
      </w:pPr>
    </w:p>
    <w:p>
      <w:pPr>
        <w:jc w:val="both"/>
        <w:ind w:firstLine="624"/>
        <w:spacing w:after="0" w:line="23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UCP</w:t>
      </w:r>
      <w:r>
        <w:rPr>
          <w:rFonts w:ascii="Arial" w:cs="Arial" w:eastAsia="Arial" w:hAnsi="Arial"/>
          <w:sz w:val="21"/>
          <w:szCs w:val="21"/>
          <w:color w:val="auto"/>
        </w:rPr>
        <w:t>” means, with respect to any Letter of Credit, the “Uniform Customs and Practice for Documentary Credits” published by the International Chamber of Commerce Publication No. 600 (or such later version thereof as may be in effect at the time of issuance).</w:t>
      </w:r>
    </w:p>
    <w:p>
      <w:pPr>
        <w:spacing w:after="0" w:line="154" w:lineRule="exact"/>
        <w:rPr>
          <w:sz w:val="20"/>
          <w:szCs w:val="20"/>
          <w:color w:val="auto"/>
        </w:rPr>
      </w:pPr>
    </w:p>
    <w:p>
      <w:pPr>
        <w:jc w:val="both"/>
        <w:ind w:firstLine="624"/>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UK Financial Institution</w:t>
      </w:r>
      <w:r>
        <w:rPr>
          <w:rFonts w:ascii="Arial" w:cs="Arial" w:eastAsia="Arial" w:hAnsi="Arial"/>
          <w:sz w:val="19"/>
          <w:szCs w:val="19"/>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42" w:lineRule="exact"/>
        <w:rPr>
          <w:sz w:val="20"/>
          <w:szCs w:val="20"/>
          <w:color w:val="auto"/>
        </w:rPr>
      </w:pPr>
    </w:p>
    <w:p>
      <w:pPr>
        <w:jc w:val="both"/>
        <w:ind w:firstLine="624"/>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UK Resolution Authority</w:t>
      </w:r>
      <w:r>
        <w:rPr>
          <w:rFonts w:ascii="Arial" w:cs="Arial" w:eastAsia="Arial" w:hAnsi="Arial"/>
          <w:sz w:val="21"/>
          <w:szCs w:val="21"/>
          <w:color w:val="auto"/>
        </w:rPr>
        <w:t>” means the Bank of England or any other public administrative authority having responsibility for the resolution of any UK Financial Institution.</w:t>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United States</w:t>
      </w:r>
      <w:r>
        <w:rPr>
          <w:rFonts w:ascii="Arial" w:cs="Arial" w:eastAsia="Arial" w:hAnsi="Arial"/>
          <w:sz w:val="21"/>
          <w:szCs w:val="21"/>
          <w:color w:val="auto"/>
        </w:rPr>
        <w:t>” and “</w:t>
      </w:r>
      <w:r>
        <w:rPr>
          <w:rFonts w:ascii="Arial" w:cs="Arial" w:eastAsia="Arial" w:hAnsi="Arial"/>
          <w:sz w:val="21"/>
          <w:szCs w:val="21"/>
          <w:u w:val="single" w:color="auto"/>
          <w:color w:val="auto"/>
        </w:rPr>
        <w:t>U.S</w:t>
      </w:r>
      <w:r>
        <w:rPr>
          <w:rFonts w:ascii="Arial" w:cs="Arial" w:eastAsia="Arial" w:hAnsi="Arial"/>
          <w:sz w:val="21"/>
          <w:szCs w:val="21"/>
          <w:color w:val="auto"/>
        </w:rPr>
        <w:t>.” mean the United States of America.</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Unreimbursed Amount</w:t>
      </w:r>
      <w:r>
        <w:rPr>
          <w:rFonts w:ascii="Arial" w:cs="Arial" w:eastAsia="Arial" w:hAnsi="Arial"/>
          <w:sz w:val="21"/>
          <w:szCs w:val="21"/>
          <w:color w:val="auto"/>
        </w:rPr>
        <w:t xml:space="preserve">” has the meaning specified in </w:t>
      </w:r>
      <w:r>
        <w:rPr>
          <w:rFonts w:ascii="Arial" w:cs="Arial" w:eastAsia="Arial" w:hAnsi="Arial"/>
          <w:sz w:val="21"/>
          <w:szCs w:val="21"/>
          <w:u w:val="single" w:color="auto"/>
          <w:color w:val="auto"/>
        </w:rPr>
        <w:t>Section 2.04(c)(ii)</w:t>
      </w:r>
      <w:r>
        <w:rPr>
          <w:rFonts w:ascii="Arial" w:cs="Arial" w:eastAsia="Arial" w:hAnsi="Arial"/>
          <w:sz w:val="21"/>
          <w:szCs w:val="21"/>
          <w:color w:val="auto"/>
        </w:rPr>
        <w:t>.</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Unused Commitment Fees</w:t>
      </w:r>
      <w:r>
        <w:rPr>
          <w:rFonts w:ascii="Arial" w:cs="Arial" w:eastAsia="Arial" w:hAnsi="Arial"/>
          <w:sz w:val="21"/>
          <w:szCs w:val="21"/>
          <w:color w:val="auto"/>
        </w:rPr>
        <w:t xml:space="preserve">” has the meaning specified in </w:t>
      </w:r>
      <w:r>
        <w:rPr>
          <w:rFonts w:ascii="Arial" w:cs="Arial" w:eastAsia="Arial" w:hAnsi="Arial"/>
          <w:sz w:val="21"/>
          <w:szCs w:val="21"/>
          <w:u w:val="single" w:color="auto"/>
          <w:color w:val="auto"/>
        </w:rPr>
        <w:t>Section 2.09(a)</w:t>
      </w:r>
      <w:r>
        <w:rPr>
          <w:rFonts w:ascii="Arial" w:cs="Arial" w:eastAsia="Arial" w:hAnsi="Arial"/>
          <w:sz w:val="21"/>
          <w:szCs w:val="21"/>
          <w:color w:val="auto"/>
        </w:rPr>
        <w:t>.</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US Dollar</w:t>
      </w:r>
      <w:r>
        <w:rPr>
          <w:rFonts w:ascii="Arial" w:cs="Arial" w:eastAsia="Arial" w:hAnsi="Arial"/>
          <w:sz w:val="21"/>
          <w:szCs w:val="21"/>
          <w:color w:val="auto"/>
        </w:rPr>
        <w:t>” and “</w:t>
      </w:r>
      <w:r>
        <w:rPr>
          <w:rFonts w:ascii="Arial" w:cs="Arial" w:eastAsia="Arial" w:hAnsi="Arial"/>
          <w:sz w:val="21"/>
          <w:szCs w:val="21"/>
          <w:u w:val="single" w:color="auto"/>
          <w:color w:val="auto"/>
        </w:rPr>
        <w:t>$</w:t>
      </w:r>
      <w:r>
        <w:rPr>
          <w:rFonts w:ascii="Arial" w:cs="Arial" w:eastAsia="Arial" w:hAnsi="Arial"/>
          <w:sz w:val="21"/>
          <w:szCs w:val="21"/>
          <w:color w:val="auto"/>
        </w:rPr>
        <w:t>” mean lawful money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36</w:t>
      </w:r>
    </w:p>
    <w:p>
      <w:pPr>
        <w:sectPr>
          <w:pgSz w:w="11900" w:h="16838" w:orient="portrait"/>
          <w:cols w:equalWidth="0" w:num="1">
            <w:col w:w="11240"/>
          </w:cols>
          <w:pgMar w:left="320" w:top="1146" w:right="339" w:bottom="1440" w:gutter="0" w:footer="0" w:header="0"/>
        </w:sectPr>
      </w:pPr>
    </w:p>
    <w:bookmarkStart w:id="175" w:name="page176"/>
    <w:bookmarkEnd w:id="175"/>
    <w:p>
      <w:pPr>
        <w:jc w:val="both"/>
        <w:ind w:firstLine="624"/>
        <w:spacing w:after="0" w:line="22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US Dollar Equivalent</w:t>
      </w:r>
      <w:r>
        <w:rPr>
          <w:rFonts w:ascii="Arial" w:cs="Arial" w:eastAsia="Arial" w:hAnsi="Arial"/>
          <w:sz w:val="21"/>
          <w:szCs w:val="21"/>
          <w:color w:val="auto"/>
        </w:rPr>
        <w:t xml:space="preserve">” means, at any time, (a) with respect to any amount denominated in US Dollars, such amount and (b) with respect to any amount denominated in any Alternative Currency or any Discretionary Alternative Currency, the equivalent amount thereof in US Dollars as determined by the Administrative Agent pursuant to </w:t>
      </w:r>
      <w:r>
        <w:rPr>
          <w:rFonts w:ascii="Arial" w:cs="Arial" w:eastAsia="Arial" w:hAnsi="Arial"/>
          <w:sz w:val="21"/>
          <w:szCs w:val="21"/>
          <w:u w:val="single" w:color="auto"/>
          <w:color w:val="auto"/>
        </w:rPr>
        <w:t>Section 1.04</w:t>
      </w:r>
      <w:r>
        <w:rPr>
          <w:rFonts w:ascii="Arial" w:cs="Arial" w:eastAsia="Arial" w:hAnsi="Arial"/>
          <w:sz w:val="21"/>
          <w:szCs w:val="21"/>
          <w:color w:val="auto"/>
        </w:rPr>
        <w:t xml:space="preserve"> on the basis of the Exchange Rate (determined as of the most recent applicable Revaluation Date) with respect to such Alternative Currency or such Discretionary Alternative Currency in effect for such amount on such date.</w:t>
      </w:r>
    </w:p>
    <w:p>
      <w:pPr>
        <w:spacing w:after="0" w:line="149" w:lineRule="exact"/>
        <w:rPr>
          <w:sz w:val="20"/>
          <w:szCs w:val="20"/>
          <w:color w:val="auto"/>
        </w:rPr>
      </w:pPr>
    </w:p>
    <w:p>
      <w:pPr>
        <w:jc w:val="both"/>
        <w:ind w:firstLine="624"/>
        <w:spacing w:after="0" w:line="245" w:lineRule="auto"/>
        <w:rPr>
          <w:sz w:val="20"/>
          <w:szCs w:val="20"/>
          <w:color w:val="auto"/>
        </w:rPr>
      </w:pPr>
      <w:r>
        <w:rPr>
          <w:rFonts w:ascii="Arial" w:cs="Arial" w:eastAsia="Arial" w:hAnsi="Arial"/>
          <w:sz w:val="20"/>
          <w:szCs w:val="20"/>
          <w:b w:val="1"/>
          <w:bCs w:val="1"/>
          <w:u w:val="single" w:color="auto"/>
          <w:color w:val="0000FF"/>
        </w:rPr>
        <w:t>“U.S. Government Securities Business Day”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US Person</w:t>
      </w:r>
      <w:r>
        <w:rPr>
          <w:rFonts w:ascii="Arial" w:cs="Arial" w:eastAsia="Arial" w:hAnsi="Arial"/>
          <w:sz w:val="21"/>
          <w:szCs w:val="21"/>
          <w:color w:val="auto"/>
        </w:rPr>
        <w:t>” means a “United States person” within the meaning of Section 7701(a)(30) of the Code.</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U.S. Special Resolution Regime</w:t>
      </w:r>
      <w:r>
        <w:rPr>
          <w:rFonts w:ascii="Arial" w:cs="Arial" w:eastAsia="Arial" w:hAnsi="Arial"/>
          <w:sz w:val="21"/>
          <w:szCs w:val="21"/>
          <w:color w:val="auto"/>
        </w:rPr>
        <w:t xml:space="preserve">” has the meaning specified in </w:t>
      </w:r>
      <w:r>
        <w:rPr>
          <w:rFonts w:ascii="Arial" w:cs="Arial" w:eastAsia="Arial" w:hAnsi="Arial"/>
          <w:sz w:val="21"/>
          <w:szCs w:val="21"/>
          <w:u w:val="single" w:color="auto"/>
          <w:color w:val="auto"/>
        </w:rPr>
        <w:t>Section 11.20</w:t>
      </w:r>
      <w:r>
        <w:rPr>
          <w:rFonts w:ascii="Arial" w:cs="Arial" w:eastAsia="Arial" w:hAnsi="Arial"/>
          <w:sz w:val="21"/>
          <w:szCs w:val="21"/>
          <w:color w:val="auto"/>
        </w:rPr>
        <w:t>.</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Voidable Transfer</w:t>
      </w:r>
      <w:r>
        <w:rPr>
          <w:rFonts w:ascii="Arial" w:cs="Arial" w:eastAsia="Arial" w:hAnsi="Arial"/>
          <w:sz w:val="21"/>
          <w:szCs w:val="21"/>
          <w:color w:val="auto"/>
        </w:rPr>
        <w:t xml:space="preserve">” has the meaning specified in </w:t>
      </w:r>
      <w:r>
        <w:rPr>
          <w:rFonts w:ascii="Arial" w:cs="Arial" w:eastAsia="Arial" w:hAnsi="Arial"/>
          <w:sz w:val="21"/>
          <w:szCs w:val="21"/>
          <w:u w:val="single" w:color="auto"/>
          <w:color w:val="auto"/>
        </w:rPr>
        <w:t>Section 9.10</w:t>
      </w:r>
      <w:r>
        <w:rPr>
          <w:rFonts w:ascii="Arial" w:cs="Arial" w:eastAsia="Arial" w:hAnsi="Arial"/>
          <w:sz w:val="21"/>
          <w:szCs w:val="21"/>
          <w:color w:val="auto"/>
        </w:rPr>
        <w:t>.</w:t>
      </w:r>
    </w:p>
    <w:p>
      <w:pPr>
        <w:spacing w:after="0" w:line="183" w:lineRule="exact"/>
        <w:rPr>
          <w:sz w:val="20"/>
          <w:szCs w:val="20"/>
          <w:color w:val="auto"/>
        </w:rPr>
      </w:pPr>
    </w:p>
    <w:p>
      <w:pPr>
        <w:jc w:val="both"/>
        <w:ind w:firstLine="624"/>
        <w:spacing w:after="0" w:line="22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Wholly Owned Subsidiary</w:t>
      </w:r>
      <w:r>
        <w:rPr>
          <w:rFonts w:ascii="Arial" w:cs="Arial" w:eastAsia="Arial" w:hAnsi="Arial"/>
          <w:sz w:val="21"/>
          <w:szCs w:val="21"/>
          <w:color w:val="auto"/>
        </w:rPr>
        <w:t>” means, with respect to any Person, a Subsidiary of such Person all the Equity Interests of which (except for directors’ qualifying shares and other nominal amounts of Equity Interests that are required to be held by other Persons under applicable Law) are, at the time any determination is being made, owned, Controlled or held by such Person and/or one or more Wholly Owned Subsidiaries of such Person.</w:t>
      </w:r>
    </w:p>
    <w:p>
      <w:pPr>
        <w:spacing w:after="0" w:line="15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Withholding Agent</w:t>
      </w:r>
      <w:r>
        <w:rPr>
          <w:rFonts w:ascii="Arial" w:cs="Arial" w:eastAsia="Arial" w:hAnsi="Arial"/>
          <w:sz w:val="21"/>
          <w:szCs w:val="21"/>
          <w:color w:val="auto"/>
        </w:rPr>
        <w:t>” means any Loan Party or the Administrative Agent.</w:t>
      </w:r>
    </w:p>
    <w:p>
      <w:pPr>
        <w:spacing w:after="0" w:line="183" w:lineRule="exact"/>
        <w:rPr>
          <w:sz w:val="20"/>
          <w:szCs w:val="20"/>
          <w:color w:val="auto"/>
        </w:rPr>
      </w:pPr>
    </w:p>
    <w:p>
      <w:pPr>
        <w:jc w:val="both"/>
        <w:ind w:firstLine="624"/>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Write-Down and Conversion Powers</w:t>
      </w:r>
      <w:r>
        <w:rPr>
          <w:rFonts w:ascii="Arial" w:cs="Arial" w:eastAsia="Arial" w:hAnsi="Arial"/>
          <w:sz w:val="19"/>
          <w:szCs w:val="19"/>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37</w:t>
      </w:r>
    </w:p>
    <w:p>
      <w:pPr>
        <w:sectPr>
          <w:pgSz w:w="11900" w:h="16838" w:orient="portrait"/>
          <w:cols w:equalWidth="0" w:num="1">
            <w:col w:w="11240"/>
          </w:cols>
          <w:pgMar w:left="320" w:top="1152" w:right="339" w:bottom="1440" w:gutter="0" w:footer="0" w:header="0"/>
        </w:sectPr>
      </w:pPr>
    </w:p>
    <w:bookmarkStart w:id="176" w:name="page177"/>
    <w:bookmarkEnd w:id="176"/>
    <w:p>
      <w:pPr>
        <w:ind w:right="40" w:firstLine="954"/>
        <w:spacing w:after="0" w:line="239" w:lineRule="auto"/>
        <w:rPr>
          <w:sz w:val="20"/>
          <w:szCs w:val="20"/>
          <w:color w:val="auto"/>
        </w:rPr>
      </w:pPr>
      <w:r>
        <w:rPr>
          <w:rFonts w:ascii="Arial" w:cs="Arial" w:eastAsia="Arial" w:hAnsi="Arial"/>
          <w:sz w:val="21"/>
          <w:szCs w:val="21"/>
          <w:color w:val="auto"/>
        </w:rPr>
        <w:t xml:space="preserve">Section 1.02 </w:t>
      </w:r>
      <w:r>
        <w:rPr>
          <w:rFonts w:ascii="Arial" w:cs="Arial" w:eastAsia="Arial" w:hAnsi="Arial"/>
          <w:sz w:val="21"/>
          <w:szCs w:val="21"/>
          <w:u w:val="single" w:color="auto"/>
          <w:color w:val="auto"/>
        </w:rPr>
        <w:t>Other Interpretive Provisions</w:t>
      </w:r>
      <w:r>
        <w:rPr>
          <w:rFonts w:ascii="Arial" w:cs="Arial" w:eastAsia="Arial" w:hAnsi="Arial"/>
          <w:sz w:val="21"/>
          <w:szCs w:val="21"/>
          <w:color w:val="auto"/>
        </w:rPr>
        <w:t>. With reference to this Agreement and each other Loan Document, unless otherwise specified herein or in such other Loan Document:</w:t>
      </w:r>
    </w:p>
    <w:p>
      <w:pPr>
        <w:spacing w:after="0" w:line="155" w:lineRule="exact"/>
        <w:rPr>
          <w:sz w:val="20"/>
          <w:szCs w:val="20"/>
          <w:color w:val="auto"/>
        </w:rPr>
      </w:pPr>
    </w:p>
    <w:p>
      <w:pPr>
        <w:jc w:val="both"/>
        <w:ind w:firstLine="324"/>
        <w:spacing w:after="0" w:line="225" w:lineRule="auto"/>
        <w:tabs>
          <w:tab w:leader="none" w:pos="912" w:val="left"/>
        </w:tabs>
        <w:numPr>
          <w:ilvl w:val="0"/>
          <w:numId w:val="111"/>
        </w:numPr>
        <w:rPr>
          <w:rFonts w:ascii="Arial" w:cs="Arial" w:eastAsia="Arial" w:hAnsi="Arial"/>
          <w:sz w:val="20"/>
          <w:szCs w:val="20"/>
          <w:color w:val="auto"/>
        </w:rPr>
      </w:pPr>
      <w:r>
        <w:rPr>
          <w:rFonts w:ascii="Arial" w:cs="Arial" w:eastAsia="Arial" w:hAnsi="Arial"/>
          <w:sz w:val="20"/>
          <w:szCs w:val="20"/>
          <w:color w:val="auto"/>
        </w:rPr>
        <w:t>The definitions of terms herein will apply equally to the singular and plural forms of the terms defined. Whenever the context may require, any pronoun will include the corresponding masculine, feminine and neuter forms. The words “include”, “includes” and “including” will be deemed to be followed by the phrase “without limitation”. The word “will” will be construed to have the same meaning and effect as the word “shall”. Unless the context requires otherwise, (i) any definition of or reference to any agreement, instrument or other document (including any Organization Document) will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will be construed to include such Person’s successors and permitted assigns, (iii) the words “herein”, “hereof” and “hereunder”, and words of similar import when used in any Loan Document, will be construed to refer to such Loan Document in its entirety and not to any particular provision thereof, (iv) all references in a Loan Document to Articles, Sections, Exhibits and Schedules will be construed to refer to Articles and Sections of, and Exhibits and Schedules to, the Loan Document in which such references appear, (v) any reference to any law will include all statutory and regulatory provisions consolidating, amending, replacing or interpreting such law and any reference to any law or regulation will, unless otherwise specified, refer to such law or regulation as amended, modified or supplemented from time to time, and (vi) the words “asset” and “property” will be construed to have the same meaning and effect and to refer to any and all tangible and intangible assets and properties, including cash, securities, accounts and contract rights.</w:t>
      </w:r>
    </w:p>
    <w:p>
      <w:pPr>
        <w:spacing w:after="0" w:line="181" w:lineRule="exact"/>
        <w:rPr>
          <w:sz w:val="20"/>
          <w:szCs w:val="20"/>
          <w:color w:val="auto"/>
        </w:rPr>
      </w:pPr>
    </w:p>
    <w:p>
      <w:pPr>
        <w:ind w:left="1540" w:hanging="504"/>
        <w:spacing w:after="0"/>
        <w:tabs>
          <w:tab w:leader="none" w:pos="1540" w:val="left"/>
        </w:tabs>
        <w:numPr>
          <w:ilvl w:val="0"/>
          <w:numId w:val="112"/>
        </w:numPr>
        <w:rPr>
          <w:rFonts w:ascii="Arial" w:cs="Arial" w:eastAsia="Arial" w:hAnsi="Arial"/>
          <w:sz w:val="21"/>
          <w:szCs w:val="21"/>
          <w:color w:val="auto"/>
        </w:rPr>
      </w:pPr>
      <w:r>
        <w:rPr>
          <w:rFonts w:ascii="Arial" w:cs="Arial" w:eastAsia="Arial" w:hAnsi="Arial"/>
          <w:sz w:val="21"/>
          <w:szCs w:val="21"/>
          <w:color w:val="auto"/>
        </w:rPr>
        <w:t>In the computation of periods of time from a specified date to a later</w:t>
      </w:r>
    </w:p>
    <w:p>
      <w:pPr>
        <w:spacing w:after="0" w:line="183" w:lineRule="exact"/>
        <w:rPr>
          <w:sz w:val="20"/>
          <w:szCs w:val="20"/>
          <w:color w:val="auto"/>
        </w:rPr>
      </w:pPr>
    </w:p>
    <w:p>
      <w:pPr>
        <w:ind w:right="40" w:hanging="11"/>
        <w:spacing w:after="0" w:line="239" w:lineRule="auto"/>
        <w:rPr>
          <w:sz w:val="20"/>
          <w:szCs w:val="20"/>
          <w:color w:val="auto"/>
        </w:rPr>
      </w:pPr>
      <w:r>
        <w:rPr>
          <w:rFonts w:ascii="Arial" w:cs="Arial" w:eastAsia="Arial" w:hAnsi="Arial"/>
          <w:sz w:val="21"/>
          <w:szCs w:val="21"/>
          <w:color w:val="auto"/>
        </w:rPr>
        <w:t>specified date, the word “from” means “</w:t>
      </w:r>
      <w:r>
        <w:rPr>
          <w:rFonts w:ascii="Arial" w:cs="Arial" w:eastAsia="Arial" w:hAnsi="Arial"/>
          <w:sz w:val="21"/>
          <w:szCs w:val="21"/>
          <w:u w:val="single" w:color="auto"/>
          <w:color w:val="auto"/>
        </w:rPr>
        <w:t>from and including</w:t>
      </w:r>
      <w:r>
        <w:rPr>
          <w:rFonts w:ascii="Arial" w:cs="Arial" w:eastAsia="Arial" w:hAnsi="Arial"/>
          <w:sz w:val="21"/>
          <w:szCs w:val="21"/>
          <w:color w:val="auto"/>
        </w:rPr>
        <w:t>”; the words “</w:t>
      </w:r>
      <w:r>
        <w:rPr>
          <w:rFonts w:ascii="Arial" w:cs="Arial" w:eastAsia="Arial" w:hAnsi="Arial"/>
          <w:sz w:val="21"/>
          <w:szCs w:val="21"/>
          <w:u w:val="single" w:color="auto"/>
          <w:color w:val="auto"/>
        </w:rPr>
        <w:t>to</w:t>
      </w:r>
      <w:r>
        <w:rPr>
          <w:rFonts w:ascii="Arial" w:cs="Arial" w:eastAsia="Arial" w:hAnsi="Arial"/>
          <w:sz w:val="21"/>
          <w:szCs w:val="21"/>
          <w:color w:val="auto"/>
        </w:rPr>
        <w:t>” and “</w:t>
      </w:r>
      <w:r>
        <w:rPr>
          <w:rFonts w:ascii="Arial" w:cs="Arial" w:eastAsia="Arial" w:hAnsi="Arial"/>
          <w:sz w:val="21"/>
          <w:szCs w:val="21"/>
          <w:u w:val="single" w:color="auto"/>
          <w:color w:val="auto"/>
        </w:rPr>
        <w:t>until</w:t>
      </w:r>
      <w:r>
        <w:rPr>
          <w:rFonts w:ascii="Arial" w:cs="Arial" w:eastAsia="Arial" w:hAnsi="Arial"/>
          <w:sz w:val="21"/>
          <w:szCs w:val="21"/>
          <w:color w:val="auto"/>
        </w:rPr>
        <w:t>” each mean “</w:t>
      </w:r>
      <w:r>
        <w:rPr>
          <w:rFonts w:ascii="Arial" w:cs="Arial" w:eastAsia="Arial" w:hAnsi="Arial"/>
          <w:sz w:val="21"/>
          <w:szCs w:val="21"/>
          <w:u w:val="single" w:color="auto"/>
          <w:color w:val="auto"/>
        </w:rPr>
        <w:t>to but excluding</w:t>
      </w:r>
      <w:r>
        <w:rPr>
          <w:rFonts w:ascii="Arial" w:cs="Arial" w:eastAsia="Arial" w:hAnsi="Arial"/>
          <w:sz w:val="21"/>
          <w:szCs w:val="21"/>
          <w:color w:val="auto"/>
        </w:rPr>
        <w:t>”; and the word “</w:t>
      </w:r>
      <w:r>
        <w:rPr>
          <w:rFonts w:ascii="Arial" w:cs="Arial" w:eastAsia="Arial" w:hAnsi="Arial"/>
          <w:sz w:val="21"/>
          <w:szCs w:val="21"/>
          <w:u w:val="single" w:color="auto"/>
          <w:color w:val="auto"/>
        </w:rPr>
        <w:t>through</w:t>
      </w:r>
      <w:r>
        <w:rPr>
          <w:rFonts w:ascii="Arial" w:cs="Arial" w:eastAsia="Arial" w:hAnsi="Arial"/>
          <w:sz w:val="21"/>
          <w:szCs w:val="21"/>
          <w:color w:val="auto"/>
        </w:rPr>
        <w:t>” means “</w:t>
      </w:r>
      <w:r>
        <w:rPr>
          <w:rFonts w:ascii="Arial" w:cs="Arial" w:eastAsia="Arial" w:hAnsi="Arial"/>
          <w:sz w:val="21"/>
          <w:szCs w:val="21"/>
          <w:u w:val="single" w:color="auto"/>
          <w:color w:val="auto"/>
        </w:rPr>
        <w:t>to and including</w:t>
      </w:r>
      <w:r>
        <w:rPr>
          <w:rFonts w:ascii="Arial" w:cs="Arial" w:eastAsia="Arial" w:hAnsi="Arial"/>
          <w:sz w:val="21"/>
          <w:szCs w:val="21"/>
          <w:color w:val="auto"/>
        </w:rPr>
        <w:t>”.</w:t>
      </w:r>
    </w:p>
    <w:p>
      <w:pPr>
        <w:spacing w:after="0" w:line="155"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21"/>
          <w:szCs w:val="21"/>
          <w:color w:val="auto"/>
        </w:rPr>
        <w:t>(c ) Section headings herein and in the other Loan Documents are included for convenience of reference only and will not affect the interpretation of this Agreement or any other Loan Document.</w:t>
      </w:r>
    </w:p>
    <w:p>
      <w:pPr>
        <w:spacing w:after="0" w:line="182" w:lineRule="exact"/>
        <w:rPr>
          <w:sz w:val="20"/>
          <w:szCs w:val="20"/>
          <w:color w:val="auto"/>
        </w:rPr>
      </w:pPr>
    </w:p>
    <w:p>
      <w:pPr>
        <w:jc w:val="both"/>
        <w:spacing w:after="0" w:line="218" w:lineRule="auto"/>
        <w:rPr>
          <w:sz w:val="20"/>
          <w:szCs w:val="20"/>
          <w:color w:val="auto"/>
        </w:rPr>
      </w:pPr>
      <w:r>
        <w:rPr>
          <w:rFonts w:ascii="Arial" w:cs="Arial" w:eastAsia="Arial" w:hAnsi="Arial"/>
          <w:sz w:val="21"/>
          <w:szCs w:val="21"/>
          <w:color w:val="auto"/>
        </w:rPr>
        <w:t>Section 1.03 Accounting Terms. (a) Generally.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provided that, notwithstanding anything in this Agreement or any other Loan Document to the contrary, (i) for purposes of determining compliance with any covenant (including the computation of any financial covenant, but excluding compliance with Section 6.01) contained herein, Indebtedness of the Borrower and its Subsidiaries shall be deemed to be carried at 100% of the outstanding principal amount thereof, and the effects of FASB ASC 825 and FASB ASC 470-20 shall be disregarded and (ii) treatment of operating leases shall be subject to the proviso set forth in the definition of “Capital Lease Obligations”.</w:t>
      </w:r>
    </w:p>
    <w:p>
      <w:pPr>
        <w:spacing w:after="0" w:line="180" w:lineRule="exact"/>
        <w:rPr>
          <w:sz w:val="20"/>
          <w:szCs w:val="20"/>
          <w:color w:val="auto"/>
        </w:rPr>
      </w:pPr>
    </w:p>
    <w:p>
      <w:pPr>
        <w:jc w:val="both"/>
        <w:ind w:firstLine="6"/>
        <w:spacing w:after="0" w:line="225" w:lineRule="auto"/>
        <w:tabs>
          <w:tab w:leader="none" w:pos="315" w:val="left"/>
        </w:tabs>
        <w:numPr>
          <w:ilvl w:val="0"/>
          <w:numId w:val="113"/>
        </w:numPr>
        <w:rPr>
          <w:rFonts w:ascii="Arial" w:cs="Arial" w:eastAsia="Arial" w:hAnsi="Arial"/>
          <w:sz w:val="21"/>
          <w:szCs w:val="21"/>
          <w:color w:val="auto"/>
        </w:rPr>
      </w:pPr>
      <w:r>
        <w:rPr>
          <w:rFonts w:ascii="Arial" w:cs="Arial" w:eastAsia="Arial" w:hAnsi="Arial"/>
          <w:sz w:val="21"/>
          <w:szCs w:val="21"/>
          <w:color w:val="auto"/>
        </w:rPr>
        <w:t>Changes in GAAP. If at any time any change in GAAP would affect the computation of any financial ratio or requirement set forth in any Loan Document, and either Borrower or the Required Lenders shall so request, the Administrative Agent, the Lenders and Borrower shall negotiate in good faith to amend such ratio or requirement to preserve the original intent thereof in light of such change in GAAP (subject to the approval of the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38</w:t>
      </w:r>
    </w:p>
    <w:p>
      <w:pPr>
        <w:sectPr>
          <w:pgSz w:w="11900" w:h="16838" w:orient="portrait"/>
          <w:cols w:equalWidth="0" w:num="1">
            <w:col w:w="11240"/>
          </w:cols>
          <w:pgMar w:left="320" w:top="1152" w:right="339" w:bottom="1440" w:gutter="0" w:footer="0" w:header="0"/>
        </w:sectPr>
      </w:pPr>
    </w:p>
    <w:bookmarkStart w:id="177" w:name="page178"/>
    <w:bookmarkEnd w:id="177"/>
    <w:p>
      <w:pPr>
        <w:jc w:val="both"/>
        <w:spacing w:after="0" w:line="225" w:lineRule="auto"/>
        <w:rPr>
          <w:sz w:val="20"/>
          <w:szCs w:val="20"/>
          <w:color w:val="auto"/>
        </w:rPr>
      </w:pPr>
      <w:r>
        <w:rPr>
          <w:rFonts w:ascii="Arial" w:cs="Arial" w:eastAsia="Arial" w:hAnsi="Arial"/>
          <w:sz w:val="20"/>
          <w:szCs w:val="20"/>
          <w:color w:val="auto"/>
        </w:rPr>
        <w:t>Required Lenders); provided that, until so amended, (i) such ratio or requirement shall continue to be computed in accordance with GAAP prior to such change therein and (ii)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4" w:lineRule="exact"/>
        <w:rPr>
          <w:sz w:val="20"/>
          <w:szCs w:val="20"/>
          <w:color w:val="auto"/>
        </w:rPr>
      </w:pPr>
    </w:p>
    <w:p>
      <w:pPr>
        <w:jc w:val="both"/>
        <w:spacing w:after="0" w:line="223" w:lineRule="auto"/>
        <w:rPr>
          <w:sz w:val="20"/>
          <w:szCs w:val="20"/>
          <w:color w:val="auto"/>
        </w:rPr>
      </w:pPr>
      <w:r>
        <w:rPr>
          <w:rFonts w:ascii="Arial" w:cs="Arial" w:eastAsia="Arial" w:hAnsi="Arial"/>
          <w:sz w:val="20"/>
          <w:szCs w:val="20"/>
          <w:color w:val="auto"/>
        </w:rPr>
        <w:t xml:space="preserve">(c ) </w:t>
      </w:r>
      <w:r>
        <w:rPr>
          <w:rFonts w:ascii="Arial" w:cs="Arial" w:eastAsia="Arial" w:hAnsi="Arial"/>
          <w:sz w:val="20"/>
          <w:szCs w:val="20"/>
          <w:u w:val="single" w:color="auto"/>
          <w:color w:val="auto"/>
        </w:rPr>
        <w:t>Pro Forma Calculations</w:t>
      </w:r>
      <w:r>
        <w:rPr>
          <w:rFonts w:ascii="Arial" w:cs="Arial" w:eastAsia="Arial" w:hAnsi="Arial"/>
          <w:sz w:val="20"/>
          <w:szCs w:val="20"/>
          <w:color w:val="auto"/>
        </w:rPr>
        <w:t>. All pro forma computations required to be made hereunder giving effect to any Material Acquisition or Material Disposition shall be calculated after giving pro forma effect thereto (and to any other such transaction consummated since the first day of the period for which such pro forma computation is being made and on or prior to the date of such computation) as if such transaction had occurred on the first day of the period of four consecutive fiscal quarters ending with the most recent fiscal quarter of the Borrower for which financial statements shall have been delivered pursuant to Section 6.01(a) or 6.01(b) (or, prior to the first such delivery, ending with the most recent fiscal quarter referred to in Section 5.05(a)), and, to the extent applicable, the historical earnings and cash flows associated with the assets acquired or disposed of, any related incurrence or reduction of Indebtedness and, in the case of any Material Acquisition, any related cost savings, operating expense reductions and synergies which (i) are calculated on a basis that is consistent with Article 11 of Regulation S-X under the Securities Act or (ii) are implemented, committed to be implemented, the commencement of implementation of which has begun or is reasonably expected to be implemented in good faith by the business that was the subject of any such Material Acquisition within eighteen (18) months of the date of such Material Acquisition and that are factually supportable and quantifiable and expected to have a continuing impact, as if, in the case of each of clauses (i) and (ii), all such cost savings, operating expense reductions and synergies had been effected as of the beginning of such period, decreased by any recurring incremental expenses incurred or to be incurred during such period in order to achieve such cost savings, operating expense reductions and synergies. If any Indebtedness bears a floating rate of interest and is being given pro forma effect, the interest on such Indebtedness shall be calculated as if the rate in effect on the date of determination had been the applicable rate for the entire period (taking into account any Swap Contract applicable to such Indebtedness).</w:t>
      </w:r>
    </w:p>
    <w:p>
      <w:pPr>
        <w:spacing w:after="0" w:line="190" w:lineRule="exact"/>
        <w:rPr>
          <w:sz w:val="20"/>
          <w:szCs w:val="20"/>
          <w:color w:val="auto"/>
        </w:rPr>
      </w:pPr>
    </w:p>
    <w:p>
      <w:pPr>
        <w:jc w:val="both"/>
        <w:spacing w:after="0" w:line="219" w:lineRule="auto"/>
        <w:rPr>
          <w:sz w:val="20"/>
          <w:szCs w:val="20"/>
          <w:color w:val="auto"/>
        </w:rPr>
      </w:pPr>
      <w:r>
        <w:rPr>
          <w:rFonts w:ascii="Arial" w:cs="Arial" w:eastAsia="Arial" w:hAnsi="Arial"/>
          <w:sz w:val="21"/>
          <w:szCs w:val="21"/>
          <w:color w:val="auto"/>
        </w:rPr>
        <w:t xml:space="preserve">Section 1.04 </w:t>
      </w:r>
      <w:r>
        <w:rPr>
          <w:rFonts w:ascii="Arial" w:cs="Arial" w:eastAsia="Arial" w:hAnsi="Arial"/>
          <w:sz w:val="21"/>
          <w:szCs w:val="21"/>
          <w:u w:val="single" w:color="auto"/>
          <w:color w:val="auto"/>
        </w:rPr>
        <w:t>Exchange Rates</w:t>
      </w:r>
      <w:r>
        <w:rPr>
          <w:rFonts w:ascii="Arial" w:cs="Arial" w:eastAsia="Arial" w:hAnsi="Arial"/>
          <w:sz w:val="21"/>
          <w:szCs w:val="21"/>
          <w:color w:val="auto"/>
        </w:rPr>
        <w:t>; US Dollar Equivalents. The Administrative Agent will determine, for each Loan or L/C Obligation denominated in an Alternative Currency or a Discretionary Alternative Currency, as of each applicable Revaluation Date, the Exchange Rate to be used for calculating the US Dollar Equivalent amount thereof. Such Exchange Rate shall become effective as of such Revaluation Date and shall be the Exchange Rate employed in determining the US Dollar Equivalent of such Loan or L/C Obligation until the next Revaluation Date to occur in respect of such Loan or L/C Obligation. The Administrative Agent shall notify the Borrower, the Lenders and the applicable L/C Issuer of each determination of the US Dollar Equivalent of each Loan and each L/C Obligation.</w:t>
      </w:r>
    </w:p>
    <w:p>
      <w:pPr>
        <w:spacing w:after="0" w:line="386" w:lineRule="exact"/>
        <w:rPr>
          <w:sz w:val="20"/>
          <w:szCs w:val="20"/>
          <w:color w:val="auto"/>
        </w:rPr>
      </w:pPr>
    </w:p>
    <w:p>
      <w:pPr>
        <w:jc w:val="both"/>
        <w:ind w:right="40"/>
        <w:spacing w:after="0" w:line="234" w:lineRule="auto"/>
        <w:rPr>
          <w:sz w:val="20"/>
          <w:szCs w:val="20"/>
          <w:color w:val="auto"/>
        </w:rPr>
      </w:pPr>
      <w:r>
        <w:rPr>
          <w:rFonts w:ascii="Arial" w:cs="Arial" w:eastAsia="Arial" w:hAnsi="Arial"/>
          <w:sz w:val="20"/>
          <w:szCs w:val="20"/>
          <w:color w:val="auto"/>
        </w:rPr>
        <w:t xml:space="preserve">Section 1.05 </w:t>
      </w:r>
      <w:r>
        <w:rPr>
          <w:rFonts w:ascii="Arial" w:cs="Arial" w:eastAsia="Arial" w:hAnsi="Arial"/>
          <w:sz w:val="20"/>
          <w:szCs w:val="20"/>
          <w:u w:val="single" w:color="auto"/>
          <w:color w:val="auto"/>
        </w:rPr>
        <w:t>Additional Alternative Currencies</w:t>
      </w:r>
      <w:r>
        <w:rPr>
          <w:rFonts w:ascii="Arial" w:cs="Arial" w:eastAsia="Arial" w:hAnsi="Arial"/>
          <w:sz w:val="20"/>
          <w:szCs w:val="20"/>
          <w:color w:val="auto"/>
        </w:rPr>
        <w:t xml:space="preserve">. (a) The Borrower may from time to time request that </w:t>
      </w:r>
      <w:r>
        <w:rPr>
          <w:rFonts w:ascii="Arial" w:cs="Arial" w:eastAsia="Arial" w:hAnsi="Arial"/>
          <w:sz w:val="20"/>
          <w:szCs w:val="20"/>
          <w:b w:val="1"/>
          <w:bCs w:val="1"/>
          <w:color w:val="FF0000"/>
          <w:strike w:val="1"/>
        </w:rPr>
        <w:t>Eurocurrency Rate</w:t>
      </w:r>
      <w:r>
        <w:rPr>
          <w:rFonts w:ascii="Arial" w:cs="Arial" w:eastAsia="Arial" w:hAnsi="Arial"/>
          <w:sz w:val="20"/>
          <w:szCs w:val="20"/>
          <w:color w:val="auto"/>
        </w:rPr>
        <w:t xml:space="preserve"> Committed Loans be made and/or Letters of Credit be issued in a currency other US Dollars;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requested currency is freely available, freely transferable and freely convertible into US Dollars;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(i) in the case of any such request with respect to the making of </w:t>
      </w:r>
      <w:r>
        <w:rPr>
          <w:rFonts w:ascii="Arial" w:cs="Arial" w:eastAsia="Arial" w:hAnsi="Arial"/>
          <w:sz w:val="20"/>
          <w:szCs w:val="20"/>
          <w:b w:val="1"/>
          <w:bCs w:val="1"/>
          <w:color w:val="FF0000"/>
          <w:strike w:val="1"/>
        </w:rPr>
        <w:t>Eurocurrency Rate</w:t>
      </w:r>
      <w:r>
        <w:rPr>
          <w:rFonts w:ascii="Arial" w:cs="Arial" w:eastAsia="Arial" w:hAnsi="Arial"/>
          <w:sz w:val="20"/>
          <w:szCs w:val="20"/>
          <w:color w:val="auto"/>
        </w:rPr>
        <w:t xml:space="preserve"> Committed Loans, such request will be subject to the approval of the Administrative Agent and each Lender and (ii) in the case of any such request with respect to Letters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39</w:t>
      </w:r>
    </w:p>
    <w:p>
      <w:pPr>
        <w:sectPr>
          <w:pgSz w:w="11900" w:h="16838" w:orient="portrait"/>
          <w:cols w:equalWidth="0" w:num="1">
            <w:col w:w="11240"/>
          </w:cols>
          <w:pgMar w:left="320" w:top="1152" w:right="339" w:bottom="1440" w:gutter="0" w:footer="0" w:header="0"/>
        </w:sectPr>
      </w:pPr>
    </w:p>
    <w:bookmarkStart w:id="178" w:name="page179"/>
    <w:bookmarkEnd w:id="178"/>
    <w:p>
      <w:pPr>
        <w:spacing w:after="0" w:line="239" w:lineRule="auto"/>
        <w:rPr>
          <w:sz w:val="20"/>
          <w:szCs w:val="20"/>
          <w:color w:val="auto"/>
        </w:rPr>
      </w:pPr>
      <w:r>
        <w:rPr>
          <w:rFonts w:ascii="Arial" w:cs="Arial" w:eastAsia="Arial" w:hAnsi="Arial"/>
          <w:sz w:val="21"/>
          <w:szCs w:val="21"/>
          <w:color w:val="auto"/>
        </w:rPr>
        <w:t>Credit, such request will be subject to the approval of the Administrative Agent and, as to Letters of Credit to be issued by such L/C Issuer, each L/C Issuer.</w:t>
      </w:r>
    </w:p>
    <w:p>
      <w:pPr>
        <w:spacing w:after="0" w:line="182" w:lineRule="exact"/>
        <w:rPr>
          <w:sz w:val="20"/>
          <w:szCs w:val="20"/>
          <w:color w:val="auto"/>
        </w:rPr>
      </w:pPr>
    </w:p>
    <w:p>
      <w:pPr>
        <w:jc w:val="both"/>
        <w:ind w:firstLine="642"/>
        <w:spacing w:after="0" w:line="236" w:lineRule="auto"/>
        <w:tabs>
          <w:tab w:leader="none" w:pos="935" w:val="left"/>
        </w:tabs>
        <w:numPr>
          <w:ilvl w:val="0"/>
          <w:numId w:val="114"/>
        </w:numPr>
        <w:rPr>
          <w:rFonts w:ascii="Arial" w:cs="Arial" w:eastAsia="Arial" w:hAnsi="Arial"/>
          <w:sz w:val="19"/>
          <w:szCs w:val="19"/>
          <w:color w:val="auto"/>
        </w:rPr>
      </w:pPr>
      <w:r>
        <w:rPr>
          <w:rFonts w:ascii="Arial" w:cs="Arial" w:eastAsia="Arial" w:hAnsi="Arial"/>
          <w:sz w:val="19"/>
          <w:szCs w:val="19"/>
          <w:color w:val="auto"/>
        </w:rPr>
        <w:t xml:space="preserve">Any such request will be made to the Administrative Agent not later than 10:00 a.m., New York City time, twenty (20) Business Days prior to the date of the desired Credit Extension (or such other time or date as may be agreed by the Administrative Agent and, in the case of any such request pertaining to Letters of Credit, the applicable L/C Issuer, in its or their sole discretion). In the case of any such request pertaining to </w:t>
      </w:r>
      <w:r>
        <w:rPr>
          <w:rFonts w:ascii="Arial" w:cs="Arial" w:eastAsia="Arial" w:hAnsi="Arial"/>
          <w:sz w:val="19"/>
          <w:szCs w:val="19"/>
          <w:b w:val="1"/>
          <w:bCs w:val="1"/>
          <w:color w:val="FF0000"/>
          <w:strike w:val="1"/>
        </w:rPr>
        <w:t>Eurocurrency Rate</w:t>
      </w:r>
      <w:r>
        <w:rPr>
          <w:rFonts w:ascii="Arial" w:cs="Arial" w:eastAsia="Arial" w:hAnsi="Arial"/>
          <w:sz w:val="19"/>
          <w:szCs w:val="19"/>
          <w:color w:val="auto"/>
        </w:rPr>
        <w:t xml:space="preserve"> Committed Loans, the Administrative Agent will promptly notify each Lender thereof; and in the case of any such request pertaining to Letters of Credit, the Administrative Agent will promptly notify each L/C Issuer thereof. Each Lender (in the case of any such request pertaining to </w:t>
      </w:r>
      <w:r>
        <w:rPr>
          <w:rFonts w:ascii="Arial" w:cs="Arial" w:eastAsia="Arial" w:hAnsi="Arial"/>
          <w:sz w:val="19"/>
          <w:szCs w:val="19"/>
          <w:b w:val="1"/>
          <w:bCs w:val="1"/>
          <w:color w:val="FF0000"/>
          <w:strike w:val="1"/>
        </w:rPr>
        <w:t>Eurocurrency Rate</w:t>
      </w:r>
      <w:r>
        <w:rPr>
          <w:rFonts w:ascii="Arial" w:cs="Arial" w:eastAsia="Arial" w:hAnsi="Arial"/>
          <w:sz w:val="19"/>
          <w:szCs w:val="19"/>
          <w:color w:val="auto"/>
        </w:rPr>
        <w:t xml:space="preserve"> Committed Loans) or each L/C Issuer (in the case of any such request pertaining to Letters of Credit) will notify the Administrative Agent, not later than 10:00 a.m., New York City time, ten (10) Business Days after receipt of such request whether it consents, in its sole discretion, to the making of </w:t>
      </w:r>
      <w:r>
        <w:rPr>
          <w:rFonts w:ascii="Arial" w:cs="Arial" w:eastAsia="Arial" w:hAnsi="Arial"/>
          <w:sz w:val="19"/>
          <w:szCs w:val="19"/>
          <w:b w:val="1"/>
          <w:bCs w:val="1"/>
          <w:color w:val="FF0000"/>
          <w:strike w:val="1"/>
        </w:rPr>
        <w:t>Eurocurrency Rate</w:t>
      </w:r>
      <w:r>
        <w:rPr>
          <w:rFonts w:ascii="Arial" w:cs="Arial" w:eastAsia="Arial" w:hAnsi="Arial"/>
          <w:sz w:val="19"/>
          <w:szCs w:val="19"/>
          <w:color w:val="auto"/>
        </w:rPr>
        <w:t xml:space="preserve"> Committed Loans or the issuance of Letters of Credit, as the case may be, in such requested currency. Any failure by a Lender or an L/C Issuer to respond to such request within the time period specified in the preceding sentence will be deemed to be a refusal by such Lender or such L/C Issuer, as the case may be, to permit </w:t>
      </w:r>
      <w:r>
        <w:rPr>
          <w:rFonts w:ascii="Arial" w:cs="Arial" w:eastAsia="Arial" w:hAnsi="Arial"/>
          <w:sz w:val="19"/>
          <w:szCs w:val="19"/>
          <w:b w:val="1"/>
          <w:bCs w:val="1"/>
          <w:color w:val="FF0000"/>
          <w:strike w:val="1"/>
        </w:rPr>
        <w:t>Eurocurrency Rate</w:t>
      </w:r>
      <w:r>
        <w:rPr>
          <w:rFonts w:ascii="Arial" w:cs="Arial" w:eastAsia="Arial" w:hAnsi="Arial"/>
          <w:sz w:val="19"/>
          <w:szCs w:val="19"/>
          <w:color w:val="auto"/>
        </w:rPr>
        <w:t xml:space="preserve"> Committed Loans to be made or Letters of Credit to be issued in such requested currency. If the Administrative Agent and all the Lenders consent to making </w:t>
      </w:r>
      <w:r>
        <w:rPr>
          <w:rFonts w:ascii="Arial" w:cs="Arial" w:eastAsia="Arial" w:hAnsi="Arial"/>
          <w:sz w:val="19"/>
          <w:szCs w:val="19"/>
          <w:b w:val="1"/>
          <w:bCs w:val="1"/>
          <w:color w:val="FF0000"/>
          <w:strike w:val="1"/>
        </w:rPr>
        <w:t>Eurocurrency Rate</w:t>
      </w:r>
      <w:r>
        <w:rPr>
          <w:rFonts w:ascii="Arial" w:cs="Arial" w:eastAsia="Arial" w:hAnsi="Arial"/>
          <w:sz w:val="19"/>
          <w:szCs w:val="19"/>
          <w:color w:val="auto"/>
        </w:rPr>
        <w:t xml:space="preserve"> Committed Loans in such requested currency, the Administrative Agent will so notify the Borrower and such currency will thereupon be deemed to be an “Alternative Currency” hereunder for purposes of any </w:t>
      </w:r>
      <w:r>
        <w:rPr>
          <w:rFonts w:ascii="Arial" w:cs="Arial" w:eastAsia="Arial" w:hAnsi="Arial"/>
          <w:sz w:val="19"/>
          <w:szCs w:val="19"/>
          <w:b w:val="1"/>
          <w:bCs w:val="1"/>
          <w:color w:val="FF0000"/>
          <w:strike w:val="1"/>
        </w:rPr>
        <w:t>Eurocurrency Rate</w:t>
      </w:r>
      <w:r>
        <w:rPr>
          <w:rFonts w:ascii="Arial" w:cs="Arial" w:eastAsia="Arial" w:hAnsi="Arial"/>
          <w:sz w:val="19"/>
          <w:szCs w:val="19"/>
          <w:b w:val="1"/>
          <w:bCs w:val="1"/>
          <w:color w:val="FF0000"/>
        </w:rPr>
        <w:t xml:space="preserve"> </w:t>
      </w:r>
      <w:r>
        <w:rPr>
          <w:rFonts w:ascii="Arial" w:cs="Arial" w:eastAsia="Arial" w:hAnsi="Arial"/>
          <w:sz w:val="19"/>
          <w:szCs w:val="19"/>
          <w:color w:val="000000"/>
        </w:rPr>
        <w:t>Committed Loans; and if the Administrative Agent and any L/C Issuer consent to the issuance of Letters of</w:t>
      </w:r>
      <w:r>
        <w:rPr>
          <w:rFonts w:ascii="Arial" w:cs="Arial" w:eastAsia="Arial" w:hAnsi="Arial"/>
          <w:sz w:val="19"/>
          <w:szCs w:val="19"/>
          <w:b w:val="1"/>
          <w:bCs w:val="1"/>
          <w:color w:val="FF0000"/>
        </w:rPr>
        <w:t xml:space="preserve"> </w:t>
      </w:r>
      <w:r>
        <w:rPr>
          <w:rFonts w:ascii="Arial" w:cs="Arial" w:eastAsia="Arial" w:hAnsi="Arial"/>
          <w:sz w:val="19"/>
          <w:szCs w:val="19"/>
          <w:color w:val="000000"/>
        </w:rPr>
        <w:t xml:space="preserve">Credit in such requested currency, the Administrative Agent will so notify the Borrower and such currency will thereupon be deemed for all purposes to be an “Alternative Currency” hereunder for purposes of any Letter of Credit issuances by such L/C Issuer. If the Administrative Agent shall fail to obtain consent to any request for an additional currency under this </w:t>
      </w:r>
      <w:r>
        <w:rPr>
          <w:rFonts w:ascii="Arial" w:cs="Arial" w:eastAsia="Arial" w:hAnsi="Arial"/>
          <w:sz w:val="19"/>
          <w:szCs w:val="19"/>
          <w:u w:val="single" w:color="auto"/>
          <w:color w:val="000000"/>
        </w:rPr>
        <w:t>Section 1.05</w:t>
      </w:r>
      <w:r>
        <w:rPr>
          <w:rFonts w:ascii="Arial" w:cs="Arial" w:eastAsia="Arial" w:hAnsi="Arial"/>
          <w:sz w:val="19"/>
          <w:szCs w:val="19"/>
          <w:color w:val="000000"/>
        </w:rPr>
        <w:t>, the Administrative Agent will promptly so notify the Borrower.</w:t>
      </w:r>
    </w:p>
    <w:p>
      <w:pPr>
        <w:spacing w:after="0" w:line="158" w:lineRule="exact"/>
        <w:rPr>
          <w:sz w:val="20"/>
          <w:szCs w:val="20"/>
          <w:color w:val="auto"/>
        </w:rPr>
      </w:pPr>
    </w:p>
    <w:p>
      <w:pPr>
        <w:jc w:val="both"/>
        <w:ind w:firstLine="954"/>
        <w:spacing w:after="0" w:line="247" w:lineRule="auto"/>
        <w:rPr>
          <w:sz w:val="20"/>
          <w:szCs w:val="20"/>
          <w:color w:val="auto"/>
        </w:rPr>
      </w:pPr>
      <w:r>
        <w:rPr>
          <w:rFonts w:ascii="Arial" w:cs="Arial" w:eastAsia="Arial" w:hAnsi="Arial"/>
          <w:sz w:val="19"/>
          <w:szCs w:val="19"/>
          <w:color w:val="auto"/>
        </w:rPr>
        <w:t xml:space="preserve">Section 1.06 </w:t>
      </w:r>
      <w:r>
        <w:rPr>
          <w:rFonts w:ascii="Arial" w:cs="Arial" w:eastAsia="Arial" w:hAnsi="Arial"/>
          <w:sz w:val="19"/>
          <w:szCs w:val="19"/>
          <w:u w:val="single" w:color="auto"/>
          <w:color w:val="auto"/>
        </w:rPr>
        <w:t>Divisions</w:t>
      </w:r>
      <w:r>
        <w:rPr>
          <w:rFonts w:ascii="Arial" w:cs="Arial" w:eastAsia="Arial" w:hAnsi="Arial"/>
          <w:sz w:val="19"/>
          <w:szCs w:val="19"/>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148" w:lineRule="exact"/>
        <w:rPr>
          <w:sz w:val="20"/>
          <w:szCs w:val="20"/>
          <w:color w:val="auto"/>
        </w:rPr>
      </w:pPr>
    </w:p>
    <w:p>
      <w:pPr>
        <w:jc w:val="both"/>
        <w:ind w:firstLine="954"/>
        <w:spacing w:after="0" w:line="220" w:lineRule="auto"/>
        <w:rPr>
          <w:sz w:val="20"/>
          <w:szCs w:val="20"/>
          <w:color w:val="auto"/>
        </w:rPr>
      </w:pPr>
      <w:r>
        <w:rPr>
          <w:rFonts w:ascii="Arial" w:cs="Arial" w:eastAsia="Arial" w:hAnsi="Arial"/>
          <w:sz w:val="21"/>
          <w:szCs w:val="21"/>
          <w:color w:val="auto"/>
        </w:rPr>
        <w:t xml:space="preserve">Section 1.07 </w:t>
      </w:r>
      <w:r>
        <w:rPr>
          <w:rFonts w:ascii="Arial" w:cs="Arial" w:eastAsia="Arial" w:hAnsi="Arial"/>
          <w:sz w:val="21"/>
          <w:szCs w:val="21"/>
          <w:u w:val="single" w:color="auto"/>
          <w:color w:val="auto"/>
        </w:rPr>
        <w:t>Letter of Credit Amounts</w:t>
      </w:r>
      <w:r>
        <w:rPr>
          <w:rFonts w:ascii="Arial" w:cs="Arial" w:eastAsia="Arial" w:hAnsi="Arial"/>
          <w:sz w:val="21"/>
          <w:szCs w:val="21"/>
          <w:color w:val="auto"/>
        </w:rPr>
        <w:t xml:space="preserve">. Unless otherwise specified herein, the amount of a Letter of Credit at any time will be deemed to be the US Dollar Equivalent of the stated amount of such Letter of Credit in effect at such time;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with respect to any Letter of Credit that, by its terms or the terms of any Issuer Document related thereto, provides for one or more automatic increases in the stated amount thereof, the amount of such Letter of Credit will be deemed to be the US Dollar Equivalent of the maximum stated amount of such Letter of Credit after giving effect to all such increases, whether or not such maximum stated amount is in effect at such time.</w:t>
      </w:r>
    </w:p>
    <w:p>
      <w:pPr>
        <w:spacing w:after="0" w:line="156" w:lineRule="exact"/>
        <w:rPr>
          <w:sz w:val="20"/>
          <w:szCs w:val="20"/>
          <w:color w:val="auto"/>
        </w:rPr>
      </w:pPr>
    </w:p>
    <w:p>
      <w:pPr>
        <w:jc w:val="both"/>
        <w:ind w:firstLine="954"/>
        <w:spacing w:after="0" w:line="290" w:lineRule="auto"/>
        <w:rPr>
          <w:sz w:val="20"/>
          <w:szCs w:val="20"/>
          <w:color w:val="auto"/>
        </w:rPr>
      </w:pPr>
      <w:r>
        <w:rPr>
          <w:rFonts w:ascii="Arial" w:cs="Arial" w:eastAsia="Arial" w:hAnsi="Arial"/>
          <w:sz w:val="19"/>
          <w:szCs w:val="19"/>
          <w:color w:val="auto"/>
        </w:rPr>
        <w:t xml:space="preserve">Section 1.08 </w:t>
      </w:r>
      <w:r>
        <w:rPr>
          <w:rFonts w:ascii="Arial" w:cs="Arial" w:eastAsia="Arial" w:hAnsi="Arial"/>
          <w:sz w:val="19"/>
          <w:szCs w:val="19"/>
          <w:u w:val="single" w:color="auto"/>
          <w:color w:val="auto"/>
        </w:rPr>
        <w:t>Rounding</w:t>
      </w:r>
      <w:r>
        <w:rPr>
          <w:rFonts w:ascii="Arial" w:cs="Arial" w:eastAsia="Arial" w:hAnsi="Arial"/>
          <w:sz w:val="19"/>
          <w:szCs w:val="19"/>
          <w:color w:val="auto"/>
        </w:rPr>
        <w:t>. Any financial ratios required to be maintained by the Borrower pursuant to this Agreement shall be calculated by dividing the appropriate component by the other component, carrying the result to one place more than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40</w:t>
      </w:r>
    </w:p>
    <w:p>
      <w:pPr>
        <w:sectPr>
          <w:pgSz w:w="11900" w:h="16838" w:orient="portrait"/>
          <w:cols w:equalWidth="0" w:num="1">
            <w:col w:w="11200"/>
          </w:cols>
          <w:pgMar w:left="320" w:top="1152" w:right="379" w:bottom="1440" w:gutter="0" w:footer="0" w:header="0"/>
        </w:sectPr>
      </w:pPr>
    </w:p>
    <w:bookmarkStart w:id="179" w:name="page180"/>
    <w:bookmarkEnd w:id="179"/>
    <w:p>
      <w:pPr>
        <w:jc w:val="both"/>
        <w:spacing w:after="0" w:line="239" w:lineRule="auto"/>
        <w:rPr>
          <w:sz w:val="20"/>
          <w:szCs w:val="20"/>
          <w:color w:val="auto"/>
        </w:rPr>
      </w:pPr>
      <w:r>
        <w:rPr>
          <w:rFonts w:ascii="Arial" w:cs="Arial" w:eastAsia="Arial" w:hAnsi="Arial"/>
          <w:sz w:val="21"/>
          <w:szCs w:val="21"/>
          <w:color w:val="auto"/>
        </w:rPr>
        <w:t>number of places by which such ratio is expressed herein and rounding the result up or down to the nearest number (with a rounding-up if there is no nearest number).</w:t>
      </w:r>
    </w:p>
    <w:p>
      <w:pPr>
        <w:spacing w:after="0" w:line="149" w:lineRule="exact"/>
        <w:rPr>
          <w:sz w:val="20"/>
          <w:szCs w:val="20"/>
          <w:color w:val="auto"/>
        </w:rPr>
      </w:pPr>
    </w:p>
    <w:p>
      <w:pPr>
        <w:jc w:val="both"/>
        <w:ind w:firstLine="954"/>
        <w:spacing w:after="0" w:line="234" w:lineRule="auto"/>
        <w:rPr>
          <w:sz w:val="20"/>
          <w:szCs w:val="20"/>
          <w:color w:val="auto"/>
        </w:rPr>
      </w:pPr>
      <w:r>
        <w:rPr>
          <w:rFonts w:ascii="Arial" w:cs="Arial" w:eastAsia="Arial" w:hAnsi="Arial"/>
          <w:sz w:val="19"/>
          <w:szCs w:val="19"/>
          <w:color w:val="auto"/>
        </w:rPr>
        <w:t xml:space="preserve">Section 1.09 </w:t>
      </w:r>
      <w:r>
        <w:rPr>
          <w:rFonts w:ascii="Arial" w:cs="Arial" w:eastAsia="Arial" w:hAnsi="Arial"/>
          <w:sz w:val="19"/>
          <w:szCs w:val="19"/>
          <w:u w:val="single" w:color="auto"/>
          <w:color w:val="auto"/>
        </w:rPr>
        <w:t>Interest Rates;</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FF0000"/>
          <w:strike w:val="1"/>
        </w:rPr>
        <w:t>LIBOR</w:t>
      </w:r>
      <w:r>
        <w:rPr>
          <w:rFonts w:ascii="Arial" w:cs="Arial" w:eastAsia="Arial" w:hAnsi="Arial"/>
          <w:sz w:val="19"/>
          <w:szCs w:val="19"/>
          <w:b w:val="1"/>
          <w:bCs w:val="1"/>
          <w:u w:val="single" w:color="auto"/>
          <w:color w:val="0000FF"/>
        </w:rPr>
        <w:t>Benchmark</w:t>
      </w:r>
      <w:r>
        <w:rPr>
          <w:rFonts w:ascii="Arial" w:cs="Arial" w:eastAsia="Arial" w:hAnsi="Arial"/>
          <w:sz w:val="19"/>
          <w:szCs w:val="19"/>
          <w:color w:val="auto"/>
        </w:rPr>
        <w:t xml:space="preserve"> </w:t>
      </w:r>
      <w:r>
        <w:rPr>
          <w:rFonts w:ascii="Arial" w:cs="Arial" w:eastAsia="Arial" w:hAnsi="Arial"/>
          <w:sz w:val="19"/>
          <w:szCs w:val="19"/>
          <w:u w:val="single" w:color="auto"/>
          <w:color w:val="auto"/>
        </w:rPr>
        <w:t>Notification</w:t>
      </w:r>
      <w:r>
        <w:rPr>
          <w:rFonts w:ascii="Arial" w:cs="Arial" w:eastAsia="Arial" w:hAnsi="Arial"/>
          <w:sz w:val="19"/>
          <w:szCs w:val="19"/>
          <w:color w:val="auto"/>
        </w:rPr>
        <w:t xml:space="preserve">. The interest rate on </w:t>
      </w:r>
      <w:r>
        <w:rPr>
          <w:rFonts w:ascii="Arial" w:cs="Arial" w:eastAsia="Arial" w:hAnsi="Arial"/>
          <w:sz w:val="19"/>
          <w:szCs w:val="19"/>
          <w:b w:val="1"/>
          <w:bCs w:val="1"/>
          <w:color w:val="FF0000"/>
          <w:strike w:val="1"/>
        </w:rPr>
        <w:t>Eurodollar Loans is determined</w:t>
      </w:r>
      <w:r>
        <w:rPr>
          <w:rFonts w:ascii="Arial" w:cs="Arial" w:eastAsia="Arial" w:hAnsi="Arial"/>
          <w:sz w:val="19"/>
          <w:szCs w:val="19"/>
          <w:color w:val="auto"/>
        </w:rPr>
        <w:t xml:space="preserve"> </w:t>
      </w:r>
      <w:r>
        <w:rPr>
          <w:rFonts w:ascii="Arial" w:cs="Arial" w:eastAsia="Arial" w:hAnsi="Arial"/>
          <w:sz w:val="19"/>
          <w:szCs w:val="19"/>
          <w:b w:val="1"/>
          <w:bCs w:val="1"/>
          <w:color w:val="FF0000"/>
          <w:strike w:val="1"/>
        </w:rPr>
        <w:t>by reference to the LIBO Rate, which is derived from the London interbank offered rate (“</w:t>
      </w:r>
      <w:r>
        <w:rPr>
          <w:rFonts w:ascii="Arial" w:cs="Arial" w:eastAsia="Arial" w:hAnsi="Arial"/>
          <w:sz w:val="19"/>
          <w:szCs w:val="19"/>
          <w:b w:val="1"/>
          <w:bCs w:val="1"/>
          <w:u w:val="single" w:color="auto"/>
          <w:color w:val="FF0000"/>
          <w:strike w:val="1"/>
        </w:rPr>
        <w:t>LIBOR</w:t>
      </w:r>
      <w:r>
        <w:rPr>
          <w:rFonts w:ascii="Arial" w:cs="Arial" w:eastAsia="Arial" w:hAnsi="Arial"/>
          <w:sz w:val="19"/>
          <w:szCs w:val="19"/>
          <w:b w:val="1"/>
          <w:bCs w:val="1"/>
          <w:color w:val="FF0000"/>
          <w:strike w:val="1"/>
        </w:rPr>
        <w:t xml:space="preserve"> ”). LIBOR is intended to represent the rate at which contributing banks may obtain short-term borrowings from each other in the London interbank market. On March 5, 2021, the U.K. Financial Conduct Authority (the “</w:t>
      </w:r>
      <w:r>
        <w:rPr>
          <w:rFonts w:ascii="Arial" w:cs="Arial" w:eastAsia="Arial" w:hAnsi="Arial"/>
          <w:sz w:val="19"/>
          <w:szCs w:val="19"/>
          <w:b w:val="1"/>
          <w:bCs w:val="1"/>
          <w:u w:val="single" w:color="auto"/>
          <w:color w:val="FF0000"/>
          <w:strike w:val="1"/>
        </w:rPr>
        <w:t>FCA</w:t>
      </w:r>
      <w:r>
        <w:rPr>
          <w:rFonts w:ascii="Arial" w:cs="Arial" w:eastAsia="Arial" w:hAnsi="Arial"/>
          <w:sz w:val="19"/>
          <w:szCs w:val="19"/>
          <w:b w:val="1"/>
          <w:bCs w:val="1"/>
          <w:color w:val="FF0000"/>
          <w:strike w:val="1"/>
        </w:rPr>
        <w:t xml:space="preserve"> ”) publicly announced that: (a) immediately after December 31, 2021, publication of the 1-week and 2-month U.S. Dollar LIBOR settings will permanently cease; (b) immediately after June 30, 2023, publication of the overnight and 12-month U.S. Dollar LIBOR settings will permanently cease; and (c) immediately after June 30, 2023, the 1-month, 3-month and 6-month U.S. Dollar LIBOR settings will cease to be provided or, subject to the FCA’s consideration of the case, be provided on a changed methodology (or “synthetic”) basis and no longer be representative of the underlying market and economic reality they are intended to measure and that representativeness will not be restored. There is no assurance that dates announced by the FCA will not change or that the administrator of LIBOR and/or regulators will not take further action that could impact the availability, composition, or characteristics of LIBOR or the currencies and/or tenors for which LIBOR is published. Each party to this agreement should consult its own advisors to stay informed of any such developments. Public and private sector industry initiatives are currently underway to identify new or alternative reference rates to be used in place of LIBOR</w:t>
      </w:r>
      <w:r>
        <w:rPr>
          <w:rFonts w:ascii="Arial" w:cs="Arial" w:eastAsia="Arial" w:hAnsi="Arial"/>
          <w:sz w:val="19"/>
          <w:szCs w:val="19"/>
          <w:b w:val="1"/>
          <w:bCs w:val="1"/>
          <w:u w:val="single" w:color="auto"/>
          <w:color w:val="0000FF"/>
          <w:strike w:val="1"/>
        </w:rPr>
        <w:t>a Loan denominated in</w:t>
      </w:r>
      <w:r>
        <w:rPr>
          <w:rFonts w:ascii="Arial" w:cs="Arial" w:eastAsia="Arial" w:hAnsi="Arial"/>
          <w:sz w:val="19"/>
          <w:szCs w:val="19"/>
          <w:b w:val="1"/>
          <w:bCs w:val="1"/>
          <w:color w:val="FF0000"/>
          <w:strike w:val="1"/>
        </w:rPr>
        <w:t xml:space="preserve"> </w:t>
      </w:r>
      <w:r>
        <w:rPr>
          <w:rFonts w:ascii="Arial" w:cs="Arial" w:eastAsia="Arial" w:hAnsi="Arial"/>
          <w:sz w:val="19"/>
          <w:szCs w:val="19"/>
          <w:b w:val="1"/>
          <w:bCs w:val="1"/>
          <w:u w:val="single" w:color="auto"/>
          <w:color w:val="0000FF"/>
          <w:strike w:val="1"/>
        </w:rPr>
        <w:t>Dollars may be derived from an interest rate benchmark that may be discontinued or is, or may in the future become, the subject of regulatory reform</w:t>
      </w:r>
      <w:r>
        <w:rPr>
          <w:rFonts w:ascii="Arial" w:cs="Arial" w:eastAsia="Arial" w:hAnsi="Arial"/>
          <w:sz w:val="19"/>
          <w:szCs w:val="19"/>
          <w:color w:val="000000"/>
          <w:strike w:val="1"/>
        </w:rPr>
        <w:t>. Upon the occurrence of a Benchmark Transition Event,</w:t>
      </w:r>
      <w:r>
        <w:rPr>
          <w:rFonts w:ascii="Arial" w:cs="Arial" w:eastAsia="Arial" w:hAnsi="Arial"/>
          <w:sz w:val="19"/>
          <w:szCs w:val="19"/>
          <w:b w:val="1"/>
          <w:bCs w:val="1"/>
          <w:color w:val="0000FF"/>
          <w:strike w:val="1"/>
        </w:rPr>
        <w:t xml:space="preserve"> </w:t>
      </w:r>
      <w:r>
        <w:rPr>
          <w:rFonts w:ascii="Arial" w:cs="Arial" w:eastAsia="Arial" w:hAnsi="Arial"/>
          <w:sz w:val="19"/>
          <w:szCs w:val="19"/>
          <w:b w:val="1"/>
          <w:bCs w:val="1"/>
          <w:color w:val="FF0000"/>
          <w:strike w:val="1"/>
        </w:rPr>
        <w:t>a Term SOFR Transition Event, an Early</w:t>
      </w:r>
      <w:r>
        <w:rPr>
          <w:rFonts w:ascii="Arial" w:cs="Arial" w:eastAsia="Arial" w:hAnsi="Arial"/>
          <w:sz w:val="19"/>
          <w:szCs w:val="19"/>
          <w:b w:val="1"/>
          <w:bCs w:val="1"/>
          <w:color w:val="0000FF"/>
          <w:strike w:val="1"/>
        </w:rPr>
        <w:t xml:space="preserve"> </w:t>
      </w:r>
      <w:r>
        <w:rPr>
          <w:rFonts w:ascii="Arial" w:cs="Arial" w:eastAsia="Arial" w:hAnsi="Arial"/>
          <w:sz w:val="19"/>
          <w:szCs w:val="19"/>
          <w:b w:val="1"/>
          <w:bCs w:val="1"/>
          <w:color w:val="FF0000"/>
          <w:strike w:val="1"/>
        </w:rPr>
        <w:t xml:space="preserve">Opt-in Election or an Other Benchmark Rate Election, </w:t>
      </w:r>
      <w:r>
        <w:rPr>
          <w:rFonts w:ascii="Arial" w:cs="Arial" w:eastAsia="Arial" w:hAnsi="Arial"/>
          <w:sz w:val="19"/>
          <w:szCs w:val="19"/>
          <w:color w:val="000000"/>
          <w:strike w:val="1"/>
        </w:rPr>
        <w:t>Section 2.17(b)</w:t>
      </w:r>
      <w:r>
        <w:rPr>
          <w:rFonts w:ascii="Arial" w:cs="Arial" w:eastAsia="Arial" w:hAnsi="Arial"/>
          <w:sz w:val="19"/>
          <w:szCs w:val="19"/>
          <w:b w:val="1"/>
          <w:bCs w:val="1"/>
          <w:color w:val="FF0000"/>
          <w:strike w:val="1"/>
        </w:rPr>
        <w:t xml:space="preserve"> and Section 2.17(c) provide</w:t>
      </w:r>
      <w:r>
        <w:rPr>
          <w:rFonts w:ascii="Arial" w:cs="Arial" w:eastAsia="Arial" w:hAnsi="Arial"/>
          <w:sz w:val="19"/>
          <w:szCs w:val="19"/>
          <w:b w:val="1"/>
          <w:bCs w:val="1"/>
          <w:u w:val="single" w:color="auto"/>
          <w:color w:val="0000FF"/>
          <w:strike w:val="1"/>
        </w:rPr>
        <w:t>provides</w:t>
      </w:r>
      <w:r>
        <w:rPr>
          <w:rFonts w:ascii="Arial" w:cs="Arial" w:eastAsia="Arial" w:hAnsi="Arial"/>
          <w:sz w:val="19"/>
          <w:szCs w:val="19"/>
          <w:b w:val="1"/>
          <w:bCs w:val="1"/>
          <w:color w:val="FF0000"/>
          <w:strike w:val="1"/>
        </w:rPr>
        <w:t xml:space="preserve"> </w:t>
      </w:r>
      <w:r>
        <w:rPr>
          <w:rFonts w:ascii="Arial" w:cs="Arial" w:eastAsia="Arial" w:hAnsi="Arial"/>
          <w:sz w:val="19"/>
          <w:szCs w:val="19"/>
          <w:color w:val="000000"/>
          <w:strike w:val="1"/>
        </w:rPr>
        <w:t>a mechanism for</w:t>
      </w:r>
      <w:r>
        <w:rPr>
          <w:rFonts w:ascii="Arial" w:cs="Arial" w:eastAsia="Arial" w:hAnsi="Arial"/>
          <w:sz w:val="19"/>
          <w:szCs w:val="19"/>
          <w:b w:val="1"/>
          <w:bCs w:val="1"/>
          <w:color w:val="FF0000"/>
          <w:strike w:val="1"/>
        </w:rPr>
        <w:t xml:space="preserve"> </w:t>
      </w:r>
      <w:r>
        <w:rPr>
          <w:rFonts w:ascii="Arial" w:cs="Arial" w:eastAsia="Arial" w:hAnsi="Arial"/>
          <w:sz w:val="19"/>
          <w:szCs w:val="19"/>
          <w:color w:val="000000"/>
          <w:strike w:val="1"/>
        </w:rPr>
        <w:t xml:space="preserve">determining an alternative rate of interest. The </w:t>
      </w:r>
      <w:r>
        <w:rPr>
          <w:rFonts w:ascii="Arial" w:cs="Arial" w:eastAsia="Arial" w:hAnsi="Arial"/>
          <w:sz w:val="19"/>
          <w:szCs w:val="19"/>
          <w:b w:val="1"/>
          <w:bCs w:val="1"/>
          <w:color w:val="FF0000"/>
          <w:strike w:val="1"/>
        </w:rPr>
        <w:t>Administrative Agent will promptly notify the Borrower, pursuant to Section</w:t>
      </w:r>
      <w:r>
        <w:rPr>
          <w:rFonts w:ascii="Arial" w:cs="Arial" w:eastAsia="Arial" w:hAnsi="Arial"/>
          <w:sz w:val="19"/>
          <w:szCs w:val="19"/>
          <w:color w:val="000000"/>
          <w:strike w:val="1"/>
        </w:rPr>
        <w:t xml:space="preserve"> </w:t>
      </w:r>
      <w:r>
        <w:rPr>
          <w:rFonts w:ascii="Arial" w:cs="Arial" w:eastAsia="Arial" w:hAnsi="Arial"/>
          <w:sz w:val="19"/>
          <w:szCs w:val="19"/>
          <w:b w:val="1"/>
          <w:bCs w:val="1"/>
          <w:color w:val="FF0000"/>
          <w:strike w:val="1"/>
        </w:rPr>
        <w:t xml:space="preserve">2.17(e), of any change to the reference rate upon which the interest rate on Eurodollar Loans is based. However, the </w:t>
      </w:r>
      <w:r>
        <w:rPr>
          <w:rFonts w:ascii="Arial" w:cs="Arial" w:eastAsia="Arial" w:hAnsi="Arial"/>
          <w:sz w:val="19"/>
          <w:szCs w:val="19"/>
          <w:color w:val="000000"/>
          <w:strike w:val="1"/>
        </w:rPr>
        <w:t xml:space="preserve">Administrative Agent does not warrant or accept any responsibility for, and shall not have any liability with respect to, the administration, submission, performance or any other matter related to </w:t>
      </w:r>
      <w:r>
        <w:rPr>
          <w:rFonts w:ascii="Arial" w:cs="Arial" w:eastAsia="Arial" w:hAnsi="Arial"/>
          <w:sz w:val="19"/>
          <w:szCs w:val="19"/>
          <w:b w:val="1"/>
          <w:bCs w:val="1"/>
          <w:color w:val="FF0000"/>
          <w:strike w:val="1"/>
        </w:rPr>
        <w:t>LIBOR or other rates in the definition of “LIBO</w:t>
      </w:r>
      <w:r>
        <w:rPr>
          <w:rFonts w:ascii="Arial" w:cs="Arial" w:eastAsia="Arial" w:hAnsi="Arial"/>
          <w:sz w:val="19"/>
          <w:szCs w:val="19"/>
          <w:color w:val="000000"/>
          <w:strike w:val="1"/>
        </w:rPr>
        <w:t xml:space="preserve"> </w:t>
      </w:r>
      <w:r>
        <w:rPr>
          <w:rFonts w:ascii="Arial" w:cs="Arial" w:eastAsia="Arial" w:hAnsi="Arial"/>
          <w:sz w:val="19"/>
          <w:szCs w:val="19"/>
          <w:b w:val="1"/>
          <w:bCs w:val="1"/>
          <w:color w:val="FF0000"/>
          <w:strike w:val="1"/>
        </w:rPr>
        <w:t>Rate”</w:t>
      </w:r>
      <w:r>
        <w:rPr>
          <w:rFonts w:ascii="Arial" w:cs="Arial" w:eastAsia="Arial" w:hAnsi="Arial"/>
          <w:sz w:val="19"/>
          <w:szCs w:val="19"/>
          <w:b w:val="1"/>
          <w:bCs w:val="1"/>
          <w:u w:val="single" w:color="auto"/>
          <w:color w:val="0000FF"/>
          <w:strike w:val="1"/>
        </w:rPr>
        <w:t>any interest rate used in this Agreement,</w:t>
      </w:r>
      <w:r>
        <w:rPr>
          <w:rFonts w:ascii="Arial" w:cs="Arial" w:eastAsia="Arial" w:hAnsi="Arial"/>
          <w:sz w:val="19"/>
          <w:szCs w:val="19"/>
          <w:b w:val="1"/>
          <w:bCs w:val="1"/>
          <w:color w:val="FF0000"/>
          <w:strike w:val="1"/>
        </w:rPr>
        <w:t xml:space="preserve"> </w:t>
      </w:r>
      <w:r>
        <w:rPr>
          <w:rFonts w:ascii="Arial" w:cs="Arial" w:eastAsia="Arial" w:hAnsi="Arial"/>
          <w:sz w:val="19"/>
          <w:szCs w:val="19"/>
          <w:color w:val="000000"/>
          <w:strike w:val="1"/>
        </w:rPr>
        <w:t>or with respect to any alternative or successor rate thereto, or replacement rate</w:t>
      </w:r>
      <w:r>
        <w:rPr>
          <w:rFonts w:ascii="Arial" w:cs="Arial" w:eastAsia="Arial" w:hAnsi="Arial"/>
          <w:sz w:val="19"/>
          <w:szCs w:val="19"/>
          <w:b w:val="1"/>
          <w:bCs w:val="1"/>
          <w:color w:val="FF0000"/>
          <w:strike w:val="1"/>
        </w:rPr>
        <w:t xml:space="preserve"> </w:t>
      </w:r>
      <w:r>
        <w:rPr>
          <w:rFonts w:ascii="Arial" w:cs="Arial" w:eastAsia="Arial" w:hAnsi="Arial"/>
          <w:sz w:val="19"/>
          <w:szCs w:val="19"/>
          <w:color w:val="000000"/>
          <w:strike w:val="1"/>
        </w:rPr>
        <w:t xml:space="preserve">thereof </w:t>
      </w:r>
      <w:r>
        <w:rPr>
          <w:rFonts w:ascii="Arial" w:cs="Arial" w:eastAsia="Arial" w:hAnsi="Arial"/>
          <w:sz w:val="19"/>
          <w:szCs w:val="19"/>
          <w:b w:val="1"/>
          <w:bCs w:val="1"/>
          <w:color w:val="FF0000"/>
          <w:strike w:val="1"/>
        </w:rPr>
        <w:t>(including, without limitation, (i) any such alternative, successor or replacement rate implemented pursuant to</w:t>
      </w:r>
    </w:p>
    <w:p>
      <w:pPr>
        <w:jc w:val="both"/>
        <w:spacing w:after="0" w:line="225" w:lineRule="auto"/>
        <w:rPr>
          <w:sz w:val="20"/>
          <w:szCs w:val="20"/>
          <w:color w:val="auto"/>
        </w:rPr>
      </w:pPr>
      <w:r>
        <w:rPr>
          <w:rFonts w:ascii="Arial" w:cs="Arial" w:eastAsia="Arial" w:hAnsi="Arial"/>
          <w:sz w:val="20"/>
          <w:szCs w:val="20"/>
          <w:b w:val="1"/>
          <w:bCs w:val="1"/>
          <w:color w:val="FF0000"/>
          <w:strike w:val="1"/>
        </w:rPr>
        <w:t>Section 2.17(b) or Section 2.17(c), whether upon the occurrence of a Benchmark Transition Event, a Term SOFR Transition Event, an Early Opt-in Election or an Other Benchmark Rate Election, and (ii) the implementation of any Benchmark Replacement Conforming Changes pursuant to Section 2.17(d))</w:t>
      </w:r>
      <w:r>
        <w:rPr>
          <w:rFonts w:ascii="Arial" w:cs="Arial" w:eastAsia="Arial" w:hAnsi="Arial"/>
          <w:sz w:val="20"/>
          <w:szCs w:val="20"/>
          <w:color w:val="000000"/>
          <w:strike w:val="1"/>
        </w:rPr>
        <w:t>, including without limitation, whether the composition or</w:t>
      </w:r>
      <w:r>
        <w:rPr>
          <w:rFonts w:ascii="Arial" w:cs="Arial" w:eastAsia="Arial" w:hAnsi="Arial"/>
          <w:sz w:val="20"/>
          <w:szCs w:val="20"/>
          <w:b w:val="1"/>
          <w:bCs w:val="1"/>
          <w:color w:val="FF0000"/>
          <w:strike w:val="1"/>
        </w:rPr>
        <w:t xml:space="preserve"> </w:t>
      </w:r>
      <w:r>
        <w:rPr>
          <w:rFonts w:ascii="Arial" w:cs="Arial" w:eastAsia="Arial" w:hAnsi="Arial"/>
          <w:sz w:val="20"/>
          <w:szCs w:val="20"/>
          <w:color w:val="000000"/>
          <w:strike w:val="1"/>
        </w:rPr>
        <w:t xml:space="preserve">characteristics of any such alternative, successor or replacement reference rate will be similar to, or produce the same value or economic equivalence of, the </w:t>
      </w:r>
      <w:r>
        <w:rPr>
          <w:rFonts w:ascii="Arial" w:cs="Arial" w:eastAsia="Arial" w:hAnsi="Arial"/>
          <w:sz w:val="20"/>
          <w:szCs w:val="20"/>
          <w:b w:val="1"/>
          <w:bCs w:val="1"/>
          <w:color w:val="FF0000"/>
          <w:strike w:val="1"/>
        </w:rPr>
        <w:t>LIBO Rate</w:t>
      </w:r>
      <w:r>
        <w:rPr>
          <w:rFonts w:ascii="Arial" w:cs="Arial" w:eastAsia="Arial" w:hAnsi="Arial"/>
          <w:sz w:val="20"/>
          <w:szCs w:val="20"/>
          <w:b w:val="1"/>
          <w:bCs w:val="1"/>
          <w:u w:val="single" w:color="auto"/>
          <w:color w:val="0000FF"/>
          <w:strike w:val="1"/>
        </w:rPr>
        <w:t>existing interest rate being replaced</w:t>
      </w:r>
      <w:r>
        <w:rPr>
          <w:rFonts w:ascii="Arial" w:cs="Arial" w:eastAsia="Arial" w:hAnsi="Arial"/>
          <w:sz w:val="20"/>
          <w:szCs w:val="20"/>
          <w:color w:val="000000"/>
          <w:strike w:val="1"/>
        </w:rPr>
        <w:t xml:space="preserve"> or have the same volume or liquidity as did </w:t>
      </w:r>
      <w:r>
        <w:rPr>
          <w:rFonts w:ascii="Arial" w:cs="Arial" w:eastAsia="Arial" w:hAnsi="Arial"/>
          <w:sz w:val="20"/>
          <w:szCs w:val="20"/>
          <w:b w:val="1"/>
          <w:bCs w:val="1"/>
          <w:color w:val="FF0000"/>
          <w:strike w:val="1"/>
        </w:rPr>
        <w:t>LIBOR</w:t>
      </w:r>
      <w:r>
        <w:rPr>
          <w:rFonts w:ascii="Arial" w:cs="Arial" w:eastAsia="Arial" w:hAnsi="Arial"/>
          <w:sz w:val="20"/>
          <w:szCs w:val="20"/>
          <w:b w:val="1"/>
          <w:bCs w:val="1"/>
          <w:u w:val="single" w:color="auto"/>
          <w:color w:val="0000FF"/>
          <w:strike w:val="1"/>
        </w:rPr>
        <w:t>any existing interest rate</w:t>
      </w:r>
      <w:r>
        <w:rPr>
          <w:rFonts w:ascii="Arial" w:cs="Arial" w:eastAsia="Arial" w:hAnsi="Arial"/>
          <w:sz w:val="20"/>
          <w:szCs w:val="20"/>
          <w:b w:val="1"/>
          <w:bCs w:val="1"/>
          <w:color w:val="FF0000"/>
          <w:strike w:val="1"/>
        </w:rPr>
        <w:t xml:space="preserve"> </w:t>
      </w:r>
      <w:r>
        <w:rPr>
          <w:rFonts w:ascii="Arial" w:cs="Arial" w:eastAsia="Arial" w:hAnsi="Arial"/>
          <w:sz w:val="20"/>
          <w:szCs w:val="20"/>
          <w:color w:val="000000"/>
          <w:strike w:val="1"/>
        </w:rPr>
        <w:t>prior to its discontinuance or unavailability</w:t>
      </w:r>
      <w:r>
        <w:rPr>
          <w:rFonts w:ascii="Arial" w:cs="Arial" w:eastAsia="Arial" w:hAnsi="Arial"/>
          <w:sz w:val="20"/>
          <w:szCs w:val="20"/>
          <w:b w:val="1"/>
          <w:bCs w:val="1"/>
          <w:u w:val="single" w:color="auto"/>
          <w:color w:val="0000FF"/>
          <w:strike w:val="1"/>
        </w:rPr>
        <w:t>. The Administrative Agent and its affiliates</w:t>
      </w:r>
      <w:r>
        <w:rPr>
          <w:rFonts w:ascii="Arial" w:cs="Arial" w:eastAsia="Arial" w:hAnsi="Arial"/>
          <w:sz w:val="20"/>
          <w:szCs w:val="20"/>
          <w:b w:val="1"/>
          <w:bCs w:val="1"/>
          <w:color w:val="FF0000"/>
          <w:strike w:val="1"/>
        </w:rPr>
        <w:t xml:space="preserve"> </w:t>
      </w:r>
      <w:r>
        <w:rPr>
          <w:rFonts w:ascii="Arial" w:cs="Arial" w:eastAsia="Arial" w:hAnsi="Arial"/>
          <w:sz w:val="20"/>
          <w:szCs w:val="20"/>
          <w:b w:val="1"/>
          <w:bCs w:val="1"/>
          <w:u w:val="single" w:color="auto"/>
          <w:color w:val="0000FF"/>
          <w:strike w:val="1"/>
        </w:rPr>
        <w:t>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w:t>
      </w:r>
      <w:r>
        <w:rPr>
          <w:rFonts w:ascii="Arial" w:cs="Arial" w:eastAsia="Arial" w:hAnsi="Arial"/>
          <w:sz w:val="20"/>
          <w:szCs w:val="20"/>
          <w:color w:val="000000"/>
          <w:strike w:val="1"/>
        </w:rPr>
        <w:t>. The Administrative Agent may select information</w:t>
      </w:r>
      <w:r>
        <w:rPr>
          <w:rFonts w:ascii="Arial" w:cs="Arial" w:eastAsia="Arial" w:hAnsi="Arial"/>
          <w:sz w:val="20"/>
          <w:szCs w:val="20"/>
          <w:b w:val="1"/>
          <w:bCs w:val="1"/>
          <w:color w:val="0000FF"/>
          <w:strike w:val="1"/>
        </w:rPr>
        <w:t xml:space="preserve"> </w:t>
      </w:r>
      <w:r>
        <w:rPr>
          <w:rFonts w:ascii="Arial" w:cs="Arial" w:eastAsia="Arial" w:hAnsi="Arial"/>
          <w:sz w:val="20"/>
          <w:szCs w:val="20"/>
          <w:color w:val="000000"/>
          <w:strike w:val="1"/>
        </w:rPr>
        <w:t xml:space="preserve">sources or services in its reasonable discretion to ascertain any </w:t>
      </w:r>
      <w:r>
        <w:rPr>
          <w:rFonts w:ascii="Arial" w:cs="Arial" w:eastAsia="Arial" w:hAnsi="Arial"/>
          <w:sz w:val="20"/>
          <w:szCs w:val="20"/>
          <w:b w:val="1"/>
          <w:bCs w:val="1"/>
          <w:u w:val="single" w:color="auto"/>
          <w:color w:val="0000FF"/>
          <w:strike w:val="1"/>
        </w:rPr>
        <w:t>interest</w:t>
      </w:r>
      <w:r>
        <w:rPr>
          <w:rFonts w:ascii="Arial" w:cs="Arial" w:eastAsia="Arial" w:hAnsi="Arial"/>
          <w:sz w:val="20"/>
          <w:szCs w:val="20"/>
          <w:color w:val="000000"/>
          <w:strike w:val="1"/>
        </w:rPr>
        <w:t xml:space="preserve"> rate </w:t>
      </w:r>
      <w:r>
        <w:rPr>
          <w:rFonts w:ascii="Arial" w:cs="Arial" w:eastAsia="Arial" w:hAnsi="Arial"/>
          <w:sz w:val="20"/>
          <w:szCs w:val="20"/>
          <w:b w:val="1"/>
          <w:bCs w:val="1"/>
          <w:color w:val="FF0000"/>
          <w:strike w:val="1"/>
        </w:rPr>
        <w:t>with respect to Eurodollar Loans</w:t>
      </w:r>
      <w:r>
        <w:rPr>
          <w:rFonts w:ascii="Arial" w:cs="Arial" w:eastAsia="Arial" w:hAnsi="Arial"/>
          <w:sz w:val="20"/>
          <w:szCs w:val="20"/>
          <w:b w:val="1"/>
          <w:bCs w:val="1"/>
          <w:u w:val="single" w:color="auto"/>
          <w:color w:val="0000FF"/>
          <w:strike w:val="1"/>
        </w:rPr>
        <w:t>used in this</w:t>
      </w:r>
      <w:r>
        <w:rPr>
          <w:rFonts w:ascii="Arial" w:cs="Arial" w:eastAsia="Arial" w:hAnsi="Arial"/>
          <w:sz w:val="20"/>
          <w:szCs w:val="20"/>
          <w:color w:val="000000"/>
          <w:strike w:val="1"/>
        </w:rPr>
        <w:t xml:space="preserve"> </w:t>
      </w:r>
      <w:r>
        <w:rPr>
          <w:rFonts w:ascii="Arial" w:cs="Arial" w:eastAsia="Arial" w:hAnsi="Arial"/>
          <w:sz w:val="20"/>
          <w:szCs w:val="20"/>
          <w:b w:val="1"/>
          <w:bCs w:val="1"/>
          <w:u w:val="single" w:color="auto"/>
          <w:color w:val="0000FF"/>
          <w:strike w:val="1"/>
        </w:rPr>
        <w:t>Agreement</w:t>
      </w:r>
      <w:r>
        <w:rPr>
          <w:rFonts w:ascii="Arial" w:cs="Arial" w:eastAsia="Arial" w:hAnsi="Arial"/>
          <w:sz w:val="20"/>
          <w:szCs w:val="20"/>
          <w:color w:val="000000"/>
          <w:strike w:val="1"/>
        </w:rPr>
        <w:t>, any component thereof, or rates referenced in the definition thereof, in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41</w:t>
      </w:r>
    </w:p>
    <w:p>
      <w:pPr>
        <w:sectPr>
          <w:pgSz w:w="11900" w:h="16838" w:orient="portrait"/>
          <w:cols w:equalWidth="0" w:num="1">
            <w:col w:w="11200"/>
          </w:cols>
          <w:pgMar w:left="320" w:top="1152" w:right="379" w:bottom="1440" w:gutter="0" w:footer="0" w:header="0"/>
        </w:sectPr>
      </w:pPr>
    </w:p>
    <w:bookmarkStart w:id="180" w:name="page181"/>
    <w:bookmarkEnd w:id="180"/>
    <w:p>
      <w:pPr>
        <w:jc w:val="both"/>
        <w:spacing w:after="0" w:line="225" w:lineRule="auto"/>
        <w:rPr>
          <w:sz w:val="20"/>
          <w:szCs w:val="20"/>
          <w:color w:val="auto"/>
        </w:rPr>
      </w:pPr>
      <w:r>
        <w:rPr>
          <w:rFonts w:ascii="Arial" w:cs="Arial" w:eastAsia="Arial" w:hAnsi="Arial"/>
          <w:sz w:val="21"/>
          <w:szCs w:val="21"/>
          <w:color w:val="auto"/>
        </w:rPr>
        <w:t>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54" w:lineRule="exact"/>
        <w:rPr>
          <w:sz w:val="20"/>
          <w:szCs w:val="20"/>
          <w:color w:val="auto"/>
        </w:rPr>
      </w:pPr>
    </w:p>
    <w:p>
      <w:pPr>
        <w:ind w:left="5000"/>
        <w:spacing w:after="0"/>
        <w:rPr>
          <w:sz w:val="20"/>
          <w:szCs w:val="20"/>
          <w:color w:val="auto"/>
        </w:rPr>
      </w:pPr>
      <w:r>
        <w:rPr>
          <w:rFonts w:ascii="Arial" w:cs="Arial" w:eastAsia="Arial" w:hAnsi="Arial"/>
          <w:sz w:val="21"/>
          <w:szCs w:val="21"/>
          <w:color w:val="auto"/>
        </w:rPr>
        <w:t>ARTICLE 2</w:t>
      </w:r>
    </w:p>
    <w:p>
      <w:pPr>
        <w:spacing w:after="0" w:line="183" w:lineRule="exact"/>
        <w:rPr>
          <w:sz w:val="20"/>
          <w:szCs w:val="20"/>
          <w:color w:val="auto"/>
        </w:rPr>
      </w:pPr>
    </w:p>
    <w:p>
      <w:pPr>
        <w:ind w:left="3260"/>
        <w:spacing w:after="0"/>
        <w:rPr>
          <w:sz w:val="20"/>
          <w:szCs w:val="20"/>
          <w:color w:val="auto"/>
        </w:rPr>
      </w:pPr>
      <w:r>
        <w:rPr>
          <w:rFonts w:ascii="Arial" w:cs="Arial" w:eastAsia="Arial" w:hAnsi="Arial"/>
          <w:sz w:val="21"/>
          <w:szCs w:val="21"/>
          <w:color w:val="auto"/>
        </w:rPr>
        <w:t>THE COMMITMENTS AND CREDIT EXTENSIONS</w:t>
      </w:r>
    </w:p>
    <w:p>
      <w:pPr>
        <w:spacing w:after="0" w:line="183" w:lineRule="exact"/>
        <w:rPr>
          <w:sz w:val="20"/>
          <w:szCs w:val="20"/>
          <w:color w:val="auto"/>
        </w:rPr>
      </w:pPr>
    </w:p>
    <w:p>
      <w:pPr>
        <w:jc w:val="both"/>
        <w:ind w:firstLine="954"/>
        <w:spacing w:after="0" w:line="238" w:lineRule="auto"/>
        <w:rPr>
          <w:sz w:val="20"/>
          <w:szCs w:val="20"/>
          <w:color w:val="auto"/>
        </w:rPr>
      </w:pPr>
      <w:r>
        <w:rPr>
          <w:rFonts w:ascii="Arial" w:cs="Arial" w:eastAsia="Arial" w:hAnsi="Arial"/>
          <w:sz w:val="19"/>
          <w:szCs w:val="19"/>
          <w:color w:val="auto"/>
        </w:rPr>
        <w:t xml:space="preserve">Section 2.01 </w:t>
      </w:r>
      <w:r>
        <w:rPr>
          <w:rFonts w:ascii="Arial" w:cs="Arial" w:eastAsia="Arial" w:hAnsi="Arial"/>
          <w:sz w:val="19"/>
          <w:szCs w:val="19"/>
          <w:u w:val="single" w:color="auto"/>
          <w:color w:val="auto"/>
        </w:rPr>
        <w:t>Committed Loans</w:t>
      </w:r>
      <w:r>
        <w:rPr>
          <w:rFonts w:ascii="Arial" w:cs="Arial" w:eastAsia="Arial" w:hAnsi="Arial"/>
          <w:sz w:val="19"/>
          <w:szCs w:val="19"/>
          <w:color w:val="auto"/>
        </w:rPr>
        <w:t>. Subject to the terms and conditions set forth herein, each Lender severally agrees to make loans (each such loan, a “</w:t>
      </w:r>
      <w:r>
        <w:rPr>
          <w:rFonts w:ascii="Arial" w:cs="Arial" w:eastAsia="Arial" w:hAnsi="Arial"/>
          <w:sz w:val="19"/>
          <w:szCs w:val="19"/>
          <w:u w:val="single" w:color="auto"/>
          <w:color w:val="auto"/>
        </w:rPr>
        <w:t>Committed Loan</w:t>
      </w:r>
      <w:r>
        <w:rPr>
          <w:rFonts w:ascii="Arial" w:cs="Arial" w:eastAsia="Arial" w:hAnsi="Arial"/>
          <w:sz w:val="19"/>
          <w:szCs w:val="19"/>
          <w:color w:val="auto"/>
        </w:rPr>
        <w:t xml:space="preserve">”) to the Borrower in US Dollars or in one or more Alternative Currencies from time to time, on any Business Day during the Availability Period, in an aggregate principal amount that will not result in (a) the Total Outstandings exceeding the Aggregate Commitments, (b) the aggregate Outstanding Amount of the Committed Loans of any Lender, plus such Lender’s Applicable Percentage of the Outstanding Amount of all L/C Obligations exceeding such Lender’s Commitment or (c) the aggregate Outstanding Amount of all Committed Loans, all Bid Loans and all L/C Obligations denominated in Alternative Currencies or Discretionary Alternative Currencies exceeding the Alternative Currency Sublimit. Within the limits of each Lender’s Commitment, and subject to the other terms and conditions hereof, the Borrower may borrow under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2.01</w:t>
      </w:r>
      <w:r>
        <w:rPr>
          <w:rFonts w:ascii="Arial" w:cs="Arial" w:eastAsia="Arial" w:hAnsi="Arial"/>
          <w:sz w:val="19"/>
          <w:szCs w:val="19"/>
          <w:color w:val="auto"/>
        </w:rPr>
        <w:t xml:space="preserve">, prepay under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and reborrow under this </w:t>
      </w:r>
      <w:r>
        <w:rPr>
          <w:rFonts w:ascii="Arial" w:cs="Arial" w:eastAsia="Arial" w:hAnsi="Arial"/>
          <w:sz w:val="19"/>
          <w:szCs w:val="19"/>
          <w:u w:val="single" w:color="auto"/>
          <w:color w:val="auto"/>
        </w:rPr>
        <w:t>Section 2.01</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Subject to Section 2.17,</w:t>
      </w:r>
      <w:r>
        <w:rPr>
          <w:rFonts w:ascii="Arial" w:cs="Arial" w:eastAsia="Arial" w:hAnsi="Arial"/>
          <w:sz w:val="19"/>
          <w:szCs w:val="19"/>
          <w:color w:val="auto"/>
        </w:rPr>
        <w:t xml:space="preserve"> Committed Loans denominated in US Dollars may be Base Rate Loans or </w:t>
      </w:r>
      <w:r>
        <w:rPr>
          <w:rFonts w:ascii="Arial" w:cs="Arial" w:eastAsia="Arial" w:hAnsi="Arial"/>
          <w:sz w:val="19"/>
          <w:szCs w:val="19"/>
          <w:b w:val="1"/>
          <w:bCs w:val="1"/>
          <w:color w:val="FF0000"/>
          <w:strike w:val="1"/>
        </w:rPr>
        <w:t>Eurocurrency Rate Loans, and Committed Loans denominated in any Alternative</w:t>
      </w:r>
      <w:r>
        <w:rPr>
          <w:rFonts w:ascii="Arial" w:cs="Arial" w:eastAsia="Arial" w:hAnsi="Arial"/>
          <w:sz w:val="19"/>
          <w:szCs w:val="19"/>
          <w:color w:val="auto"/>
        </w:rPr>
        <w:t xml:space="preserve"> </w:t>
      </w:r>
      <w:r>
        <w:rPr>
          <w:rFonts w:ascii="Arial" w:cs="Arial" w:eastAsia="Arial" w:hAnsi="Arial"/>
          <w:sz w:val="19"/>
          <w:szCs w:val="19"/>
          <w:b w:val="1"/>
          <w:bCs w:val="1"/>
          <w:color w:val="FF0000"/>
          <w:strike w:val="1"/>
        </w:rPr>
        <w:t>Currency may only be Eurocurrency Rate</w:t>
      </w:r>
      <w:r>
        <w:rPr>
          <w:rFonts w:ascii="Arial" w:cs="Arial" w:eastAsia="Arial" w:hAnsi="Arial"/>
          <w:sz w:val="19"/>
          <w:szCs w:val="19"/>
          <w:b w:val="1"/>
          <w:bCs w:val="1"/>
          <w:u w:val="single" w:color="auto"/>
          <w:color w:val="0000FF"/>
        </w:rPr>
        <w:t>Term Benchmark</w:t>
      </w:r>
      <w:r>
        <w:rPr>
          <w:rFonts w:ascii="Arial" w:cs="Arial" w:eastAsia="Arial" w:hAnsi="Arial"/>
          <w:sz w:val="19"/>
          <w:szCs w:val="19"/>
          <w:b w:val="1"/>
          <w:bCs w:val="1"/>
          <w:color w:val="FF0000"/>
        </w:rPr>
        <w:t xml:space="preserve"> </w:t>
      </w:r>
      <w:r>
        <w:rPr>
          <w:rFonts w:ascii="Arial" w:cs="Arial" w:eastAsia="Arial" w:hAnsi="Arial"/>
          <w:sz w:val="19"/>
          <w:szCs w:val="19"/>
          <w:color w:val="000000"/>
        </w:rPr>
        <w:t>Loans, all as further provided herein.</w:t>
      </w:r>
    </w:p>
    <w:p>
      <w:pPr>
        <w:spacing w:after="0" w:line="161" w:lineRule="exact"/>
        <w:rPr>
          <w:sz w:val="20"/>
          <w:szCs w:val="20"/>
          <w:color w:val="auto"/>
        </w:rPr>
      </w:pPr>
    </w:p>
    <w:p>
      <w:pPr>
        <w:jc w:val="both"/>
        <w:ind w:firstLine="954"/>
        <w:spacing w:after="0" w:line="224" w:lineRule="auto"/>
        <w:rPr>
          <w:sz w:val="20"/>
          <w:szCs w:val="20"/>
          <w:color w:val="auto"/>
        </w:rPr>
      </w:pPr>
      <w:r>
        <w:rPr>
          <w:rFonts w:ascii="Arial" w:cs="Arial" w:eastAsia="Arial" w:hAnsi="Arial"/>
          <w:sz w:val="20"/>
          <w:szCs w:val="20"/>
          <w:color w:val="auto"/>
        </w:rPr>
        <w:t xml:space="preserve">Section 2.02 </w:t>
      </w:r>
      <w:r>
        <w:rPr>
          <w:rFonts w:ascii="Arial" w:cs="Arial" w:eastAsia="Arial" w:hAnsi="Arial"/>
          <w:sz w:val="20"/>
          <w:szCs w:val="20"/>
          <w:u w:val="single" w:color="auto"/>
          <w:color w:val="auto"/>
        </w:rPr>
        <w:t>Borrowings, Conversions and Continuations of Committed Loans</w:t>
      </w:r>
      <w:r>
        <w:rPr>
          <w:rFonts w:ascii="Arial" w:cs="Arial" w:eastAsia="Arial" w:hAnsi="Arial"/>
          <w:sz w:val="20"/>
          <w:szCs w:val="20"/>
          <w:color w:val="auto"/>
        </w:rPr>
        <w:t xml:space="preserve">. (a) Each Committed Borrowing, each conversion of any Committed Borrowing denominated in US Dollars from one Type to the other, and each continuation of any </w:t>
      </w:r>
      <w:r>
        <w:rPr>
          <w:rFonts w:ascii="Arial" w:cs="Arial" w:eastAsia="Arial" w:hAnsi="Arial"/>
          <w:sz w:val="20"/>
          <w:szCs w:val="20"/>
          <w:b w:val="1"/>
          <w:bCs w:val="1"/>
          <w:color w:val="FF0000"/>
          <w:strike w:val="1"/>
        </w:rPr>
        <w:t>Eurocurrency Rate</w:t>
      </w:r>
      <w:r>
        <w:rPr>
          <w:rFonts w:ascii="Arial" w:cs="Arial" w:eastAsia="Arial" w:hAnsi="Arial"/>
          <w:sz w:val="20"/>
          <w:szCs w:val="20"/>
          <w:b w:val="1"/>
          <w:bCs w:val="1"/>
          <w:u w:val="single" w:color="auto"/>
          <w:color w:val="0000FF"/>
        </w:rPr>
        <w:t>Term Benchmark</w:t>
      </w:r>
      <w:r>
        <w:rPr>
          <w:rFonts w:ascii="Arial" w:cs="Arial" w:eastAsia="Arial" w:hAnsi="Arial"/>
          <w:sz w:val="20"/>
          <w:szCs w:val="20"/>
          <w:b w:val="1"/>
          <w:bCs w:val="1"/>
          <w:color w:val="FF0000"/>
        </w:rPr>
        <w:t xml:space="preserve"> </w:t>
      </w:r>
      <w:r>
        <w:rPr>
          <w:rFonts w:ascii="Arial" w:cs="Arial" w:eastAsia="Arial" w:hAnsi="Arial"/>
          <w:sz w:val="20"/>
          <w:szCs w:val="20"/>
          <w:color w:val="000000"/>
        </w:rPr>
        <w:t>Committed Borrowing will be made upon the Borrower’s notice to the Administrative</w:t>
      </w:r>
      <w:r>
        <w:rPr>
          <w:rFonts w:ascii="Arial" w:cs="Arial" w:eastAsia="Arial" w:hAnsi="Arial"/>
          <w:sz w:val="20"/>
          <w:szCs w:val="20"/>
          <w:b w:val="1"/>
          <w:bCs w:val="1"/>
          <w:color w:val="FF0000"/>
        </w:rPr>
        <w:t xml:space="preserve"> </w:t>
      </w:r>
      <w:r>
        <w:rPr>
          <w:rFonts w:ascii="Arial" w:cs="Arial" w:eastAsia="Arial" w:hAnsi="Arial"/>
          <w:sz w:val="20"/>
          <w:szCs w:val="20"/>
          <w:color w:val="000000"/>
        </w:rPr>
        <w:t xml:space="preserve">Agent, which must be given by hand delivery, fax or e-mail to the Administrative Agent of a written Committed Loan Notice, appropriately completed and signed by a Responsible Officer of the Borrower; </w:t>
      </w:r>
      <w:r>
        <w:rPr>
          <w:rFonts w:ascii="Arial" w:cs="Arial" w:eastAsia="Arial" w:hAnsi="Arial"/>
          <w:sz w:val="20"/>
          <w:szCs w:val="20"/>
          <w:u w:val="single" w:color="auto"/>
          <w:color w:val="000000"/>
        </w:rPr>
        <w:t>provided</w:t>
      </w:r>
      <w:r>
        <w:rPr>
          <w:rFonts w:ascii="Arial" w:cs="Arial" w:eastAsia="Arial" w:hAnsi="Arial"/>
          <w:sz w:val="20"/>
          <w:szCs w:val="20"/>
          <w:color w:val="000000"/>
        </w:rPr>
        <w:t xml:space="preserve"> that, subject to Section 3.05, a Committed Loan Notice requesting a borrowing of Committed Loans may state that it is conditioned upon the occurrence of one or more events specified therein, in which case such Committed Loan Notice may be revoked by the Borrower (by notice to the Administrative Agent prior to the time specified herein for the funding by the Lenders of the applicable Committed Borrowing) if such condition is not satisfied. Each such written Committed Loan Notice must be received by the Administrative Agent (i) not later than 12:00 noon, Local Time, three (3) </w:t>
      </w:r>
      <w:r>
        <w:rPr>
          <w:rFonts w:ascii="Arial" w:cs="Arial" w:eastAsia="Arial" w:hAnsi="Arial"/>
          <w:sz w:val="20"/>
          <w:szCs w:val="20"/>
          <w:b w:val="1"/>
          <w:bCs w:val="1"/>
          <w:u w:val="single" w:color="auto"/>
          <w:color w:val="0000FF"/>
        </w:rPr>
        <w:t>U.S Government Securities</w:t>
      </w:r>
      <w:r>
        <w:rPr>
          <w:rFonts w:ascii="Arial" w:cs="Arial" w:eastAsia="Arial" w:hAnsi="Arial"/>
          <w:sz w:val="20"/>
          <w:szCs w:val="20"/>
          <w:color w:val="000000"/>
        </w:rPr>
        <w:t xml:space="preserve"> Business Days prior to the requested date of any Committed Borrowing of, or conversion to or continuation of, </w:t>
      </w:r>
      <w:r>
        <w:rPr>
          <w:rFonts w:ascii="Arial" w:cs="Arial" w:eastAsia="Arial" w:hAnsi="Arial"/>
          <w:sz w:val="20"/>
          <w:szCs w:val="20"/>
          <w:b w:val="1"/>
          <w:bCs w:val="1"/>
          <w:color w:val="FF0000"/>
          <w:strike w:val="1"/>
        </w:rPr>
        <w:t>Eurocurrency Rate</w:t>
      </w:r>
      <w:r>
        <w:rPr>
          <w:rFonts w:ascii="Arial" w:cs="Arial" w:eastAsia="Arial" w:hAnsi="Arial"/>
          <w:sz w:val="20"/>
          <w:szCs w:val="20"/>
          <w:color w:val="000000"/>
        </w:rPr>
        <w:t xml:space="preserve"> </w:t>
      </w:r>
      <w:r>
        <w:rPr>
          <w:rFonts w:ascii="Arial" w:cs="Arial" w:eastAsia="Arial" w:hAnsi="Arial"/>
          <w:sz w:val="20"/>
          <w:szCs w:val="20"/>
          <w:b w:val="1"/>
          <w:bCs w:val="1"/>
          <w:u w:val="single" w:color="auto"/>
          <w:color w:val="0000FF"/>
        </w:rPr>
        <w:t>Term Benchmark</w:t>
      </w:r>
      <w:r>
        <w:rPr>
          <w:rFonts w:ascii="Arial" w:cs="Arial" w:eastAsia="Arial" w:hAnsi="Arial"/>
          <w:sz w:val="20"/>
          <w:szCs w:val="20"/>
          <w:color w:val="000000"/>
        </w:rPr>
        <w:t xml:space="preserve"> Committed Loans denominated in US Dollars, (ii) not later than 12:00 noon, Local Time, four (4) Business Days (or five (5) Business Days in the case of a Special Notice Currency) prior to the requested date of any Committed Borrowing of, or conversion to or continuation of, </w:t>
      </w:r>
      <w:r>
        <w:rPr>
          <w:rFonts w:ascii="Arial" w:cs="Arial" w:eastAsia="Arial" w:hAnsi="Arial"/>
          <w:sz w:val="20"/>
          <w:szCs w:val="20"/>
          <w:b w:val="1"/>
          <w:bCs w:val="1"/>
          <w:color w:val="FF0000"/>
          <w:strike w:val="1"/>
        </w:rPr>
        <w:t>Eurocurrency Rate</w:t>
      </w:r>
      <w:r>
        <w:rPr>
          <w:rFonts w:ascii="Arial" w:cs="Arial" w:eastAsia="Arial" w:hAnsi="Arial"/>
          <w:sz w:val="20"/>
          <w:szCs w:val="20"/>
          <w:b w:val="1"/>
          <w:bCs w:val="1"/>
          <w:color w:val="FF0000"/>
        </w:rPr>
        <w:t xml:space="preserve"> </w:t>
      </w:r>
      <w:r>
        <w:rPr>
          <w:rFonts w:ascii="Arial" w:cs="Arial" w:eastAsia="Arial" w:hAnsi="Arial"/>
          <w:sz w:val="20"/>
          <w:szCs w:val="20"/>
          <w:color w:val="000000"/>
        </w:rPr>
        <w:t>Committed Loans denominated in any Alternative Currency,</w:t>
      </w:r>
      <w:r>
        <w:rPr>
          <w:rFonts w:ascii="Arial" w:cs="Arial" w:eastAsia="Arial" w:hAnsi="Arial"/>
          <w:sz w:val="20"/>
          <w:szCs w:val="20"/>
          <w:b w:val="1"/>
          <w:bCs w:val="1"/>
          <w:color w:val="FF0000"/>
        </w:rPr>
        <w:t xml:space="preserve"> </w:t>
      </w:r>
      <w:r>
        <w:rPr>
          <w:rFonts w:ascii="Arial" w:cs="Arial" w:eastAsia="Arial" w:hAnsi="Arial"/>
          <w:sz w:val="20"/>
          <w:szCs w:val="20"/>
          <w:b w:val="1"/>
          <w:bCs w:val="1"/>
          <w:color w:val="FF0000"/>
          <w:strike w:val="1"/>
        </w:rPr>
        <w:t>and</w:t>
      </w:r>
      <w:r>
        <w:rPr>
          <w:rFonts w:ascii="Arial" w:cs="Arial" w:eastAsia="Arial" w:hAnsi="Arial"/>
          <w:sz w:val="20"/>
          <w:szCs w:val="20"/>
          <w:b w:val="1"/>
          <w:bCs w:val="1"/>
          <w:color w:val="FF0000"/>
        </w:rPr>
        <w:t xml:space="preserve"> </w:t>
      </w:r>
      <w:r>
        <w:rPr>
          <w:rFonts w:ascii="Arial" w:cs="Arial" w:eastAsia="Arial" w:hAnsi="Arial"/>
          <w:sz w:val="20"/>
          <w:szCs w:val="20"/>
          <w:color w:val="000000"/>
        </w:rPr>
        <w:t>(iii) not later than 1:00 p.m., Local Time, on</w:t>
      </w:r>
      <w:r>
        <w:rPr>
          <w:rFonts w:ascii="Arial" w:cs="Arial" w:eastAsia="Arial" w:hAnsi="Arial"/>
          <w:sz w:val="20"/>
          <w:szCs w:val="20"/>
          <w:b w:val="1"/>
          <w:bCs w:val="1"/>
          <w:color w:val="FF0000"/>
        </w:rPr>
        <w:t xml:space="preserve"> </w:t>
      </w:r>
      <w:r>
        <w:rPr>
          <w:rFonts w:ascii="Arial" w:cs="Arial" w:eastAsia="Arial" w:hAnsi="Arial"/>
          <w:sz w:val="20"/>
          <w:szCs w:val="20"/>
          <w:color w:val="000000"/>
        </w:rPr>
        <w:t>the requested date of any Borrowing of, or conversion to, Base Rate Committed Loans</w:t>
      </w:r>
      <w:r>
        <w:rPr>
          <w:rFonts w:ascii="Arial" w:cs="Arial" w:eastAsia="Arial" w:hAnsi="Arial"/>
          <w:sz w:val="20"/>
          <w:szCs w:val="20"/>
          <w:b w:val="1"/>
          <w:bCs w:val="1"/>
          <w:color w:val="FF0000"/>
          <w:strike w:val="1"/>
        </w:rPr>
        <w:t>; provided that if the Borrower wishes to</w:t>
      </w:r>
      <w:r>
        <w:rPr>
          <w:rFonts w:ascii="Arial" w:cs="Arial" w:eastAsia="Arial" w:hAnsi="Arial"/>
          <w:sz w:val="20"/>
          <w:szCs w:val="20"/>
          <w:color w:val="000000"/>
        </w:rPr>
        <w:t xml:space="preserve"> </w:t>
      </w:r>
      <w:r>
        <w:rPr>
          <w:rFonts w:ascii="Arial" w:cs="Arial" w:eastAsia="Arial" w:hAnsi="Arial"/>
          <w:sz w:val="20"/>
          <w:szCs w:val="20"/>
          <w:b w:val="1"/>
          <w:bCs w:val="1"/>
          <w:color w:val="FF0000"/>
          <w:strike w:val="1"/>
        </w:rPr>
        <w:t>request Eurocurrency Rate</w:t>
      </w:r>
      <w:r>
        <w:rPr>
          <w:rFonts w:ascii="Arial" w:cs="Arial" w:eastAsia="Arial" w:hAnsi="Arial"/>
          <w:sz w:val="20"/>
          <w:szCs w:val="20"/>
          <w:b w:val="1"/>
          <w:bCs w:val="1"/>
          <w:u w:val="single" w:color="auto"/>
          <w:color w:val="0000FF"/>
        </w:rPr>
        <w:t>, and (iv) solely to the extent that a</w:t>
      </w:r>
      <w:r>
        <w:rPr>
          <w:rFonts w:ascii="Arial" w:cs="Arial" w:eastAsia="Arial" w:hAnsi="Arial"/>
          <w:sz w:val="20"/>
          <w:szCs w:val="20"/>
          <w:b w:val="1"/>
          <w:bCs w:val="1"/>
          <w:color w:val="FF0000"/>
        </w:rPr>
        <w:t xml:space="preserve"> </w:t>
      </w:r>
      <w:r>
        <w:rPr>
          <w:rFonts w:ascii="Arial" w:cs="Arial" w:eastAsia="Arial" w:hAnsi="Arial"/>
          <w:sz w:val="20"/>
          <w:szCs w:val="20"/>
          <w:color w:val="000000"/>
        </w:rPr>
        <w:t>Committed Borrowing</w:t>
      </w:r>
      <w:r>
        <w:rPr>
          <w:rFonts w:ascii="Arial" w:cs="Arial" w:eastAsia="Arial" w:hAnsi="Arial"/>
          <w:sz w:val="20"/>
          <w:szCs w:val="20"/>
          <w:b w:val="1"/>
          <w:bCs w:val="1"/>
          <w:color w:val="FF0000"/>
        </w:rPr>
        <w:t xml:space="preserve"> </w:t>
      </w:r>
      <w:r>
        <w:rPr>
          <w:rFonts w:ascii="Arial" w:cs="Arial" w:eastAsia="Arial" w:hAnsi="Arial"/>
          <w:sz w:val="20"/>
          <w:szCs w:val="20"/>
          <w:b w:val="1"/>
          <w:bCs w:val="1"/>
          <w:color w:val="FF0000"/>
          <w:strike w:val="1"/>
        </w:rPr>
        <w:t>having an Interest Period other than</w:t>
      </w:r>
      <w:r>
        <w:rPr>
          <w:rFonts w:ascii="Arial" w:cs="Arial" w:eastAsia="Arial" w:hAnsi="Arial"/>
          <w:sz w:val="20"/>
          <w:szCs w:val="20"/>
          <w:b w:val="1"/>
          <w:bCs w:val="1"/>
          <w:color w:val="FF0000"/>
        </w:rPr>
        <w:t xml:space="preserve"> </w:t>
      </w:r>
      <w:r>
        <w:rPr>
          <w:rFonts w:ascii="Arial" w:cs="Arial" w:eastAsia="Arial" w:hAnsi="Arial"/>
          <w:sz w:val="20"/>
          <w:szCs w:val="20"/>
          <w:b w:val="1"/>
          <w:bCs w:val="1"/>
          <w:color w:val="FF0000"/>
          <w:strike w:val="1"/>
        </w:rPr>
        <w:t>one, two, three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42</w:t>
      </w:r>
    </w:p>
    <w:p>
      <w:pPr>
        <w:sectPr>
          <w:pgSz w:w="11900" w:h="16838" w:orient="portrait"/>
          <w:cols w:equalWidth="0" w:num="1">
            <w:col w:w="11200"/>
          </w:cols>
          <w:pgMar w:left="320" w:top="1152" w:right="379" w:bottom="1440" w:gutter="0" w:footer="0" w:header="0"/>
        </w:sectPr>
      </w:pPr>
    </w:p>
    <w:bookmarkStart w:id="181" w:name="page182"/>
    <w:bookmarkEnd w:id="181"/>
    <w:p>
      <w:pPr>
        <w:jc w:val="both"/>
        <w:ind w:right="40"/>
        <w:spacing w:after="0" w:line="238" w:lineRule="auto"/>
        <w:rPr>
          <w:sz w:val="20"/>
          <w:szCs w:val="20"/>
          <w:color w:val="auto"/>
        </w:rPr>
      </w:pPr>
      <w:r>
        <w:rPr>
          <w:rFonts w:ascii="Arial" w:cs="Arial" w:eastAsia="Arial" w:hAnsi="Arial"/>
          <w:sz w:val="19"/>
          <w:szCs w:val="19"/>
          <w:b w:val="1"/>
          <w:bCs w:val="1"/>
          <w:color w:val="FF0000"/>
          <w:strike w:val="1"/>
        </w:rPr>
        <w:t>six months in duration as provided in the definition of “Interest Period”, the applicable notice must be received by the Administrative Agent</w:t>
      </w:r>
      <w:r>
        <w:rPr>
          <w:rFonts w:ascii="Arial" w:cs="Arial" w:eastAsia="Arial" w:hAnsi="Arial"/>
          <w:sz w:val="19"/>
          <w:szCs w:val="19"/>
          <w:b w:val="1"/>
          <w:bCs w:val="1"/>
          <w:u w:val="single" w:color="auto"/>
          <w:color w:val="0000FF"/>
          <w:strike w:val="1"/>
        </w:rPr>
        <w:t>of RFR Committed Loans denominated in US Dollars is being made available to the Borrower</w:t>
      </w:r>
      <w:r>
        <w:rPr>
          <w:rFonts w:ascii="Arial" w:cs="Arial" w:eastAsia="Arial" w:hAnsi="Arial"/>
          <w:sz w:val="19"/>
          <w:szCs w:val="19"/>
          <w:b w:val="1"/>
          <w:bCs w:val="1"/>
          <w:color w:val="FF0000"/>
          <w:strike w:val="1"/>
        </w:rPr>
        <w:t xml:space="preserve"> </w:t>
      </w:r>
      <w:r>
        <w:rPr>
          <w:rFonts w:ascii="Arial" w:cs="Arial" w:eastAsia="Arial" w:hAnsi="Arial"/>
          <w:sz w:val="19"/>
          <w:szCs w:val="19"/>
          <w:b w:val="1"/>
          <w:bCs w:val="1"/>
          <w:u w:val="single" w:color="auto"/>
          <w:color w:val="0000FF"/>
          <w:strike w:val="1"/>
        </w:rPr>
        <w:t>pursuant to the terms and conditions of Section 2.17,</w:t>
      </w:r>
      <w:r>
        <w:rPr>
          <w:rFonts w:ascii="Arial" w:cs="Arial" w:eastAsia="Arial" w:hAnsi="Arial"/>
          <w:sz w:val="19"/>
          <w:szCs w:val="19"/>
          <w:b w:val="1"/>
          <w:bCs w:val="1"/>
          <w:color w:val="0000FF"/>
          <w:strike w:val="1"/>
        </w:rPr>
        <w:t xml:space="preserve"> </w:t>
      </w:r>
      <w:r>
        <w:rPr>
          <w:rFonts w:ascii="Arial" w:cs="Arial" w:eastAsia="Arial" w:hAnsi="Arial"/>
          <w:sz w:val="19"/>
          <w:szCs w:val="19"/>
          <w:color w:val="000000"/>
          <w:strike w:val="1"/>
        </w:rPr>
        <w:t>not later than 12:00 noon, Local Time,</w:t>
      </w:r>
      <w:r>
        <w:rPr>
          <w:rFonts w:ascii="Arial" w:cs="Arial" w:eastAsia="Arial" w:hAnsi="Arial"/>
          <w:sz w:val="19"/>
          <w:szCs w:val="19"/>
          <w:b w:val="1"/>
          <w:bCs w:val="1"/>
          <w:color w:val="0000FF"/>
          <w:strike w:val="1"/>
        </w:rPr>
        <w:t xml:space="preserve"> </w:t>
      </w:r>
      <w:r>
        <w:rPr>
          <w:rFonts w:ascii="Arial" w:cs="Arial" w:eastAsia="Arial" w:hAnsi="Arial"/>
          <w:sz w:val="19"/>
          <w:szCs w:val="19"/>
          <w:b w:val="1"/>
          <w:bCs w:val="1"/>
          <w:color w:val="FF0000"/>
          <w:strike w:val="1"/>
        </w:rPr>
        <w:t>(A) four (4)</w:t>
      </w:r>
      <w:r>
        <w:rPr>
          <w:rFonts w:ascii="Arial" w:cs="Arial" w:eastAsia="Arial" w:hAnsi="Arial"/>
          <w:sz w:val="19"/>
          <w:szCs w:val="19"/>
          <w:b w:val="1"/>
          <w:bCs w:val="1"/>
          <w:u w:val="single" w:color="auto"/>
          <w:color w:val="0000FF"/>
          <w:strike w:val="1"/>
        </w:rPr>
        <w:t>three (3) U.S</w:t>
      </w:r>
      <w:r>
        <w:rPr>
          <w:rFonts w:ascii="Arial" w:cs="Arial" w:eastAsia="Arial" w:hAnsi="Arial"/>
          <w:sz w:val="19"/>
          <w:szCs w:val="19"/>
          <w:b w:val="1"/>
          <w:bCs w:val="1"/>
          <w:color w:val="0000FF"/>
          <w:strike w:val="1"/>
        </w:rPr>
        <w:t xml:space="preserve"> </w:t>
      </w:r>
      <w:r>
        <w:rPr>
          <w:rFonts w:ascii="Arial" w:cs="Arial" w:eastAsia="Arial" w:hAnsi="Arial"/>
          <w:sz w:val="19"/>
          <w:szCs w:val="19"/>
          <w:b w:val="1"/>
          <w:bCs w:val="1"/>
          <w:u w:val="single" w:color="auto"/>
          <w:color w:val="0000FF"/>
          <w:strike w:val="1"/>
        </w:rPr>
        <w:t>Government Securities</w:t>
      </w:r>
      <w:r>
        <w:rPr>
          <w:rFonts w:ascii="Arial" w:cs="Arial" w:eastAsia="Arial" w:hAnsi="Arial"/>
          <w:sz w:val="19"/>
          <w:szCs w:val="19"/>
          <w:b w:val="1"/>
          <w:bCs w:val="1"/>
          <w:color w:val="0000FF"/>
          <w:strike w:val="1"/>
        </w:rPr>
        <w:t xml:space="preserve"> </w:t>
      </w:r>
      <w:r>
        <w:rPr>
          <w:rFonts w:ascii="Arial" w:cs="Arial" w:eastAsia="Arial" w:hAnsi="Arial"/>
          <w:sz w:val="19"/>
          <w:szCs w:val="19"/>
          <w:color w:val="000000"/>
          <w:strike w:val="1"/>
        </w:rPr>
        <w:t>Business Days prior to the requested date of</w:t>
      </w:r>
      <w:r>
        <w:rPr>
          <w:rFonts w:ascii="Arial" w:cs="Arial" w:eastAsia="Arial" w:hAnsi="Arial"/>
          <w:sz w:val="19"/>
          <w:szCs w:val="19"/>
          <w:b w:val="1"/>
          <w:bCs w:val="1"/>
          <w:color w:val="0000FF"/>
          <w:strike w:val="1"/>
        </w:rPr>
        <w:t xml:space="preserve"> </w:t>
      </w:r>
      <w:r>
        <w:rPr>
          <w:rFonts w:ascii="Arial" w:cs="Arial" w:eastAsia="Arial" w:hAnsi="Arial"/>
          <w:sz w:val="19"/>
          <w:szCs w:val="19"/>
          <w:b w:val="1"/>
          <w:bCs w:val="1"/>
          <w:color w:val="FF0000"/>
          <w:strike w:val="1"/>
        </w:rPr>
        <w:t>such</w:t>
      </w:r>
      <w:r>
        <w:rPr>
          <w:rFonts w:ascii="Arial" w:cs="Arial" w:eastAsia="Arial" w:hAnsi="Arial"/>
          <w:sz w:val="19"/>
          <w:szCs w:val="19"/>
          <w:b w:val="1"/>
          <w:bCs w:val="1"/>
          <w:u w:val="single" w:color="auto"/>
          <w:color w:val="0000FF"/>
          <w:strike w:val="1"/>
        </w:rPr>
        <w:t>any</w:t>
      </w:r>
      <w:r>
        <w:rPr>
          <w:rFonts w:ascii="Arial" w:cs="Arial" w:eastAsia="Arial" w:hAnsi="Arial"/>
          <w:sz w:val="19"/>
          <w:szCs w:val="19"/>
          <w:b w:val="1"/>
          <w:bCs w:val="1"/>
          <w:color w:val="0000FF"/>
          <w:strike w:val="1"/>
        </w:rPr>
        <w:t xml:space="preserve"> </w:t>
      </w:r>
      <w:r>
        <w:rPr>
          <w:rFonts w:ascii="Arial" w:cs="Arial" w:eastAsia="Arial" w:hAnsi="Arial"/>
          <w:sz w:val="19"/>
          <w:szCs w:val="19"/>
          <w:color w:val="000000"/>
          <w:strike w:val="1"/>
        </w:rPr>
        <w:t>Committed Borrowing of</w:t>
      </w:r>
      <w:r>
        <w:rPr>
          <w:rFonts w:ascii="Arial" w:cs="Arial" w:eastAsia="Arial" w:hAnsi="Arial"/>
          <w:sz w:val="19"/>
          <w:szCs w:val="19"/>
          <w:b w:val="1"/>
          <w:bCs w:val="1"/>
          <w:color w:val="FF0000"/>
          <w:strike w:val="1"/>
        </w:rPr>
        <w:t>, conversion to or</w:t>
      </w:r>
      <w:r>
        <w:rPr>
          <w:rFonts w:ascii="Arial" w:cs="Arial" w:eastAsia="Arial" w:hAnsi="Arial"/>
          <w:sz w:val="19"/>
          <w:szCs w:val="19"/>
          <w:b w:val="1"/>
          <w:bCs w:val="1"/>
          <w:color w:val="0000FF"/>
          <w:strike w:val="1"/>
        </w:rPr>
        <w:t xml:space="preserve"> </w:t>
      </w:r>
      <w:r>
        <w:rPr>
          <w:rFonts w:ascii="Arial" w:cs="Arial" w:eastAsia="Arial" w:hAnsi="Arial"/>
          <w:sz w:val="19"/>
          <w:szCs w:val="19"/>
          <w:b w:val="1"/>
          <w:bCs w:val="1"/>
          <w:color w:val="FF0000"/>
          <w:strike w:val="1"/>
        </w:rPr>
        <w:t xml:space="preserve">continuation of, Eurocurrency Rate </w:t>
      </w:r>
      <w:r>
        <w:rPr>
          <w:rFonts w:ascii="Arial" w:cs="Arial" w:eastAsia="Arial" w:hAnsi="Arial"/>
          <w:sz w:val="19"/>
          <w:szCs w:val="19"/>
          <w:b w:val="1"/>
          <w:bCs w:val="1"/>
          <w:u w:val="single" w:color="auto"/>
          <w:color w:val="0000FF"/>
          <w:strike w:val="1"/>
        </w:rPr>
        <w:t>RFR</w:t>
      </w:r>
      <w:r>
        <w:rPr>
          <w:rFonts w:ascii="Arial" w:cs="Arial" w:eastAsia="Arial" w:hAnsi="Arial"/>
          <w:sz w:val="19"/>
          <w:szCs w:val="19"/>
          <w:b w:val="1"/>
          <w:bCs w:val="1"/>
          <w:color w:val="FF0000"/>
          <w:strike w:val="1"/>
        </w:rPr>
        <w:t xml:space="preserve"> </w:t>
      </w:r>
      <w:r>
        <w:rPr>
          <w:rFonts w:ascii="Arial" w:cs="Arial" w:eastAsia="Arial" w:hAnsi="Arial"/>
          <w:sz w:val="19"/>
          <w:szCs w:val="19"/>
          <w:color w:val="000000"/>
          <w:strike w:val="1"/>
        </w:rPr>
        <w:t>Committed Loans denominated in US Dollars</w:t>
      </w:r>
      <w:r>
        <w:rPr>
          <w:rFonts w:ascii="Arial" w:cs="Arial" w:eastAsia="Arial" w:hAnsi="Arial"/>
          <w:sz w:val="19"/>
          <w:szCs w:val="19"/>
          <w:b w:val="1"/>
          <w:bCs w:val="1"/>
          <w:color w:val="FF0000"/>
          <w:strike w:val="1"/>
        </w:rPr>
        <w:t>, or (B) five (5) Business Days (or six</w:t>
      </w:r>
    </w:p>
    <w:p>
      <w:pPr>
        <w:spacing w:after="0" w:line="1" w:lineRule="exact"/>
        <w:rPr>
          <w:sz w:val="20"/>
          <w:szCs w:val="20"/>
          <w:color w:val="auto"/>
        </w:rPr>
      </w:pPr>
    </w:p>
    <w:p>
      <w:pPr>
        <w:jc w:val="both"/>
        <w:ind w:right="40" w:firstLine="6"/>
        <w:spacing w:after="0" w:line="214" w:lineRule="auto"/>
        <w:tabs>
          <w:tab w:leader="none" w:pos="317" w:val="left"/>
        </w:tabs>
        <w:numPr>
          <w:ilvl w:val="0"/>
          <w:numId w:val="115"/>
        </w:numPr>
        <w:rPr>
          <w:rFonts w:ascii="Arial" w:cs="Arial" w:eastAsia="Arial" w:hAnsi="Arial"/>
          <w:sz w:val="21"/>
          <w:szCs w:val="21"/>
          <w:b w:val="1"/>
          <w:bCs w:val="1"/>
          <w:color w:val="FF0000"/>
          <w:strike w:val="1"/>
        </w:rPr>
      </w:pPr>
      <w:r>
        <w:rPr>
          <w:rFonts w:ascii="Arial" w:cs="Arial" w:eastAsia="Arial" w:hAnsi="Arial"/>
          <w:sz w:val="21"/>
          <w:szCs w:val="21"/>
          <w:b w:val="1"/>
          <w:bCs w:val="1"/>
          <w:color w:val="FF0000"/>
          <w:strike w:val="1"/>
        </w:rPr>
        <w:t xml:space="preserve">Business Days in the case of a Special Notice Currency) prior to the requested date of such Committed Borrowing, or conversion to or continuation of, Eurocurrency Rate Committed Loans denominated in any Alternative Currency, whereupon the Administrative Agent will give prompt notice to the Lenders of such request and determine whether the requested Interest Period is acceptable to all of them. Not later than 12:00 noon, Local Time, (x) three (3) Business Days before the requested date of such Committed Borrowing of, or conversion to or continuation of, Eurocurrency Rate Committed Loans denominated in US Dollars, or (y) four (4) Business Days (or five (5) Business Days in the case of a Special Notice Currency) prior to the requested date of such Committed Borrowing of, or conversion to or continuation of, Eurocurrency Rate Committed Loans denominated in any Alternative Currency, the Administrative Agent will notify the Borrower (which notice may be by telephone) whether or not the requested Interest Period has been consented to by all the Lenders. </w:t>
      </w:r>
      <w:r>
        <w:rPr>
          <w:rFonts w:ascii="Arial" w:cs="Arial" w:eastAsia="Arial" w:hAnsi="Arial"/>
          <w:sz w:val="21"/>
          <w:szCs w:val="21"/>
          <w:b w:val="1"/>
          <w:bCs w:val="1"/>
          <w:u w:val="single" w:color="auto"/>
          <w:color w:val="0000FF"/>
          <w:strike w:val="1"/>
        </w:rPr>
        <w:t>.</w:t>
      </w:r>
    </w:p>
    <w:p>
      <w:pPr>
        <w:spacing w:after="0" w:line="161" w:lineRule="exact"/>
        <w:rPr>
          <w:sz w:val="20"/>
          <w:szCs w:val="20"/>
          <w:color w:val="auto"/>
        </w:rPr>
      </w:pPr>
    </w:p>
    <w:p>
      <w:pPr>
        <w:jc w:val="both"/>
        <w:ind w:firstLine="624"/>
        <w:spacing w:after="0" w:line="237" w:lineRule="auto"/>
        <w:rPr>
          <w:sz w:val="20"/>
          <w:szCs w:val="20"/>
          <w:color w:val="auto"/>
        </w:rPr>
      </w:pPr>
      <w:r>
        <w:rPr>
          <w:rFonts w:ascii="Arial" w:cs="Arial" w:eastAsia="Arial" w:hAnsi="Arial"/>
          <w:sz w:val="19"/>
          <w:szCs w:val="19"/>
          <w:color w:val="auto"/>
        </w:rPr>
        <w:t xml:space="preserve">Each Committed Loan shall be made as part of a Committed Borrowing consisting of Committed Loans of the same Type and in the same currency made by the Lenders ratably in accordance with their respective Commitments. Each Committed Borrowing initially shall be of the Type specified in the applicable Committed Loan Notice and, in the case of a </w:t>
      </w:r>
      <w:r>
        <w:rPr>
          <w:rFonts w:ascii="Arial" w:cs="Arial" w:eastAsia="Arial" w:hAnsi="Arial"/>
          <w:sz w:val="19"/>
          <w:szCs w:val="19"/>
          <w:b w:val="1"/>
          <w:bCs w:val="1"/>
          <w:color w:val="FF0000"/>
          <w:strike w:val="1"/>
        </w:rPr>
        <w:t>Eurocurrency</w:t>
      </w:r>
      <w:r>
        <w:rPr>
          <w:rFonts w:ascii="Arial" w:cs="Arial" w:eastAsia="Arial" w:hAnsi="Arial"/>
          <w:sz w:val="19"/>
          <w:szCs w:val="19"/>
          <w:color w:val="auto"/>
        </w:rPr>
        <w:t xml:space="preserve"> </w:t>
      </w:r>
      <w:r>
        <w:rPr>
          <w:rFonts w:ascii="Arial" w:cs="Arial" w:eastAsia="Arial" w:hAnsi="Arial"/>
          <w:sz w:val="19"/>
          <w:szCs w:val="19"/>
          <w:b w:val="1"/>
          <w:bCs w:val="1"/>
          <w:color w:val="FF0000"/>
          <w:strike w:val="1"/>
        </w:rPr>
        <w:t>Rate</w:t>
      </w:r>
      <w:r>
        <w:rPr>
          <w:rFonts w:ascii="Arial" w:cs="Arial" w:eastAsia="Arial" w:hAnsi="Arial"/>
          <w:sz w:val="19"/>
          <w:szCs w:val="19"/>
          <w:b w:val="1"/>
          <w:bCs w:val="1"/>
          <w:u w:val="single" w:color="auto"/>
          <w:color w:val="0000FF"/>
        </w:rPr>
        <w:t>Term Benchmark</w:t>
      </w:r>
      <w:r>
        <w:rPr>
          <w:rFonts w:ascii="Arial" w:cs="Arial" w:eastAsia="Arial" w:hAnsi="Arial"/>
          <w:sz w:val="19"/>
          <w:szCs w:val="19"/>
          <w:b w:val="1"/>
          <w:bCs w:val="1"/>
          <w:color w:val="FF0000"/>
        </w:rPr>
        <w:t xml:space="preserve"> </w:t>
      </w:r>
      <w:r>
        <w:rPr>
          <w:rFonts w:ascii="Arial" w:cs="Arial" w:eastAsia="Arial" w:hAnsi="Arial"/>
          <w:sz w:val="19"/>
          <w:szCs w:val="19"/>
          <w:color w:val="000000"/>
        </w:rPr>
        <w:t>Committed Borrowing, each Committed Borrowing shall have an initial Interest Period as specified in such</w:t>
      </w:r>
      <w:r>
        <w:rPr>
          <w:rFonts w:ascii="Arial" w:cs="Arial" w:eastAsia="Arial" w:hAnsi="Arial"/>
          <w:sz w:val="19"/>
          <w:szCs w:val="19"/>
          <w:b w:val="1"/>
          <w:bCs w:val="1"/>
          <w:color w:val="FF0000"/>
        </w:rPr>
        <w:t xml:space="preserve"> </w:t>
      </w:r>
      <w:r>
        <w:rPr>
          <w:rFonts w:ascii="Arial" w:cs="Arial" w:eastAsia="Arial" w:hAnsi="Arial"/>
          <w:sz w:val="19"/>
          <w:szCs w:val="19"/>
          <w:color w:val="000000"/>
        </w:rPr>
        <w:t xml:space="preserve">applicable Committed Loan Notice or as otherwise provided in this </w:t>
      </w:r>
      <w:r>
        <w:rPr>
          <w:rFonts w:ascii="Arial" w:cs="Arial" w:eastAsia="Arial" w:hAnsi="Arial"/>
          <w:sz w:val="19"/>
          <w:szCs w:val="19"/>
          <w:u w:val="single" w:color="auto"/>
          <w:color w:val="000000"/>
        </w:rPr>
        <w:t>Section 2.02</w:t>
      </w:r>
      <w:r>
        <w:rPr>
          <w:rFonts w:ascii="Arial" w:cs="Arial" w:eastAsia="Arial" w:hAnsi="Arial"/>
          <w:sz w:val="19"/>
          <w:szCs w:val="19"/>
          <w:color w:val="000000"/>
        </w:rPr>
        <w:t xml:space="preserve">. Thereafter, the Borrower may elect to convert such Committed Borrowing denominated in US Dollars to a Committed Borrowing of a different Type or to continue such </w:t>
      </w:r>
      <w:r>
        <w:rPr>
          <w:rFonts w:ascii="Arial" w:cs="Arial" w:eastAsia="Arial" w:hAnsi="Arial"/>
          <w:sz w:val="19"/>
          <w:szCs w:val="19"/>
          <w:b w:val="1"/>
          <w:bCs w:val="1"/>
          <w:color w:val="FF0000"/>
          <w:strike w:val="1"/>
        </w:rPr>
        <w:t>Eurocurrency Rate</w:t>
      </w:r>
      <w:r>
        <w:rPr>
          <w:rFonts w:ascii="Arial" w:cs="Arial" w:eastAsia="Arial" w:hAnsi="Arial"/>
          <w:sz w:val="19"/>
          <w:szCs w:val="19"/>
          <w:b w:val="1"/>
          <w:bCs w:val="1"/>
          <w:u w:val="single" w:color="auto"/>
          <w:color w:val="0000FF"/>
        </w:rPr>
        <w:t>Term Benchmark</w:t>
      </w:r>
      <w:r>
        <w:rPr>
          <w:rFonts w:ascii="Arial" w:cs="Arial" w:eastAsia="Arial" w:hAnsi="Arial"/>
          <w:sz w:val="19"/>
          <w:szCs w:val="19"/>
          <w:b w:val="1"/>
          <w:bCs w:val="1"/>
          <w:color w:val="FF0000"/>
        </w:rPr>
        <w:t xml:space="preserve"> </w:t>
      </w:r>
      <w:r>
        <w:rPr>
          <w:rFonts w:ascii="Arial" w:cs="Arial" w:eastAsia="Arial" w:hAnsi="Arial"/>
          <w:sz w:val="19"/>
          <w:szCs w:val="19"/>
          <w:color w:val="000000"/>
        </w:rPr>
        <w:t>Committed Borrowing and, in the case of a</w:t>
      </w:r>
      <w:r>
        <w:rPr>
          <w:rFonts w:ascii="Arial" w:cs="Arial" w:eastAsia="Arial" w:hAnsi="Arial"/>
          <w:sz w:val="19"/>
          <w:szCs w:val="19"/>
          <w:b w:val="1"/>
          <w:bCs w:val="1"/>
          <w:color w:val="FF0000"/>
        </w:rPr>
        <w:t xml:space="preserve"> </w:t>
      </w:r>
      <w:r>
        <w:rPr>
          <w:rFonts w:ascii="Arial" w:cs="Arial" w:eastAsia="Arial" w:hAnsi="Arial"/>
          <w:sz w:val="19"/>
          <w:szCs w:val="19"/>
          <w:b w:val="1"/>
          <w:bCs w:val="1"/>
          <w:color w:val="FF0000"/>
          <w:strike w:val="1"/>
        </w:rPr>
        <w:t>Eurocurrency Rate</w:t>
      </w:r>
      <w:r>
        <w:rPr>
          <w:rFonts w:ascii="Arial" w:cs="Arial" w:eastAsia="Arial" w:hAnsi="Arial"/>
          <w:sz w:val="19"/>
          <w:szCs w:val="19"/>
          <w:b w:val="1"/>
          <w:bCs w:val="1"/>
          <w:u w:val="single" w:color="auto"/>
          <w:color w:val="0000FF"/>
        </w:rPr>
        <w:t>Term Benchmark</w:t>
      </w:r>
      <w:r>
        <w:rPr>
          <w:rFonts w:ascii="Arial" w:cs="Arial" w:eastAsia="Arial" w:hAnsi="Arial"/>
          <w:sz w:val="19"/>
          <w:szCs w:val="19"/>
          <w:b w:val="1"/>
          <w:bCs w:val="1"/>
          <w:color w:val="FF0000"/>
        </w:rPr>
        <w:t xml:space="preserve"> </w:t>
      </w:r>
      <w:r>
        <w:rPr>
          <w:rFonts w:ascii="Arial" w:cs="Arial" w:eastAsia="Arial" w:hAnsi="Arial"/>
          <w:sz w:val="19"/>
          <w:szCs w:val="19"/>
          <w:color w:val="000000"/>
        </w:rPr>
        <w:t xml:space="preserve">Committed Borrowing, may elect Interest Periods therefor, all as provided in this </w:t>
      </w:r>
      <w:r>
        <w:rPr>
          <w:rFonts w:ascii="Arial" w:cs="Arial" w:eastAsia="Arial" w:hAnsi="Arial"/>
          <w:sz w:val="19"/>
          <w:szCs w:val="19"/>
          <w:u w:val="single" w:color="auto"/>
          <w:color w:val="000000"/>
        </w:rPr>
        <w:t>Section 2.02</w:t>
      </w:r>
      <w:r>
        <w:rPr>
          <w:rFonts w:ascii="Arial" w:cs="Arial" w:eastAsia="Arial" w:hAnsi="Arial"/>
          <w:sz w:val="19"/>
          <w:szCs w:val="19"/>
          <w:color w:val="000000"/>
        </w:rPr>
        <w:t xml:space="preserve">. The Borrower may elect different conversion or continuation options with respect to different portions of the affected Committed Borrowing (and all references herein to conversion or continuation of a Committed Borrowing shall be understood to include any such election of different options with respect thereto), in which case each such portion shall be allocated ratably among the Lenders holding the Committed Loans comprising such Committed Borrowing, and the Committed Loans comprising each such portion shall be considered a separate Committed Borrowing. </w:t>
      </w:r>
      <w:r>
        <w:rPr>
          <w:rFonts w:ascii="Arial" w:cs="Arial" w:eastAsia="Arial" w:hAnsi="Arial"/>
          <w:sz w:val="19"/>
          <w:szCs w:val="19"/>
          <w:b w:val="1"/>
          <w:bCs w:val="1"/>
          <w:u w:val="single" w:color="auto"/>
          <w:color w:val="0000FF"/>
        </w:rPr>
        <w:t>Notwithstanding any contrary provision herein, this Section shall not be construed to permit the</w:t>
      </w:r>
      <w:r>
        <w:rPr>
          <w:rFonts w:ascii="Arial" w:cs="Arial" w:eastAsia="Arial" w:hAnsi="Arial"/>
          <w:sz w:val="19"/>
          <w:szCs w:val="19"/>
          <w:color w:val="000000"/>
        </w:rPr>
        <w:t xml:space="preserve"> </w:t>
      </w:r>
      <w:r>
        <w:rPr>
          <w:rFonts w:ascii="Arial" w:cs="Arial" w:eastAsia="Arial" w:hAnsi="Arial"/>
          <w:sz w:val="19"/>
          <w:szCs w:val="19"/>
          <w:b w:val="1"/>
          <w:bCs w:val="1"/>
          <w:u w:val="single" w:color="auto"/>
          <w:color w:val="0000FF"/>
        </w:rPr>
        <w:t>Borrower to convert any Borrowing to a Borrowing of a Type not available under such Borrowing.</w:t>
      </w:r>
    </w:p>
    <w:p>
      <w:pPr>
        <w:spacing w:after="0" w:line="153" w:lineRule="exact"/>
        <w:rPr>
          <w:sz w:val="20"/>
          <w:szCs w:val="20"/>
          <w:color w:val="auto"/>
        </w:rPr>
      </w:pPr>
    </w:p>
    <w:p>
      <w:pPr>
        <w:jc w:val="both"/>
        <w:ind w:firstLine="624"/>
        <w:spacing w:after="0" w:line="219" w:lineRule="auto"/>
        <w:rPr>
          <w:sz w:val="20"/>
          <w:szCs w:val="20"/>
          <w:color w:val="auto"/>
        </w:rPr>
      </w:pPr>
      <w:r>
        <w:rPr>
          <w:rFonts w:ascii="Arial" w:cs="Arial" w:eastAsia="Arial" w:hAnsi="Arial"/>
          <w:sz w:val="21"/>
          <w:szCs w:val="21"/>
          <w:color w:val="auto"/>
        </w:rPr>
        <w:t xml:space="preserve">At the commencement of each Interest Period for any </w:t>
      </w:r>
      <w:r>
        <w:rPr>
          <w:rFonts w:ascii="Arial" w:cs="Arial" w:eastAsia="Arial" w:hAnsi="Arial"/>
          <w:sz w:val="21"/>
          <w:szCs w:val="21"/>
          <w:b w:val="1"/>
          <w:bCs w:val="1"/>
          <w:color w:val="FF0000"/>
          <w:strike w:val="1"/>
        </w:rPr>
        <w:t>Eurocurrency Rate</w:t>
      </w:r>
      <w:r>
        <w:rPr>
          <w:rFonts w:ascii="Arial" w:cs="Arial" w:eastAsia="Arial" w:hAnsi="Arial"/>
          <w:sz w:val="21"/>
          <w:szCs w:val="21"/>
          <w:b w:val="1"/>
          <w:bCs w:val="1"/>
          <w:u w:val="single" w:color="auto"/>
          <w:color w:val="0000FF"/>
        </w:rPr>
        <w:t>Term Benchmark</w:t>
      </w:r>
      <w:r>
        <w:rPr>
          <w:rFonts w:ascii="Arial" w:cs="Arial" w:eastAsia="Arial" w:hAnsi="Arial"/>
          <w:sz w:val="21"/>
          <w:szCs w:val="21"/>
          <w:color w:val="auto"/>
        </w:rPr>
        <w:t xml:space="preserve"> Committed Borrowing, such Committed Borrowing shall be in a principal amount that is an integral multiple of the Borrowing Multiple and not less than the Borrowing Minimum;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w:t>
      </w:r>
      <w:r>
        <w:rPr>
          <w:rFonts w:ascii="Arial" w:cs="Arial" w:eastAsia="Arial" w:hAnsi="Arial"/>
          <w:sz w:val="21"/>
          <w:szCs w:val="21"/>
          <w:b w:val="1"/>
          <w:bCs w:val="1"/>
          <w:color w:val="FF0000"/>
          <w:strike w:val="1"/>
        </w:rPr>
        <w:t>Eurocurrency Rate</w:t>
      </w:r>
      <w:r>
        <w:rPr>
          <w:rFonts w:ascii="Arial" w:cs="Arial" w:eastAsia="Arial" w:hAnsi="Arial"/>
          <w:sz w:val="21"/>
          <w:szCs w:val="21"/>
          <w:b w:val="1"/>
          <w:bCs w:val="1"/>
          <w:u w:val="single" w:color="auto"/>
          <w:color w:val="0000FF"/>
        </w:rPr>
        <w:t>Term Benchmark</w:t>
      </w:r>
      <w:r>
        <w:rPr>
          <w:rFonts w:ascii="Arial" w:cs="Arial" w:eastAsia="Arial" w:hAnsi="Arial"/>
          <w:sz w:val="21"/>
          <w:szCs w:val="21"/>
          <w:color w:val="auto"/>
        </w:rPr>
        <w:t xml:space="preserve"> Committed Borrowing that results from a continuation of an outstanding </w:t>
      </w:r>
      <w:r>
        <w:rPr>
          <w:rFonts w:ascii="Arial" w:cs="Arial" w:eastAsia="Arial" w:hAnsi="Arial"/>
          <w:sz w:val="21"/>
          <w:szCs w:val="21"/>
          <w:b w:val="1"/>
          <w:bCs w:val="1"/>
          <w:color w:val="FF0000"/>
          <w:strike w:val="1"/>
        </w:rPr>
        <w:t>Eurocurrency Rate</w:t>
      </w:r>
      <w:r>
        <w:rPr>
          <w:rFonts w:ascii="Arial" w:cs="Arial" w:eastAsia="Arial" w:hAnsi="Arial"/>
          <w:sz w:val="21"/>
          <w:szCs w:val="21"/>
          <w:b w:val="1"/>
          <w:bCs w:val="1"/>
          <w:u w:val="single" w:color="auto"/>
          <w:color w:val="0000FF"/>
        </w:rPr>
        <w:t>Term Benchmark</w:t>
      </w:r>
      <w:r>
        <w:rPr>
          <w:rFonts w:ascii="Arial" w:cs="Arial" w:eastAsia="Arial" w:hAnsi="Arial"/>
          <w:sz w:val="21"/>
          <w:szCs w:val="21"/>
          <w:color w:val="auto"/>
        </w:rPr>
        <w:t xml:space="preserve"> Committed Borrowing may be in an aggregate amount that is equal to such outstanding Borrowing. At the time that each Base Rate Committed Borrowing is made, such Committed Borrowing shall be in a principal amount that is an integral multiple of the Borrowing Multiple;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Base Rate Committed Borrowing may be in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43</w:t>
      </w:r>
    </w:p>
    <w:p>
      <w:pPr>
        <w:sectPr>
          <w:pgSz w:w="11900" w:h="16838" w:orient="portrait"/>
          <w:cols w:equalWidth="0" w:num="1">
            <w:col w:w="11240"/>
          </w:cols>
          <w:pgMar w:left="320" w:top="1146" w:right="339" w:bottom="1440" w:gutter="0" w:footer="0" w:header="0"/>
        </w:sectPr>
      </w:pPr>
    </w:p>
    <w:bookmarkStart w:id="182" w:name="page183"/>
    <w:bookmarkEnd w:id="182"/>
    <w:p>
      <w:pPr>
        <w:spacing w:after="0"/>
        <w:rPr>
          <w:sz w:val="20"/>
          <w:szCs w:val="20"/>
          <w:color w:val="auto"/>
        </w:rPr>
      </w:pPr>
      <w:r>
        <w:rPr>
          <w:rFonts w:ascii="Arial" w:cs="Arial" w:eastAsia="Arial" w:hAnsi="Arial"/>
          <w:sz w:val="21"/>
          <w:szCs w:val="21"/>
          <w:color w:val="auto"/>
        </w:rPr>
        <w:t>aggregate amount that is equal to the entire unused balance of the Aggregate Commitments.</w:t>
      </w:r>
    </w:p>
    <w:p>
      <w:pPr>
        <w:spacing w:after="0" w:line="183" w:lineRule="exact"/>
        <w:rPr>
          <w:sz w:val="20"/>
          <w:szCs w:val="20"/>
          <w:color w:val="auto"/>
        </w:rPr>
      </w:pPr>
    </w:p>
    <w:p>
      <w:pPr>
        <w:jc w:val="both"/>
        <w:ind w:firstLine="624"/>
        <w:spacing w:after="0" w:line="236" w:lineRule="auto"/>
        <w:rPr>
          <w:sz w:val="20"/>
          <w:szCs w:val="20"/>
          <w:color w:val="auto"/>
        </w:rPr>
      </w:pPr>
      <w:r>
        <w:rPr>
          <w:rFonts w:ascii="Arial" w:cs="Arial" w:eastAsia="Arial" w:hAnsi="Arial"/>
          <w:sz w:val="19"/>
          <w:szCs w:val="19"/>
          <w:color w:val="auto"/>
        </w:rPr>
        <w:t xml:space="preserve">Each Committed Loan Notice will specify (i) whether the Borrower is requesting a Committed Borrowing, a conversion of any Committed Borrowing denominated in US Dollars from one Type to the other, or a continuation of any </w:t>
      </w:r>
      <w:r>
        <w:rPr>
          <w:rFonts w:ascii="Arial" w:cs="Arial" w:eastAsia="Arial" w:hAnsi="Arial"/>
          <w:sz w:val="19"/>
          <w:szCs w:val="19"/>
          <w:b w:val="1"/>
          <w:bCs w:val="1"/>
          <w:color w:val="FF0000"/>
          <w:strike w:val="1"/>
        </w:rPr>
        <w:t>Eurocurrency</w:t>
      </w:r>
      <w:r>
        <w:rPr>
          <w:rFonts w:ascii="Arial" w:cs="Arial" w:eastAsia="Arial" w:hAnsi="Arial"/>
          <w:sz w:val="19"/>
          <w:szCs w:val="19"/>
          <w:color w:val="auto"/>
        </w:rPr>
        <w:t xml:space="preserve"> </w:t>
      </w:r>
      <w:r>
        <w:rPr>
          <w:rFonts w:ascii="Arial" w:cs="Arial" w:eastAsia="Arial" w:hAnsi="Arial"/>
          <w:sz w:val="19"/>
          <w:szCs w:val="19"/>
          <w:b w:val="1"/>
          <w:bCs w:val="1"/>
          <w:color w:val="FF0000"/>
          <w:strike w:val="1"/>
        </w:rPr>
        <w:t>Rate</w:t>
      </w:r>
      <w:r>
        <w:rPr>
          <w:rFonts w:ascii="Arial" w:cs="Arial" w:eastAsia="Arial" w:hAnsi="Arial"/>
          <w:sz w:val="19"/>
          <w:szCs w:val="19"/>
          <w:b w:val="1"/>
          <w:bCs w:val="1"/>
          <w:u w:val="single" w:color="auto"/>
          <w:color w:val="0000FF"/>
        </w:rPr>
        <w:t>Term Benchmark</w:t>
      </w:r>
      <w:r>
        <w:rPr>
          <w:rFonts w:ascii="Arial" w:cs="Arial" w:eastAsia="Arial" w:hAnsi="Arial"/>
          <w:sz w:val="19"/>
          <w:szCs w:val="19"/>
          <w:b w:val="1"/>
          <w:bCs w:val="1"/>
          <w:color w:val="FF0000"/>
        </w:rPr>
        <w:t xml:space="preserve"> </w:t>
      </w:r>
      <w:r>
        <w:rPr>
          <w:rFonts w:ascii="Arial" w:cs="Arial" w:eastAsia="Arial" w:hAnsi="Arial"/>
          <w:sz w:val="19"/>
          <w:szCs w:val="19"/>
          <w:color w:val="000000"/>
        </w:rPr>
        <w:t>Committed Borrowing, (ii) the requested date of such Committed Borrowing, conversion or continuation,</w:t>
      </w:r>
      <w:r>
        <w:rPr>
          <w:rFonts w:ascii="Arial" w:cs="Arial" w:eastAsia="Arial" w:hAnsi="Arial"/>
          <w:sz w:val="19"/>
          <w:szCs w:val="19"/>
          <w:b w:val="1"/>
          <w:bCs w:val="1"/>
          <w:color w:val="FF0000"/>
        </w:rPr>
        <w:t xml:space="preserve"> </w:t>
      </w:r>
      <w:r>
        <w:rPr>
          <w:rFonts w:ascii="Arial" w:cs="Arial" w:eastAsia="Arial" w:hAnsi="Arial"/>
          <w:sz w:val="19"/>
          <w:szCs w:val="19"/>
          <w:color w:val="000000"/>
        </w:rPr>
        <w:t xml:space="preserve">as the case may be (which shall be a </w:t>
      </w:r>
      <w:r>
        <w:rPr>
          <w:rFonts w:ascii="Arial" w:cs="Arial" w:eastAsia="Arial" w:hAnsi="Arial"/>
          <w:sz w:val="19"/>
          <w:szCs w:val="19"/>
          <w:b w:val="1"/>
          <w:bCs w:val="1"/>
          <w:u w:val="single" w:color="auto"/>
          <w:color w:val="0000FF"/>
        </w:rPr>
        <w:t>U.S. Government Securities</w:t>
      </w:r>
      <w:r>
        <w:rPr>
          <w:rFonts w:ascii="Arial" w:cs="Arial" w:eastAsia="Arial" w:hAnsi="Arial"/>
          <w:sz w:val="19"/>
          <w:szCs w:val="19"/>
          <w:color w:val="000000"/>
        </w:rPr>
        <w:t xml:space="preserve"> Business Day), (iii) the aggregate principal amount and currency of Committed Loans to be borrowed or the existing Committed Borrowing that is to be converted or continued (and, if different conversion or continuation options are being elected with respect to different portions thereof, the portions thereof to be allocated to each resulting Committed Borrowing), (iv) the Type of each requested resulting Committed Borrowing, (v) the duration of the Interest Period with respect to each requested resulting </w:t>
      </w:r>
      <w:r>
        <w:rPr>
          <w:rFonts w:ascii="Arial" w:cs="Arial" w:eastAsia="Arial" w:hAnsi="Arial"/>
          <w:sz w:val="19"/>
          <w:szCs w:val="19"/>
          <w:b w:val="1"/>
          <w:bCs w:val="1"/>
          <w:color w:val="FF0000"/>
          <w:strike w:val="1"/>
        </w:rPr>
        <w:t>Eurocurrency Rate</w:t>
      </w:r>
      <w:r>
        <w:rPr>
          <w:rFonts w:ascii="Arial" w:cs="Arial" w:eastAsia="Arial" w:hAnsi="Arial"/>
          <w:sz w:val="19"/>
          <w:szCs w:val="19"/>
          <w:b w:val="1"/>
          <w:bCs w:val="1"/>
          <w:u w:val="single" w:color="auto"/>
          <w:color w:val="0000FF"/>
        </w:rPr>
        <w:t>Term Benchmark</w:t>
      </w:r>
      <w:r>
        <w:rPr>
          <w:rFonts w:ascii="Arial" w:cs="Arial" w:eastAsia="Arial" w:hAnsi="Arial"/>
          <w:sz w:val="19"/>
          <w:szCs w:val="19"/>
          <w:color w:val="000000"/>
        </w:rPr>
        <w:t xml:space="preserve"> Committed Borrowing and (vi) if applicable, the location and number of the account to which funds are to be disbursed (which shall be an account of the Borrower or another account reasonably acceptable to the Administrative Agent and shall be located in New York City or another jurisdiction reasonably acceptable to the Administrative Agent). If the Borrower fails to specify a currency in a Committed Loan Notice requesting a Committed Borrowing, then the Committed Loans so requested will be made in US Dollars. If the Borrower fails to specify a Type of the requested Committed Loans denominated in US Dollars in a Committed Loan Notice, then the applicable Committed Loans will be made as Base Rate Loans. If the Borrower fails to give timely notice requesting a conversion or continuation of any </w:t>
      </w:r>
      <w:r>
        <w:rPr>
          <w:rFonts w:ascii="Arial" w:cs="Arial" w:eastAsia="Arial" w:hAnsi="Arial"/>
          <w:sz w:val="19"/>
          <w:szCs w:val="19"/>
          <w:b w:val="1"/>
          <w:bCs w:val="1"/>
          <w:color w:val="FF0000"/>
          <w:strike w:val="1"/>
        </w:rPr>
        <w:t>Eurocurrency Rate</w:t>
      </w:r>
      <w:r>
        <w:rPr>
          <w:rFonts w:ascii="Arial" w:cs="Arial" w:eastAsia="Arial" w:hAnsi="Arial"/>
          <w:sz w:val="19"/>
          <w:szCs w:val="19"/>
          <w:b w:val="1"/>
          <w:bCs w:val="1"/>
          <w:u w:val="single" w:color="auto"/>
          <w:color w:val="0000FF"/>
        </w:rPr>
        <w:t>Term Benchmark</w:t>
      </w:r>
      <w:r>
        <w:rPr>
          <w:rFonts w:ascii="Arial" w:cs="Arial" w:eastAsia="Arial" w:hAnsi="Arial"/>
          <w:sz w:val="19"/>
          <w:szCs w:val="19"/>
          <w:color w:val="000000"/>
        </w:rPr>
        <w:t xml:space="preserve"> Committed Borrowing, such </w:t>
      </w:r>
      <w:r>
        <w:rPr>
          <w:rFonts w:ascii="Arial" w:cs="Arial" w:eastAsia="Arial" w:hAnsi="Arial"/>
          <w:sz w:val="19"/>
          <w:szCs w:val="19"/>
          <w:b w:val="1"/>
          <w:bCs w:val="1"/>
          <w:color w:val="FF0000"/>
          <w:strike w:val="1"/>
        </w:rPr>
        <w:t>Eurocurrency Rate</w:t>
      </w:r>
      <w:r>
        <w:rPr>
          <w:rFonts w:ascii="Arial" w:cs="Arial" w:eastAsia="Arial" w:hAnsi="Arial"/>
          <w:sz w:val="19"/>
          <w:szCs w:val="19"/>
          <w:b w:val="1"/>
          <w:bCs w:val="1"/>
          <w:u w:val="single" w:color="auto"/>
          <w:color w:val="0000FF"/>
        </w:rPr>
        <w:t>Term Benchmark</w:t>
      </w:r>
      <w:r>
        <w:rPr>
          <w:rFonts w:ascii="Arial" w:cs="Arial" w:eastAsia="Arial" w:hAnsi="Arial"/>
          <w:sz w:val="19"/>
          <w:szCs w:val="19"/>
          <w:color w:val="000000"/>
        </w:rPr>
        <w:t xml:space="preserve"> Committed Borrowing will be continued with an Interest Period of one month and in its original currency. If the Borrower requests a Committed Borrowing of, or conversion to or continuation of, </w:t>
      </w:r>
      <w:r>
        <w:rPr>
          <w:rFonts w:ascii="Arial" w:cs="Arial" w:eastAsia="Arial" w:hAnsi="Arial"/>
          <w:sz w:val="19"/>
          <w:szCs w:val="19"/>
          <w:b w:val="1"/>
          <w:bCs w:val="1"/>
          <w:color w:val="FF0000"/>
          <w:strike w:val="1"/>
        </w:rPr>
        <w:t>Eurocurrency Rate</w:t>
      </w:r>
      <w:r>
        <w:rPr>
          <w:rFonts w:ascii="Arial" w:cs="Arial" w:eastAsia="Arial" w:hAnsi="Arial"/>
          <w:sz w:val="19"/>
          <w:szCs w:val="19"/>
          <w:b w:val="1"/>
          <w:bCs w:val="1"/>
          <w:u w:val="single" w:color="auto"/>
          <w:color w:val="0000FF"/>
        </w:rPr>
        <w:t>Term Benchmark</w:t>
      </w:r>
      <w:r>
        <w:rPr>
          <w:rFonts w:ascii="Arial" w:cs="Arial" w:eastAsia="Arial" w:hAnsi="Arial"/>
          <w:sz w:val="19"/>
          <w:szCs w:val="19"/>
          <w:color w:val="000000"/>
        </w:rPr>
        <w:t xml:space="preserve"> Committed Loans in any such Committed Loan Notice, but fails to specify an Interest Period, it will be deemed to have specified an Interest Period of one month. No Committed Loan may be converted into or continued as a Committed Loan denominated in a different currency, but instead must be prepaid in the original currency of such Committed Loan and reborrowed in the other currency.</w:t>
      </w:r>
    </w:p>
    <w:p>
      <w:pPr>
        <w:spacing w:after="0" w:line="155" w:lineRule="exact"/>
        <w:rPr>
          <w:sz w:val="20"/>
          <w:szCs w:val="20"/>
          <w:color w:val="auto"/>
        </w:rPr>
      </w:pPr>
    </w:p>
    <w:p>
      <w:pPr>
        <w:jc w:val="both"/>
        <w:ind w:right="40" w:firstLine="1036"/>
        <w:spacing w:after="0" w:line="238" w:lineRule="auto"/>
        <w:tabs>
          <w:tab w:leader="none" w:pos="1503" w:val="left"/>
        </w:tabs>
        <w:numPr>
          <w:ilvl w:val="0"/>
          <w:numId w:val="116"/>
        </w:numPr>
        <w:rPr>
          <w:rFonts w:ascii="Arial" w:cs="Arial" w:eastAsia="Arial" w:hAnsi="Arial"/>
          <w:sz w:val="19"/>
          <w:szCs w:val="19"/>
          <w:color w:val="auto"/>
        </w:rPr>
      </w:pPr>
      <w:r>
        <w:rPr>
          <w:rFonts w:ascii="Arial" w:cs="Arial" w:eastAsia="Arial" w:hAnsi="Arial"/>
          <w:sz w:val="19"/>
          <w:szCs w:val="19"/>
          <w:color w:val="auto"/>
        </w:rPr>
        <w:t>Following receipt of a Committed Loan Notice, the Administrative Agent will promptly notify each Lender of the details thereof and of the amount (and currency) of its Applicable Percentage of each resulting Committed Borrowing. In the case of a Committed Loan Notice requesting the making of a Committed Borrowing, each Lender will make the amount of its Committed Loan to be made as part of such Committed Borrowing available to the Administrative Agent, in Same Day Funds for the applicable currency by wire transfer to the account of the Administrative Agent most recently designated by it for such purpose by notice to the Lenders, not later than 1:00 p.m., Local Time (2:00 p.m., Local Time, in the case of any Base Rate Committed Loan), in the case of any Committed Loan denominated in US Dollars, and not later than the Applicable Time in the case of any Committed Loan denominated in an Alternative Currency, in each case on the date of such Committed Borrowing specified in the applicable Committed Loan Notice. The Administrative Agent will make such Committed Loans available to the Borrower by remitting the amounts so received, in Same Day Funds for the applicable currency by wire transfer to the account of the Borrower specified in the applicable Committed Loan Notice, not later than 2:00 p.m., Local Time (3:00 p.m., Local Time, in the case of any Base Rate Committed Borrowing), on the same Business Day such funds are so received by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44</w:t>
      </w:r>
    </w:p>
    <w:p>
      <w:pPr>
        <w:sectPr>
          <w:pgSz w:w="11900" w:h="16838" w:orient="portrait"/>
          <w:cols w:equalWidth="0" w:num="1">
            <w:col w:w="11240"/>
          </w:cols>
          <w:pgMar w:left="320" w:top="1152" w:right="339" w:bottom="1440" w:gutter="0" w:footer="0" w:header="0"/>
        </w:sectPr>
      </w:pPr>
    </w:p>
    <w:bookmarkStart w:id="183" w:name="page184"/>
    <w:bookmarkEnd w:id="183"/>
    <w:p>
      <w:pPr>
        <w:jc w:val="both"/>
        <w:ind w:firstLine="1030"/>
        <w:spacing w:after="0" w:line="241" w:lineRule="auto"/>
        <w:rPr>
          <w:sz w:val="20"/>
          <w:szCs w:val="20"/>
          <w:color w:val="auto"/>
        </w:rPr>
      </w:pPr>
      <w:r>
        <w:rPr>
          <w:rFonts w:ascii="Arial" w:cs="Arial" w:eastAsia="Arial" w:hAnsi="Arial"/>
          <w:sz w:val="19"/>
          <w:szCs w:val="19"/>
          <w:color w:val="auto"/>
        </w:rPr>
        <w:t xml:space="preserve">(c ) Notwithstanding anything in this Agreement to the contrary, during the existence of an Event of Default </w:t>
      </w:r>
      <w:r>
        <w:rPr>
          <w:rFonts w:ascii="Arial" w:cs="Arial" w:eastAsia="Arial" w:hAnsi="Arial"/>
          <w:sz w:val="19"/>
          <w:szCs w:val="19"/>
          <w:b w:val="1"/>
          <w:bCs w:val="1"/>
          <w:color w:val="0000FF"/>
        </w:rPr>
        <w:t>and</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unless otherwise agreed by the Required Lenders</w:t>
      </w:r>
      <w:r>
        <w:rPr>
          <w:rFonts w:ascii="Arial" w:cs="Arial" w:eastAsia="Arial" w:hAnsi="Arial"/>
          <w:sz w:val="19"/>
          <w:szCs w:val="19"/>
          <w:color w:val="000000"/>
        </w:rPr>
        <w:t>, (i) no Committed Borrowing denominated in US Dollars may be converted to</w:t>
      </w:r>
      <w:r>
        <w:rPr>
          <w:rFonts w:ascii="Arial" w:cs="Arial" w:eastAsia="Arial" w:hAnsi="Arial"/>
          <w:sz w:val="19"/>
          <w:szCs w:val="19"/>
          <w:b w:val="1"/>
          <w:bCs w:val="1"/>
          <w:color w:val="0000FF"/>
        </w:rPr>
        <w:t xml:space="preserve"> </w:t>
      </w:r>
      <w:r>
        <w:rPr>
          <w:rFonts w:ascii="Arial" w:cs="Arial" w:eastAsia="Arial" w:hAnsi="Arial"/>
          <w:sz w:val="19"/>
          <w:szCs w:val="19"/>
          <w:color w:val="000000"/>
        </w:rPr>
        <w:t xml:space="preserve">or continued as </w:t>
      </w:r>
      <w:r>
        <w:rPr>
          <w:rFonts w:ascii="Arial" w:cs="Arial" w:eastAsia="Arial" w:hAnsi="Arial"/>
          <w:sz w:val="19"/>
          <w:szCs w:val="19"/>
          <w:b w:val="1"/>
          <w:bCs w:val="1"/>
          <w:color w:val="FF0000"/>
          <w:strike w:val="1"/>
        </w:rPr>
        <w:t>Eurocurrency Rate</w:t>
      </w:r>
      <w:r>
        <w:rPr>
          <w:rFonts w:ascii="Arial" w:cs="Arial" w:eastAsia="Arial" w:hAnsi="Arial"/>
          <w:sz w:val="19"/>
          <w:szCs w:val="19"/>
          <w:b w:val="1"/>
          <w:bCs w:val="1"/>
          <w:u w:val="single" w:color="auto"/>
          <w:color w:val="0000FF"/>
        </w:rPr>
        <w:t>a Term Benchmark</w:t>
      </w:r>
      <w:r>
        <w:rPr>
          <w:rFonts w:ascii="Arial" w:cs="Arial" w:eastAsia="Arial" w:hAnsi="Arial"/>
          <w:sz w:val="19"/>
          <w:szCs w:val="19"/>
          <w:color w:val="000000"/>
        </w:rPr>
        <w:t xml:space="preserve"> Committed Borrowing and (ii) </w:t>
      </w:r>
      <w:r>
        <w:rPr>
          <w:rFonts w:ascii="Arial" w:cs="Arial" w:eastAsia="Arial" w:hAnsi="Arial"/>
          <w:sz w:val="19"/>
          <w:szCs w:val="19"/>
          <w:b w:val="1"/>
          <w:bCs w:val="1"/>
          <w:color w:val="FF0000"/>
          <w:strike w:val="1"/>
        </w:rPr>
        <w:t>no Eurocurrency Rate Committed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6849745</wp:posOffset>
            </wp:positionH>
            <wp:positionV relativeFrom="paragraph">
              <wp:posOffset>-273685</wp:posOffset>
            </wp:positionV>
            <wp:extent cx="26479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64795" cy="8255"/>
                    </a:xfrm>
                    <a:prstGeom prst="rect">
                      <a:avLst/>
                    </a:prstGeom>
                    <a:noFill/>
                  </pic:spPr>
                </pic:pic>
              </a:graphicData>
            </a:graphic>
          </wp:anchor>
        </w:drawing>
      </w:r>
    </w:p>
    <w:p>
      <w:pPr>
        <w:jc w:val="both"/>
        <w:spacing w:after="0" w:line="245" w:lineRule="auto"/>
        <w:rPr>
          <w:sz w:val="20"/>
          <w:szCs w:val="20"/>
          <w:color w:val="auto"/>
        </w:rPr>
      </w:pPr>
      <w:r>
        <w:rPr>
          <w:rFonts w:ascii="Arial" w:cs="Arial" w:eastAsia="Arial" w:hAnsi="Arial"/>
          <w:sz w:val="18"/>
          <w:szCs w:val="18"/>
          <w:b w:val="1"/>
          <w:bCs w:val="1"/>
          <w:color w:val="FF0000"/>
          <w:strike w:val="1"/>
        </w:rPr>
        <w:t>Borrowing denominated in an Alternative Currency may be converted to or continued as a Committed Borrowing with an Interest Period of other than one month’s duration, in each case, without the consent of the Required Lenders.</w:t>
      </w:r>
      <w:r>
        <w:rPr>
          <w:rFonts w:ascii="Arial" w:cs="Arial" w:eastAsia="Arial" w:hAnsi="Arial"/>
          <w:sz w:val="18"/>
          <w:szCs w:val="18"/>
          <w:b w:val="1"/>
          <w:bCs w:val="1"/>
          <w:u w:val="single" w:color="auto"/>
          <w:color w:val="0000FF"/>
          <w:strike w:val="1"/>
        </w:rPr>
        <w:t>unless repaid,</w:t>
      </w:r>
    </w:p>
    <w:p>
      <w:pPr>
        <w:spacing w:after="0" w:line="1" w:lineRule="exact"/>
        <w:rPr>
          <w:sz w:val="20"/>
          <w:szCs w:val="20"/>
          <w:color w:val="auto"/>
        </w:rPr>
      </w:pPr>
    </w:p>
    <w:p>
      <w:pPr>
        <w:jc w:val="both"/>
        <w:ind w:firstLine="6"/>
        <w:spacing w:after="0" w:line="224" w:lineRule="auto"/>
        <w:tabs>
          <w:tab w:leader="none" w:pos="366" w:val="left"/>
        </w:tabs>
        <w:numPr>
          <w:ilvl w:val="0"/>
          <w:numId w:val="117"/>
        </w:numPr>
        <w:rPr>
          <w:rFonts w:ascii="Arial" w:cs="Arial" w:eastAsia="Arial" w:hAnsi="Arial"/>
          <w:sz w:val="21"/>
          <w:szCs w:val="21"/>
          <w:b w:val="1"/>
          <w:bCs w:val="1"/>
          <w:u w:val="single" w:color="auto"/>
          <w:color w:val="0000FF"/>
        </w:rPr>
      </w:pPr>
      <w:r>
        <w:rPr>
          <w:rFonts w:ascii="Arial" w:cs="Arial" w:eastAsia="Arial" w:hAnsi="Arial"/>
          <w:sz w:val="21"/>
          <w:szCs w:val="21"/>
          <w:b w:val="1"/>
          <w:bCs w:val="1"/>
          <w:u w:val="single" w:color="auto"/>
          <w:color w:val="0000FF"/>
        </w:rPr>
        <w:t>each Term Benchmark Borrowing and (B) each RFR Borrowing shall be converted to a Base Rate Borrowing (in the case of a Term Benchmark Borrowing) at the end of the Interest Period applicable thereto or (in the case of an RFR Borrowing) on the next Interest Payment Date in respect thereof.</w:t>
      </w:r>
    </w:p>
    <w:p>
      <w:pPr>
        <w:spacing w:after="0" w:line="147" w:lineRule="exact"/>
        <w:rPr>
          <w:rFonts w:ascii="Arial" w:cs="Arial" w:eastAsia="Arial" w:hAnsi="Arial"/>
          <w:sz w:val="21"/>
          <w:szCs w:val="21"/>
          <w:b w:val="1"/>
          <w:bCs w:val="1"/>
          <w:u w:val="single" w:color="auto"/>
          <w:color w:val="0000FF"/>
        </w:rPr>
      </w:pPr>
    </w:p>
    <w:p>
      <w:pPr>
        <w:jc w:val="both"/>
        <w:ind w:firstLine="1036"/>
        <w:spacing w:after="0" w:line="219" w:lineRule="auto"/>
        <w:tabs>
          <w:tab w:leader="none" w:pos="1621" w:val="left"/>
        </w:tabs>
        <w:numPr>
          <w:ilvl w:val="1"/>
          <w:numId w:val="117"/>
        </w:numPr>
        <w:rPr>
          <w:rFonts w:ascii="Arial" w:cs="Arial" w:eastAsia="Arial" w:hAnsi="Arial"/>
          <w:sz w:val="21"/>
          <w:szCs w:val="21"/>
          <w:color w:val="auto"/>
        </w:rPr>
      </w:pPr>
      <w:r>
        <w:rPr>
          <w:rFonts w:ascii="Arial" w:cs="Arial" w:eastAsia="Arial" w:hAnsi="Arial"/>
          <w:sz w:val="21"/>
          <w:szCs w:val="21"/>
          <w:color w:val="auto"/>
        </w:rPr>
        <w:t xml:space="preserve">The applicable Base Rate </w:t>
      </w:r>
      <w:r>
        <w:rPr>
          <w:rFonts w:ascii="Arial" w:cs="Arial" w:eastAsia="Arial" w:hAnsi="Arial"/>
          <w:sz w:val="21"/>
          <w:szCs w:val="21"/>
          <w:b w:val="1"/>
          <w:bCs w:val="1"/>
          <w:color w:val="FF0000"/>
        </w:rPr>
        <w:t>or Eurocurrency Rate</w:t>
      </w:r>
      <w:r>
        <w:rPr>
          <w:rFonts w:ascii="Arial" w:cs="Arial" w:eastAsia="Arial" w:hAnsi="Arial"/>
          <w:sz w:val="21"/>
          <w:szCs w:val="21"/>
          <w:b w:val="1"/>
          <w:bCs w:val="1"/>
          <w:u w:val="single" w:color="auto"/>
          <w:color w:val="0000FF"/>
        </w:rPr>
        <w:t>, Adjusted Term SOFR Rate, Term SOFR Rate, Adjusted</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0000FF"/>
        </w:rPr>
        <w:t>Daily Simple SOFR or Daily Simple SOFR</w:t>
      </w:r>
      <w:r>
        <w:rPr>
          <w:rFonts w:ascii="Arial" w:cs="Arial" w:eastAsia="Arial" w:hAnsi="Arial"/>
          <w:sz w:val="21"/>
          <w:szCs w:val="21"/>
          <w:b w:val="1"/>
          <w:bCs w:val="1"/>
          <w:color w:val="0000FF"/>
        </w:rPr>
        <w:t xml:space="preserve"> </w:t>
      </w:r>
      <w:r>
        <w:rPr>
          <w:rFonts w:ascii="Arial" w:cs="Arial" w:eastAsia="Arial" w:hAnsi="Arial"/>
          <w:sz w:val="21"/>
          <w:szCs w:val="21"/>
          <w:color w:val="000000"/>
        </w:rPr>
        <w:t>shall be determined by the Administrative Agent, and such determination shall be</w:t>
      </w:r>
      <w:r>
        <w:rPr>
          <w:rFonts w:ascii="Arial" w:cs="Arial" w:eastAsia="Arial" w:hAnsi="Arial"/>
          <w:sz w:val="21"/>
          <w:szCs w:val="21"/>
          <w:b w:val="1"/>
          <w:bCs w:val="1"/>
          <w:color w:val="0000FF"/>
        </w:rPr>
        <w:t xml:space="preserve"> </w:t>
      </w:r>
      <w:r>
        <w:rPr>
          <w:rFonts w:ascii="Arial" w:cs="Arial" w:eastAsia="Arial" w:hAnsi="Arial"/>
          <w:sz w:val="21"/>
          <w:szCs w:val="21"/>
          <w:color w:val="000000"/>
        </w:rPr>
        <w:t xml:space="preserve">conclusive absent manifest error. The Administrative Agent will notify the Borrower and the Lenders of the </w:t>
      </w:r>
      <w:r>
        <w:rPr>
          <w:rFonts w:ascii="Arial" w:cs="Arial" w:eastAsia="Arial" w:hAnsi="Arial"/>
          <w:sz w:val="21"/>
          <w:szCs w:val="21"/>
          <w:b w:val="1"/>
          <w:bCs w:val="1"/>
          <w:color w:val="FF0000"/>
          <w:strike w:val="1"/>
        </w:rPr>
        <w:t>Eurocurrency</w:t>
      </w:r>
      <w:r>
        <w:rPr>
          <w:rFonts w:ascii="Arial" w:cs="Arial" w:eastAsia="Arial" w:hAnsi="Arial"/>
          <w:sz w:val="21"/>
          <w:szCs w:val="21"/>
          <w:b w:val="1"/>
          <w:bCs w:val="1"/>
          <w:u w:val="single" w:color="auto"/>
          <w:color w:val="0000FF"/>
        </w:rPr>
        <w:t>Term</w:t>
      </w:r>
      <w:r>
        <w:rPr>
          <w:rFonts w:ascii="Arial" w:cs="Arial" w:eastAsia="Arial" w:hAnsi="Arial"/>
          <w:sz w:val="21"/>
          <w:szCs w:val="21"/>
          <w:color w:val="000000"/>
        </w:rPr>
        <w:t xml:space="preserve"> </w:t>
      </w:r>
      <w:r>
        <w:rPr>
          <w:rFonts w:ascii="Arial" w:cs="Arial" w:eastAsia="Arial" w:hAnsi="Arial"/>
          <w:sz w:val="21"/>
          <w:szCs w:val="21"/>
          <w:b w:val="1"/>
          <w:bCs w:val="1"/>
          <w:u w:val="single" w:color="auto"/>
          <w:color w:val="0000FF"/>
        </w:rPr>
        <w:t>SOFR</w:t>
      </w:r>
      <w:r>
        <w:rPr>
          <w:rFonts w:ascii="Arial" w:cs="Arial" w:eastAsia="Arial" w:hAnsi="Arial"/>
          <w:sz w:val="21"/>
          <w:szCs w:val="21"/>
          <w:b w:val="1"/>
          <w:bCs w:val="1"/>
          <w:color w:val="0000FF"/>
        </w:rPr>
        <w:t xml:space="preserve"> </w:t>
      </w:r>
      <w:r>
        <w:rPr>
          <w:rFonts w:ascii="Arial" w:cs="Arial" w:eastAsia="Arial" w:hAnsi="Arial"/>
          <w:sz w:val="21"/>
          <w:szCs w:val="21"/>
          <w:color w:val="000000"/>
        </w:rPr>
        <w:t>Rate applicable to any</w:t>
      </w:r>
      <w:r>
        <w:rPr>
          <w:rFonts w:ascii="Arial" w:cs="Arial" w:eastAsia="Arial" w:hAnsi="Arial"/>
          <w:sz w:val="21"/>
          <w:szCs w:val="21"/>
          <w:b w:val="1"/>
          <w:bCs w:val="1"/>
          <w:color w:val="0000FF"/>
        </w:rPr>
        <w:t xml:space="preserve"> </w:t>
      </w:r>
      <w:r>
        <w:rPr>
          <w:rFonts w:ascii="Arial" w:cs="Arial" w:eastAsia="Arial" w:hAnsi="Arial"/>
          <w:sz w:val="21"/>
          <w:szCs w:val="21"/>
          <w:b w:val="1"/>
          <w:bCs w:val="1"/>
          <w:color w:val="FF0000"/>
          <w:strike w:val="1"/>
        </w:rPr>
        <w:t>Eurocurrency Rate</w:t>
      </w:r>
      <w:r>
        <w:rPr>
          <w:rFonts w:ascii="Arial" w:cs="Arial" w:eastAsia="Arial" w:hAnsi="Arial"/>
          <w:sz w:val="21"/>
          <w:szCs w:val="21"/>
          <w:b w:val="1"/>
          <w:bCs w:val="1"/>
          <w:u w:val="single" w:color="auto"/>
          <w:color w:val="0000FF"/>
        </w:rPr>
        <w:t>Term Benchmark</w:t>
      </w:r>
      <w:r>
        <w:rPr>
          <w:rFonts w:ascii="Arial" w:cs="Arial" w:eastAsia="Arial" w:hAnsi="Arial"/>
          <w:sz w:val="21"/>
          <w:szCs w:val="21"/>
          <w:b w:val="1"/>
          <w:bCs w:val="1"/>
          <w:color w:val="0000FF"/>
        </w:rPr>
        <w:t xml:space="preserve"> </w:t>
      </w:r>
      <w:r>
        <w:rPr>
          <w:rFonts w:ascii="Arial" w:cs="Arial" w:eastAsia="Arial" w:hAnsi="Arial"/>
          <w:sz w:val="21"/>
          <w:szCs w:val="21"/>
          <w:color w:val="000000"/>
        </w:rPr>
        <w:t>Committed Borrowing for any Interest Period promptly upon</w:t>
      </w:r>
      <w:r>
        <w:rPr>
          <w:rFonts w:ascii="Arial" w:cs="Arial" w:eastAsia="Arial" w:hAnsi="Arial"/>
          <w:sz w:val="21"/>
          <w:szCs w:val="21"/>
          <w:b w:val="1"/>
          <w:bCs w:val="1"/>
          <w:color w:val="0000FF"/>
        </w:rPr>
        <w:t xml:space="preserve"> </w:t>
      </w:r>
      <w:r>
        <w:rPr>
          <w:rFonts w:ascii="Arial" w:cs="Arial" w:eastAsia="Arial" w:hAnsi="Arial"/>
          <w:sz w:val="21"/>
          <w:szCs w:val="21"/>
          <w:color w:val="000000"/>
        </w:rPr>
        <w:t>determination thereof. At any time that Base Rate Committed Loans are outstanding, the Administrative Agent will notify the Borrower and the Lenders of any change in the Prime Rate used in determining the Base Rate promptly following the public announcement of such change.</w:t>
      </w:r>
    </w:p>
    <w:p>
      <w:pPr>
        <w:spacing w:after="0" w:line="159" w:lineRule="exact"/>
        <w:rPr>
          <w:rFonts w:ascii="Arial" w:cs="Arial" w:eastAsia="Arial" w:hAnsi="Arial"/>
          <w:sz w:val="21"/>
          <w:szCs w:val="21"/>
          <w:color w:val="auto"/>
        </w:rPr>
      </w:pPr>
    </w:p>
    <w:p>
      <w:pPr>
        <w:jc w:val="both"/>
        <w:ind w:firstLine="1036"/>
        <w:spacing w:after="0" w:line="222" w:lineRule="auto"/>
        <w:tabs>
          <w:tab w:leader="none" w:pos="1518" w:val="left"/>
        </w:tabs>
        <w:numPr>
          <w:ilvl w:val="1"/>
          <w:numId w:val="117"/>
        </w:numPr>
        <w:rPr>
          <w:rFonts w:ascii="Arial" w:cs="Arial" w:eastAsia="Arial" w:hAnsi="Arial"/>
          <w:sz w:val="21"/>
          <w:szCs w:val="21"/>
          <w:color w:val="auto"/>
        </w:rPr>
      </w:pPr>
      <w:r>
        <w:rPr>
          <w:rFonts w:ascii="Arial" w:cs="Arial" w:eastAsia="Arial" w:hAnsi="Arial"/>
          <w:sz w:val="21"/>
          <w:szCs w:val="21"/>
          <w:color w:val="auto"/>
        </w:rPr>
        <w:t xml:space="preserve">Notwithstanding anything in this Agreement to the contrary, after giving effect to all Committed Borrowings, all conversions of Committed Borrowings denominated in US Dollars from one Type to the other, and all continuations of </w:t>
      </w:r>
      <w:r>
        <w:rPr>
          <w:rFonts w:ascii="Arial" w:cs="Arial" w:eastAsia="Arial" w:hAnsi="Arial"/>
          <w:sz w:val="21"/>
          <w:szCs w:val="21"/>
          <w:b w:val="1"/>
          <w:bCs w:val="1"/>
          <w:color w:val="FF0000"/>
          <w:strike w:val="1"/>
        </w:rPr>
        <w:t>Eurocurrency Rate</w:t>
      </w:r>
      <w:r>
        <w:rPr>
          <w:rFonts w:ascii="Arial" w:cs="Arial" w:eastAsia="Arial" w:hAnsi="Arial"/>
          <w:sz w:val="21"/>
          <w:szCs w:val="21"/>
          <w:b w:val="1"/>
          <w:bCs w:val="1"/>
          <w:u w:val="single" w:color="auto"/>
          <w:color w:val="0000FF"/>
        </w:rPr>
        <w:t>Term Benchmark</w:t>
      </w:r>
      <w:r>
        <w:rPr>
          <w:rFonts w:ascii="Arial" w:cs="Arial" w:eastAsia="Arial" w:hAnsi="Arial"/>
          <w:sz w:val="21"/>
          <w:szCs w:val="21"/>
          <w:b w:val="1"/>
          <w:bCs w:val="1"/>
          <w:color w:val="FF0000"/>
        </w:rPr>
        <w:t xml:space="preserve"> </w:t>
      </w:r>
      <w:r>
        <w:rPr>
          <w:rFonts w:ascii="Arial" w:cs="Arial" w:eastAsia="Arial" w:hAnsi="Arial"/>
          <w:sz w:val="21"/>
          <w:szCs w:val="21"/>
          <w:color w:val="000000"/>
        </w:rPr>
        <w:t>Committed Borrowings, there will not be more than ten (10) Interest Periods (or such</w:t>
      </w:r>
      <w:r>
        <w:rPr>
          <w:rFonts w:ascii="Arial" w:cs="Arial" w:eastAsia="Arial" w:hAnsi="Arial"/>
          <w:sz w:val="21"/>
          <w:szCs w:val="21"/>
          <w:b w:val="1"/>
          <w:bCs w:val="1"/>
          <w:color w:val="FF0000"/>
        </w:rPr>
        <w:t xml:space="preserve"> </w:t>
      </w:r>
      <w:r>
        <w:rPr>
          <w:rFonts w:ascii="Arial" w:cs="Arial" w:eastAsia="Arial" w:hAnsi="Arial"/>
          <w:sz w:val="21"/>
          <w:szCs w:val="21"/>
          <w:color w:val="000000"/>
        </w:rPr>
        <w:t xml:space="preserve">greater number as may be agreed to by the Administrative Agent) in effect with respect to </w:t>
      </w:r>
      <w:r>
        <w:rPr>
          <w:rFonts w:ascii="Arial" w:cs="Arial" w:eastAsia="Arial" w:hAnsi="Arial"/>
          <w:sz w:val="21"/>
          <w:szCs w:val="21"/>
          <w:b w:val="1"/>
          <w:bCs w:val="1"/>
          <w:color w:val="FF0000"/>
          <w:strike w:val="1"/>
        </w:rPr>
        <w:t>Eurocurrency Rate</w:t>
      </w:r>
      <w:r>
        <w:rPr>
          <w:rFonts w:ascii="Arial" w:cs="Arial" w:eastAsia="Arial" w:hAnsi="Arial"/>
          <w:sz w:val="21"/>
          <w:szCs w:val="21"/>
          <w:b w:val="1"/>
          <w:bCs w:val="1"/>
          <w:u w:val="single" w:color="auto"/>
          <w:color w:val="0000FF"/>
        </w:rPr>
        <w:t>Term Benchmark</w:t>
      </w:r>
      <w:r>
        <w:rPr>
          <w:rFonts w:ascii="Arial" w:cs="Arial" w:eastAsia="Arial" w:hAnsi="Arial"/>
          <w:sz w:val="21"/>
          <w:szCs w:val="21"/>
          <w:color w:val="000000"/>
        </w:rPr>
        <w:t xml:space="preserve"> Committed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2434590</wp:posOffset>
            </wp:positionH>
            <wp:positionV relativeFrom="paragraph">
              <wp:posOffset>-1696085</wp:posOffset>
            </wp:positionV>
            <wp:extent cx="132715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27150" cy="8255"/>
                    </a:xfrm>
                    <a:prstGeom prst="rect">
                      <a:avLst/>
                    </a:prstGeom>
                    <a:noFill/>
                  </pic:spPr>
                </pic:pic>
              </a:graphicData>
            </a:graphic>
          </wp:anchor>
        </w:drawing>
      </w:r>
    </w:p>
    <w:p>
      <w:pPr>
        <w:spacing w:after="0" w:line="135" w:lineRule="exact"/>
        <w:rPr>
          <w:sz w:val="20"/>
          <w:szCs w:val="20"/>
          <w:color w:val="auto"/>
        </w:rPr>
      </w:pPr>
    </w:p>
    <w:p>
      <w:pPr>
        <w:jc w:val="both"/>
        <w:ind w:firstLine="954"/>
        <w:spacing w:after="0" w:line="230" w:lineRule="auto"/>
        <w:rPr>
          <w:sz w:val="20"/>
          <w:szCs w:val="20"/>
          <w:color w:val="auto"/>
        </w:rPr>
      </w:pPr>
      <w:r>
        <w:rPr>
          <w:rFonts w:ascii="Arial" w:cs="Arial" w:eastAsia="Arial" w:hAnsi="Arial"/>
          <w:sz w:val="20"/>
          <w:szCs w:val="20"/>
          <w:color w:val="auto"/>
        </w:rPr>
        <w:t xml:space="preserve">Section 2.03 </w:t>
      </w:r>
      <w:r>
        <w:rPr>
          <w:rFonts w:ascii="Arial" w:cs="Arial" w:eastAsia="Arial" w:hAnsi="Arial"/>
          <w:sz w:val="20"/>
          <w:szCs w:val="20"/>
          <w:u w:val="single" w:color="auto"/>
          <w:color w:val="auto"/>
        </w:rPr>
        <w:t>Bid Loans</w:t>
      </w:r>
      <w:r>
        <w:rPr>
          <w:rFonts w:ascii="Arial" w:cs="Arial" w:eastAsia="Arial" w:hAnsi="Arial"/>
          <w:sz w:val="20"/>
          <w:szCs w:val="20"/>
          <w:color w:val="auto"/>
        </w:rPr>
        <w:t xml:space="preserve">. (a) </w:t>
      </w:r>
      <w:r>
        <w:rPr>
          <w:rFonts w:ascii="Arial" w:cs="Arial" w:eastAsia="Arial" w:hAnsi="Arial"/>
          <w:sz w:val="20"/>
          <w:szCs w:val="20"/>
          <w:u w:val="single" w:color="auto"/>
          <w:color w:val="auto"/>
        </w:rPr>
        <w:t>General</w:t>
      </w:r>
      <w:r>
        <w:rPr>
          <w:rFonts w:ascii="Arial" w:cs="Arial" w:eastAsia="Arial" w:hAnsi="Arial"/>
          <w:sz w:val="20"/>
          <w:szCs w:val="20"/>
          <w:color w:val="auto"/>
        </w:rPr>
        <w:t>. Subject to the terms and conditions set forth herein, each Lender agrees that the Borrower may from time to time request the Lenders to submit offers to make loans in a Discretionary Alternative Currency (each such loan, a “</w:t>
      </w:r>
      <w:r>
        <w:rPr>
          <w:rFonts w:ascii="Arial" w:cs="Arial" w:eastAsia="Arial" w:hAnsi="Arial"/>
          <w:sz w:val="20"/>
          <w:szCs w:val="20"/>
          <w:u w:val="single" w:color="auto"/>
          <w:color w:val="auto"/>
        </w:rPr>
        <w:t>Bid Loan</w:t>
      </w:r>
      <w:r>
        <w:rPr>
          <w:rFonts w:ascii="Arial" w:cs="Arial" w:eastAsia="Arial" w:hAnsi="Arial"/>
          <w:sz w:val="20"/>
          <w:szCs w:val="20"/>
          <w:color w:val="auto"/>
        </w:rPr>
        <w:t xml:space="preserve">”) to the Borrower prior to the Maturity Date pursuant to this </w:t>
      </w:r>
      <w:r>
        <w:rPr>
          <w:rFonts w:ascii="Arial" w:cs="Arial" w:eastAsia="Arial" w:hAnsi="Arial"/>
          <w:sz w:val="20"/>
          <w:szCs w:val="20"/>
          <w:u w:val="single" w:color="auto"/>
          <w:color w:val="auto"/>
        </w:rPr>
        <w:t>Section 2.03</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after giving effect to any Bid Borrowing, (i) the Total Outstandings shall not exceed the Aggregate Commitments and (ii) the aggregate Outstanding Amount of all Bid Loans, all Committed Loans and all L/C Obligations denominated in Alternative Currencies or Discretionary Alternative Currencies shall not exceed the Alternative Currency Sublimit. There shall not be more than ten (10) different Interest Periods in effect with respect to Bid Loans at any time.</w:t>
      </w:r>
    </w:p>
    <w:p>
      <w:pPr>
        <w:spacing w:after="0" w:line="153" w:lineRule="exact"/>
        <w:rPr>
          <w:sz w:val="20"/>
          <w:szCs w:val="20"/>
          <w:color w:val="auto"/>
        </w:rPr>
      </w:pPr>
    </w:p>
    <w:p>
      <w:pPr>
        <w:jc w:val="both"/>
        <w:ind w:firstLine="1036"/>
        <w:spacing w:after="0" w:line="230" w:lineRule="auto"/>
        <w:tabs>
          <w:tab w:leader="none" w:pos="1587" w:val="left"/>
        </w:tabs>
        <w:numPr>
          <w:ilvl w:val="0"/>
          <w:numId w:val="118"/>
        </w:numPr>
        <w:rPr>
          <w:rFonts w:ascii="Arial" w:cs="Arial" w:eastAsia="Arial" w:hAnsi="Arial"/>
          <w:sz w:val="20"/>
          <w:szCs w:val="20"/>
          <w:color w:val="auto"/>
        </w:rPr>
      </w:pPr>
      <w:r>
        <w:rPr>
          <w:rFonts w:ascii="Arial" w:cs="Arial" w:eastAsia="Arial" w:hAnsi="Arial"/>
          <w:sz w:val="20"/>
          <w:szCs w:val="20"/>
          <w:color w:val="auto"/>
        </w:rPr>
        <w:t>Requesting Competitive Bids. The Borrower may request the submission of Competitive Bids by hand delivery, fax or e-mail of a Bid Request, appropriately completed and signed by a Responsible Officer of the Borrower, to the Administrative Agent not later than 12:00 noon, Local Time, five (5) Business Days prior to the requested date of any Bid Borrowing (or six (6) Business Days in the case of any Special Notice Currency). Each Bid Request shall specify (i) the requested date of the Bid Borrowing (which shall be a Business Day), (ii) the aggregate principal amount of Bid Loans requested (which shall be an aggregate amount that is an integral multiple of the Borrowing Multiple and not less than the Borrowing Minimum), (iii) the Type and currency of Bid Loans requested, (iv) the duration of the Interest Period with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45</w:t>
      </w:r>
    </w:p>
    <w:p>
      <w:pPr>
        <w:sectPr>
          <w:pgSz w:w="11900" w:h="16838" w:orient="portrait"/>
          <w:cols w:equalWidth="0" w:num="1">
            <w:col w:w="11200"/>
          </w:cols>
          <w:pgMar w:left="320" w:top="1146" w:right="379" w:bottom="1440" w:gutter="0" w:footer="0" w:header="0"/>
        </w:sectPr>
      </w:pPr>
    </w:p>
    <w:bookmarkStart w:id="184" w:name="page185"/>
    <w:bookmarkEnd w:id="184"/>
    <w:p>
      <w:pPr>
        <w:jc w:val="both"/>
        <w:spacing w:after="0" w:line="225" w:lineRule="auto"/>
        <w:rPr>
          <w:sz w:val="20"/>
          <w:szCs w:val="20"/>
          <w:color w:val="auto"/>
        </w:rPr>
      </w:pPr>
      <w:r>
        <w:rPr>
          <w:rFonts w:ascii="Arial" w:cs="Arial" w:eastAsia="Arial" w:hAnsi="Arial"/>
          <w:sz w:val="21"/>
          <w:szCs w:val="21"/>
          <w:color w:val="auto"/>
        </w:rPr>
        <w:t>thereto and (v) the requested Discretionary Alternative Currency. No Bid Request shall contain a request for (A) more than one Type or currency of Bid Loan or (B) Bid Loans having more than three different Interest Periods. Bid Loans may only be Absolute Rate Loans. Unless the Administrative Agent otherwise agrees in its sole discretion, the Borrower may not submit a Bid Request if it has submitted another Bid Request within the prior 30 days.</w:t>
      </w:r>
    </w:p>
    <w:p>
      <w:pPr>
        <w:spacing w:after="0" w:line="154" w:lineRule="exact"/>
        <w:rPr>
          <w:sz w:val="20"/>
          <w:szCs w:val="20"/>
          <w:color w:val="auto"/>
        </w:rPr>
      </w:pPr>
    </w:p>
    <w:p>
      <w:pPr>
        <w:jc w:val="both"/>
        <w:ind w:firstLine="1030"/>
        <w:spacing w:after="0" w:line="239" w:lineRule="auto"/>
        <w:rPr>
          <w:sz w:val="20"/>
          <w:szCs w:val="20"/>
          <w:color w:val="auto"/>
        </w:rPr>
      </w:pPr>
      <w:r>
        <w:rPr>
          <w:rFonts w:ascii="Arial" w:cs="Arial" w:eastAsia="Arial" w:hAnsi="Arial"/>
          <w:sz w:val="21"/>
          <w:szCs w:val="21"/>
          <w:color w:val="auto"/>
        </w:rPr>
        <w:t xml:space="preserve">(c ) </w:t>
      </w:r>
      <w:r>
        <w:rPr>
          <w:rFonts w:ascii="Arial" w:cs="Arial" w:eastAsia="Arial" w:hAnsi="Arial"/>
          <w:sz w:val="21"/>
          <w:szCs w:val="21"/>
          <w:u w:val="single" w:color="auto"/>
          <w:color w:val="auto"/>
        </w:rPr>
        <w:t>Submitting Competitive Bids</w:t>
      </w:r>
      <w:r>
        <w:rPr>
          <w:rFonts w:ascii="Arial" w:cs="Arial" w:eastAsia="Arial" w:hAnsi="Arial"/>
          <w:sz w:val="21"/>
          <w:szCs w:val="21"/>
          <w:color w:val="auto"/>
        </w:rPr>
        <w:t>. (i) The Administrative Agent shall promptly notify each Lender of each Bid Request received by it from the Borrower and the contents of such Bid Request.</w:t>
      </w:r>
    </w:p>
    <w:p>
      <w:pPr>
        <w:spacing w:after="0" w:line="155" w:lineRule="exact"/>
        <w:rPr>
          <w:sz w:val="20"/>
          <w:szCs w:val="20"/>
          <w:color w:val="auto"/>
        </w:rPr>
      </w:pPr>
    </w:p>
    <w:p>
      <w:pPr>
        <w:jc w:val="both"/>
        <w:ind w:left="640" w:firstLine="638"/>
        <w:spacing w:after="0" w:line="237" w:lineRule="auto"/>
        <w:tabs>
          <w:tab w:leader="none" w:pos="1912" w:val="left"/>
        </w:tabs>
        <w:numPr>
          <w:ilvl w:val="1"/>
          <w:numId w:val="119"/>
        </w:numPr>
        <w:rPr>
          <w:rFonts w:ascii="Arial" w:cs="Arial" w:eastAsia="Arial" w:hAnsi="Arial"/>
          <w:sz w:val="19"/>
          <w:szCs w:val="19"/>
          <w:color w:val="auto"/>
        </w:rPr>
      </w:pPr>
      <w:r>
        <w:rPr>
          <w:rFonts w:ascii="Arial" w:cs="Arial" w:eastAsia="Arial" w:hAnsi="Arial"/>
          <w:sz w:val="19"/>
          <w:szCs w:val="19"/>
          <w:color w:val="auto"/>
        </w:rPr>
        <w:t xml:space="preserve">Each Lender may (but shall have no obligation to) submit a Competitive Bid containing an offer to make one or more Bid Loans in response to such Bid Request. Such Competitive Bid must be delivered to the Administrative Agent not later than 11:30 a.m., Local Time, four (4) Business Days prior to the requested date of any Bid Borrowing (or five (5) Business Days in the case of any Special Notice Currency);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Competitive Bid submitted by JPMCB in its capacity as a Lender in response to any Bid Request must be submitted to the Administrative Agent not later than 11:15 a.m., Local Time, on the date on which Competitive Bids are required to be delivered by the other Lenders in response to such Bid Request. Each Competitive Bid shall specify (A) the proposed date of the Bid Borrowing, (B) the principal amount of each Bid Loan for which such Competitive Bid is being made, which principal amount (x) may be equal to, greater than or less than the Commitment of the bidding Lender, (y) must be an aggregate amount that is an integral multiple of the Borrowing Multiple and not less than the Borrowing Minimum and (z) may not exceed the principal amount of Bid Loans for which Competitive Bids were requested, (C) the Absolute Rate offered for each such Bid Loan and the Interest Period applicable thereto, (D) that such bidding Lender may advance the Bid Borrowing in the proposed Discretionary Alternative Currency and (E) the identity of the bidding Lender.</w:t>
      </w:r>
    </w:p>
    <w:p>
      <w:pPr>
        <w:spacing w:after="0" w:line="163" w:lineRule="exact"/>
        <w:rPr>
          <w:rFonts w:ascii="Arial" w:cs="Arial" w:eastAsia="Arial" w:hAnsi="Arial"/>
          <w:sz w:val="19"/>
          <w:szCs w:val="19"/>
          <w:color w:val="auto"/>
        </w:rPr>
      </w:pPr>
    </w:p>
    <w:p>
      <w:pPr>
        <w:jc w:val="both"/>
        <w:ind w:left="640" w:firstLine="638"/>
        <w:spacing w:after="0" w:line="228" w:lineRule="auto"/>
        <w:tabs>
          <w:tab w:leader="none" w:pos="1912" w:val="left"/>
        </w:tabs>
        <w:numPr>
          <w:ilvl w:val="1"/>
          <w:numId w:val="119"/>
        </w:numPr>
        <w:rPr>
          <w:rFonts w:ascii="Arial" w:cs="Arial" w:eastAsia="Arial" w:hAnsi="Arial"/>
          <w:sz w:val="20"/>
          <w:szCs w:val="20"/>
          <w:color w:val="auto"/>
        </w:rPr>
      </w:pPr>
      <w:r>
        <w:rPr>
          <w:rFonts w:ascii="Arial" w:cs="Arial" w:eastAsia="Arial" w:hAnsi="Arial"/>
          <w:sz w:val="20"/>
          <w:szCs w:val="20"/>
          <w:color w:val="auto"/>
        </w:rPr>
        <w:t xml:space="preserve">Any Competitive Bid shall be disregarded if it (A) is received after the applicable time specified in </w:t>
      </w:r>
      <w:r>
        <w:rPr>
          <w:rFonts w:ascii="Arial" w:cs="Arial" w:eastAsia="Arial" w:hAnsi="Arial"/>
          <w:sz w:val="20"/>
          <w:szCs w:val="20"/>
          <w:u w:val="single" w:color="auto"/>
          <w:color w:val="auto"/>
        </w:rPr>
        <w:t>clause (ii)</w:t>
      </w:r>
      <w:r>
        <w:rPr>
          <w:rFonts w:ascii="Arial" w:cs="Arial" w:eastAsia="Arial" w:hAnsi="Arial"/>
          <w:sz w:val="20"/>
          <w:szCs w:val="20"/>
          <w:color w:val="auto"/>
        </w:rPr>
        <w:t xml:space="preserve"> above, (B) is not substantially in the form of a Competitive Bid as specified herein, (C) contains qualifying, conditional or similar language, (D) proposes terms other than or in addition to those set forth in the applicable Bid Request or (E) is otherwise not responsive to such Bid Request. Any Lender may correct a Competitive Bid containing a manifest error by submitting a corrected Competitive Bid (identified as such) not later than the applicable time required for submission of Competitive Bids. Any such submission of a corrected Competitive Bid shall constitute a revocation of the Competitive Bid that contained the manifest error. The Administrative Agent may, but shall not be required to, notify any Lender of any manifest error it detects in such Lender’s Competitive Bid.</w:t>
      </w:r>
    </w:p>
    <w:p>
      <w:pPr>
        <w:spacing w:after="0" w:line="160" w:lineRule="exact"/>
        <w:rPr>
          <w:rFonts w:ascii="Arial" w:cs="Arial" w:eastAsia="Arial" w:hAnsi="Arial"/>
          <w:sz w:val="20"/>
          <w:szCs w:val="20"/>
          <w:color w:val="auto"/>
        </w:rPr>
      </w:pPr>
    </w:p>
    <w:p>
      <w:pPr>
        <w:ind w:left="640" w:firstLine="638"/>
        <w:spacing w:after="0" w:line="239" w:lineRule="auto"/>
        <w:tabs>
          <w:tab w:leader="none" w:pos="1912" w:val="left"/>
        </w:tabs>
        <w:numPr>
          <w:ilvl w:val="1"/>
          <w:numId w:val="119"/>
        </w:numPr>
        <w:rPr>
          <w:rFonts w:ascii="Arial" w:cs="Arial" w:eastAsia="Arial" w:hAnsi="Arial"/>
          <w:sz w:val="21"/>
          <w:szCs w:val="21"/>
          <w:color w:val="auto"/>
        </w:rPr>
      </w:pPr>
      <w:r>
        <w:rPr>
          <w:rFonts w:ascii="Arial" w:cs="Arial" w:eastAsia="Arial" w:hAnsi="Arial"/>
          <w:sz w:val="21"/>
          <w:szCs w:val="21"/>
          <w:color w:val="auto"/>
        </w:rPr>
        <w:t xml:space="preserve">Subject only to the provisions of </w:t>
      </w:r>
      <w:r>
        <w:rPr>
          <w:rFonts w:ascii="Arial" w:cs="Arial" w:eastAsia="Arial" w:hAnsi="Arial"/>
          <w:sz w:val="21"/>
          <w:szCs w:val="21"/>
          <w:u w:val="single" w:color="auto"/>
          <w:color w:val="auto"/>
        </w:rPr>
        <w:t>Sections 3.02</w:t>
      </w:r>
      <w:r>
        <w:rPr>
          <w:rFonts w:ascii="Arial" w:cs="Arial" w:eastAsia="Arial" w:hAnsi="Arial"/>
          <w:sz w:val="21"/>
          <w:szCs w:val="21"/>
          <w:color w:val="auto"/>
        </w:rPr>
        <w:t xml:space="preserve">, </w:t>
      </w:r>
      <w:r>
        <w:rPr>
          <w:rFonts w:ascii="Arial" w:cs="Arial" w:eastAsia="Arial" w:hAnsi="Arial"/>
          <w:sz w:val="21"/>
          <w:szCs w:val="21"/>
          <w:u w:val="single" w:color="auto"/>
          <w:color w:val="auto"/>
        </w:rPr>
        <w:t>3.03</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4.02</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clause (iii)</w:t>
      </w:r>
      <w:r>
        <w:rPr>
          <w:rFonts w:ascii="Arial" w:cs="Arial" w:eastAsia="Arial" w:hAnsi="Arial"/>
          <w:sz w:val="21"/>
          <w:szCs w:val="21"/>
          <w:color w:val="auto"/>
        </w:rPr>
        <w:t xml:space="preserve"> above, each Competitive Bid shall be irrevocable.</w:t>
      </w:r>
    </w:p>
    <w:p>
      <w:pPr>
        <w:spacing w:after="0" w:line="155" w:lineRule="exact"/>
        <w:rPr>
          <w:rFonts w:ascii="Arial" w:cs="Arial" w:eastAsia="Arial" w:hAnsi="Arial"/>
          <w:sz w:val="21"/>
          <w:szCs w:val="21"/>
          <w:color w:val="auto"/>
        </w:rPr>
      </w:pPr>
    </w:p>
    <w:p>
      <w:pPr>
        <w:jc w:val="both"/>
        <w:ind w:firstLine="1036"/>
        <w:spacing w:after="0" w:line="230" w:lineRule="auto"/>
        <w:tabs>
          <w:tab w:leader="none" w:pos="1551" w:val="left"/>
        </w:tabs>
        <w:numPr>
          <w:ilvl w:val="0"/>
          <w:numId w:val="120"/>
        </w:numPr>
        <w:rPr>
          <w:rFonts w:ascii="Arial" w:cs="Arial" w:eastAsia="Arial" w:hAnsi="Arial"/>
          <w:sz w:val="21"/>
          <w:szCs w:val="21"/>
          <w:color w:val="auto"/>
        </w:rPr>
      </w:pPr>
      <w:r>
        <w:rPr>
          <w:rFonts w:ascii="Arial" w:cs="Arial" w:eastAsia="Arial" w:hAnsi="Arial"/>
          <w:sz w:val="21"/>
          <w:szCs w:val="21"/>
          <w:color w:val="auto"/>
        </w:rPr>
        <w:t>Notice to the Borrower of Competitive Bids. Not later than 12:00 noon, Local Time, four (4) Business Days prior to the requested date of any Bid Borrowing (or five (5) Business Days in the case of any Special Notice Currency), the Administrative Agent shall notify the Borrower of the identity of each Lender that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46</w:t>
      </w:r>
    </w:p>
    <w:p>
      <w:pPr>
        <w:sectPr>
          <w:pgSz w:w="11900" w:h="16838" w:orient="portrait"/>
          <w:cols w:equalWidth="0" w:num="1">
            <w:col w:w="11200"/>
          </w:cols>
          <w:pgMar w:left="320" w:top="1152" w:right="379" w:bottom="1440" w:gutter="0" w:footer="0" w:header="0"/>
        </w:sectPr>
      </w:pPr>
    </w:p>
    <w:bookmarkStart w:id="185" w:name="page186"/>
    <w:bookmarkEnd w:id="185"/>
    <w:p>
      <w:pPr>
        <w:spacing w:after="0" w:line="239" w:lineRule="auto"/>
        <w:rPr>
          <w:sz w:val="20"/>
          <w:szCs w:val="20"/>
          <w:color w:val="auto"/>
        </w:rPr>
      </w:pPr>
      <w:r>
        <w:rPr>
          <w:rFonts w:ascii="Arial" w:cs="Arial" w:eastAsia="Arial" w:hAnsi="Arial"/>
          <w:sz w:val="21"/>
          <w:szCs w:val="21"/>
          <w:color w:val="auto"/>
        </w:rPr>
        <w:t xml:space="preserve">submitted a Competitive Bid that complies with </w:t>
      </w:r>
      <w:r>
        <w:rPr>
          <w:rFonts w:ascii="Arial" w:cs="Arial" w:eastAsia="Arial" w:hAnsi="Arial"/>
          <w:sz w:val="21"/>
          <w:szCs w:val="21"/>
          <w:u w:val="single" w:color="auto"/>
          <w:color w:val="auto"/>
        </w:rPr>
        <w:t>Section 2.03(c)</w:t>
      </w:r>
      <w:r>
        <w:rPr>
          <w:rFonts w:ascii="Arial" w:cs="Arial" w:eastAsia="Arial" w:hAnsi="Arial"/>
          <w:sz w:val="21"/>
          <w:szCs w:val="21"/>
          <w:color w:val="auto"/>
        </w:rPr>
        <w:t xml:space="preserve"> and of the terms of the offers contained in each such Competitive Bid.</w:t>
      </w:r>
    </w:p>
    <w:p>
      <w:pPr>
        <w:spacing w:after="0" w:line="155" w:lineRule="exact"/>
        <w:rPr>
          <w:sz w:val="20"/>
          <w:szCs w:val="20"/>
          <w:color w:val="auto"/>
        </w:rPr>
      </w:pPr>
    </w:p>
    <w:p>
      <w:pPr>
        <w:jc w:val="both"/>
        <w:ind w:firstLine="1036"/>
        <w:spacing w:after="0" w:line="231" w:lineRule="auto"/>
        <w:tabs>
          <w:tab w:leader="none" w:pos="1653" w:val="left"/>
        </w:tabs>
        <w:numPr>
          <w:ilvl w:val="0"/>
          <w:numId w:val="121"/>
        </w:numPr>
        <w:rPr>
          <w:rFonts w:ascii="Arial" w:cs="Arial" w:eastAsia="Arial" w:hAnsi="Arial"/>
          <w:sz w:val="20"/>
          <w:szCs w:val="20"/>
          <w:color w:val="auto"/>
        </w:rPr>
      </w:pPr>
      <w:r>
        <w:rPr>
          <w:rFonts w:ascii="Arial" w:cs="Arial" w:eastAsia="Arial" w:hAnsi="Arial"/>
          <w:sz w:val="20"/>
          <w:szCs w:val="20"/>
          <w:u w:val="single" w:color="auto"/>
          <w:color w:val="auto"/>
        </w:rPr>
        <w:t>Acceptance of Competitive Bids</w:t>
      </w:r>
      <w:r>
        <w:rPr>
          <w:rFonts w:ascii="Arial" w:cs="Arial" w:eastAsia="Arial" w:hAnsi="Arial"/>
          <w:sz w:val="20"/>
          <w:szCs w:val="20"/>
          <w:color w:val="auto"/>
        </w:rPr>
        <w:t xml:space="preserve">. Not later than 12:30 p.m., Local Time, four (4) Business Days prior to the requested date of any Bid Borrowing (or five (5) Business Days in the case of any Special Notice Currency), the Borrower shall notify the Administrative Agent of its acceptance or rejection of the offers notified to it pursuant to </w:t>
      </w:r>
      <w:r>
        <w:rPr>
          <w:rFonts w:ascii="Arial" w:cs="Arial" w:eastAsia="Arial" w:hAnsi="Arial"/>
          <w:sz w:val="20"/>
          <w:szCs w:val="20"/>
          <w:u w:val="single" w:color="auto"/>
          <w:color w:val="auto"/>
        </w:rPr>
        <w:t>Section 2.03(d)</w:t>
      </w:r>
      <w:r>
        <w:rPr>
          <w:rFonts w:ascii="Arial" w:cs="Arial" w:eastAsia="Arial" w:hAnsi="Arial"/>
          <w:sz w:val="20"/>
          <w:szCs w:val="20"/>
          <w:color w:val="auto"/>
        </w:rPr>
        <w:t xml:space="preserve">. The Borrower shall be under no obligation to accept any Competitive Bid and may choose to reject all Competitive Bids. In the case of acceptance, such notice shall specify the aggregate principal amount of Competitive Bids for each Interest Period that is accepted. The Borrower may accept any Competitive Bid in whole or in part;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55" w:lineRule="exact"/>
        <w:rPr>
          <w:rFonts w:ascii="Arial" w:cs="Arial" w:eastAsia="Arial" w:hAnsi="Arial"/>
          <w:sz w:val="20"/>
          <w:szCs w:val="20"/>
          <w:color w:val="auto"/>
        </w:rPr>
      </w:pPr>
    </w:p>
    <w:p>
      <w:pPr>
        <w:ind w:left="640" w:firstLine="638"/>
        <w:spacing w:after="0" w:line="239" w:lineRule="auto"/>
        <w:tabs>
          <w:tab w:leader="none" w:pos="1912" w:val="left"/>
        </w:tabs>
        <w:numPr>
          <w:ilvl w:val="1"/>
          <w:numId w:val="121"/>
        </w:numPr>
        <w:rPr>
          <w:rFonts w:ascii="Arial" w:cs="Arial" w:eastAsia="Arial" w:hAnsi="Arial"/>
          <w:sz w:val="21"/>
          <w:szCs w:val="21"/>
          <w:color w:val="auto"/>
        </w:rPr>
      </w:pPr>
      <w:r>
        <w:rPr>
          <w:rFonts w:ascii="Arial" w:cs="Arial" w:eastAsia="Arial" w:hAnsi="Arial"/>
          <w:sz w:val="21"/>
          <w:szCs w:val="21"/>
          <w:color w:val="auto"/>
        </w:rPr>
        <w:t>the aggregate principal amount of each Bid Borrowing may not exceed the applicable amount set forth in the related Bid Request;</w:t>
      </w:r>
    </w:p>
    <w:p>
      <w:pPr>
        <w:spacing w:after="0" w:line="155" w:lineRule="exact"/>
        <w:rPr>
          <w:rFonts w:ascii="Arial" w:cs="Arial" w:eastAsia="Arial" w:hAnsi="Arial"/>
          <w:sz w:val="21"/>
          <w:szCs w:val="21"/>
          <w:color w:val="auto"/>
        </w:rPr>
      </w:pPr>
    </w:p>
    <w:p>
      <w:pPr>
        <w:ind w:left="640" w:firstLine="638"/>
        <w:spacing w:after="0" w:line="239" w:lineRule="auto"/>
        <w:tabs>
          <w:tab w:leader="none" w:pos="1912" w:val="left"/>
        </w:tabs>
        <w:numPr>
          <w:ilvl w:val="1"/>
          <w:numId w:val="121"/>
        </w:numPr>
        <w:rPr>
          <w:rFonts w:ascii="Arial" w:cs="Arial" w:eastAsia="Arial" w:hAnsi="Arial"/>
          <w:sz w:val="21"/>
          <w:szCs w:val="21"/>
          <w:color w:val="auto"/>
        </w:rPr>
      </w:pPr>
      <w:r>
        <w:rPr>
          <w:rFonts w:ascii="Arial" w:cs="Arial" w:eastAsia="Arial" w:hAnsi="Arial"/>
          <w:sz w:val="21"/>
          <w:szCs w:val="21"/>
          <w:color w:val="auto"/>
        </w:rPr>
        <w:t>the principal amount of each Bid Loan must be an aggregate amount that is an integral multiple of the Borrowing Multiple and not less than the Borrowing Minimum;</w:t>
      </w:r>
    </w:p>
    <w:p>
      <w:pPr>
        <w:spacing w:after="0" w:line="155" w:lineRule="exact"/>
        <w:rPr>
          <w:rFonts w:ascii="Arial" w:cs="Arial" w:eastAsia="Arial" w:hAnsi="Arial"/>
          <w:sz w:val="21"/>
          <w:szCs w:val="21"/>
          <w:color w:val="auto"/>
        </w:rPr>
      </w:pPr>
    </w:p>
    <w:p>
      <w:pPr>
        <w:ind w:left="1920" w:hanging="642"/>
        <w:spacing w:after="0"/>
        <w:tabs>
          <w:tab w:leader="none" w:pos="1920" w:val="left"/>
        </w:tabs>
        <w:numPr>
          <w:ilvl w:val="1"/>
          <w:numId w:val="121"/>
        </w:numPr>
        <w:rPr>
          <w:rFonts w:ascii="Arial" w:cs="Arial" w:eastAsia="Arial" w:hAnsi="Arial"/>
          <w:sz w:val="19"/>
          <w:szCs w:val="19"/>
          <w:color w:val="auto"/>
        </w:rPr>
      </w:pPr>
      <w:r>
        <w:rPr>
          <w:rFonts w:ascii="Arial" w:cs="Arial" w:eastAsia="Arial" w:hAnsi="Arial"/>
          <w:sz w:val="19"/>
          <w:szCs w:val="19"/>
          <w:color w:val="auto"/>
        </w:rPr>
        <w:t>the acceptance of offers may be made only on the basis of ascending Absolute Rates within each Interest</w:t>
      </w:r>
    </w:p>
    <w:p>
      <w:pPr>
        <w:spacing w:after="0" w:line="11"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1"/>
          <w:szCs w:val="21"/>
          <w:color w:val="auto"/>
        </w:rPr>
        <w:t>Period; and</w:t>
      </w:r>
    </w:p>
    <w:p>
      <w:pPr>
        <w:spacing w:after="0" w:line="164" w:lineRule="exact"/>
        <w:rPr>
          <w:rFonts w:ascii="Arial" w:cs="Arial" w:eastAsia="Arial" w:hAnsi="Arial"/>
          <w:sz w:val="19"/>
          <w:szCs w:val="19"/>
          <w:color w:val="auto"/>
        </w:rPr>
      </w:pPr>
    </w:p>
    <w:p>
      <w:pPr>
        <w:ind w:left="640" w:firstLine="638"/>
        <w:spacing w:after="0" w:line="239" w:lineRule="auto"/>
        <w:tabs>
          <w:tab w:leader="none" w:pos="1912" w:val="left"/>
        </w:tabs>
        <w:numPr>
          <w:ilvl w:val="1"/>
          <w:numId w:val="121"/>
        </w:numPr>
        <w:rPr>
          <w:rFonts w:ascii="Arial" w:cs="Arial" w:eastAsia="Arial" w:hAnsi="Arial"/>
          <w:sz w:val="21"/>
          <w:szCs w:val="21"/>
          <w:color w:val="auto"/>
        </w:rPr>
      </w:pPr>
      <w:r>
        <w:rPr>
          <w:rFonts w:ascii="Arial" w:cs="Arial" w:eastAsia="Arial" w:hAnsi="Arial"/>
          <w:sz w:val="21"/>
          <w:szCs w:val="21"/>
          <w:color w:val="auto"/>
        </w:rPr>
        <w:t xml:space="preserve">the Borrower may not accept any offer that is described in </w:t>
      </w:r>
      <w:r>
        <w:rPr>
          <w:rFonts w:ascii="Arial" w:cs="Arial" w:eastAsia="Arial" w:hAnsi="Arial"/>
          <w:sz w:val="21"/>
          <w:szCs w:val="21"/>
          <w:u w:val="single" w:color="auto"/>
          <w:color w:val="auto"/>
        </w:rPr>
        <w:t>Section 2.03(c)(iii)</w:t>
      </w:r>
      <w:r>
        <w:rPr>
          <w:rFonts w:ascii="Arial" w:cs="Arial" w:eastAsia="Arial" w:hAnsi="Arial"/>
          <w:sz w:val="21"/>
          <w:szCs w:val="21"/>
          <w:color w:val="auto"/>
        </w:rPr>
        <w:t xml:space="preserve"> or that otherwise fails to comply with the requirements hereof.</w:t>
      </w:r>
    </w:p>
    <w:p>
      <w:pPr>
        <w:spacing w:after="0" w:line="155" w:lineRule="exact"/>
        <w:rPr>
          <w:rFonts w:ascii="Arial" w:cs="Arial" w:eastAsia="Arial" w:hAnsi="Arial"/>
          <w:sz w:val="21"/>
          <w:szCs w:val="21"/>
          <w:color w:val="auto"/>
        </w:rPr>
      </w:pPr>
    </w:p>
    <w:p>
      <w:pPr>
        <w:jc w:val="both"/>
        <w:ind w:firstLine="1036"/>
        <w:spacing w:after="0" w:line="242" w:lineRule="auto"/>
        <w:tabs>
          <w:tab w:leader="none" w:pos="1480" w:val="left"/>
        </w:tabs>
        <w:numPr>
          <w:ilvl w:val="0"/>
          <w:numId w:val="121"/>
        </w:numPr>
        <w:rPr>
          <w:rFonts w:ascii="Arial" w:cs="Arial" w:eastAsia="Arial" w:hAnsi="Arial"/>
          <w:sz w:val="19"/>
          <w:szCs w:val="19"/>
          <w:color w:val="auto"/>
        </w:rPr>
      </w:pPr>
      <w:r>
        <w:rPr>
          <w:rFonts w:ascii="Arial" w:cs="Arial" w:eastAsia="Arial" w:hAnsi="Arial"/>
          <w:sz w:val="19"/>
          <w:szCs w:val="19"/>
          <w:u w:val="single" w:color="auto"/>
          <w:color w:val="auto"/>
        </w:rPr>
        <w:t>Procedure for Identical Bids</w:t>
      </w:r>
      <w:r>
        <w:rPr>
          <w:rFonts w:ascii="Arial" w:cs="Arial" w:eastAsia="Arial" w:hAnsi="Arial"/>
          <w:sz w:val="19"/>
          <w:szCs w:val="19"/>
          <w:color w:val="auto"/>
        </w:rPr>
        <w:t xml:space="preserve">. If two or more Lenders have submitted Competitive Bids at the same Absolute Rate for the same Interest Period, and the result of accepting all of such Competitive Bids in whole (together with any other Competitive Bids at lower Absolute Rates accepted for such Interest Period in conformity with the requirements of </w:t>
      </w:r>
      <w:r>
        <w:rPr>
          <w:rFonts w:ascii="Arial" w:cs="Arial" w:eastAsia="Arial" w:hAnsi="Arial"/>
          <w:sz w:val="19"/>
          <w:szCs w:val="19"/>
          <w:u w:val="single" w:color="auto"/>
          <w:color w:val="auto"/>
        </w:rPr>
        <w:t>Section 2.03(e)(iii)</w:t>
      </w:r>
      <w:r>
        <w:rPr>
          <w:rFonts w:ascii="Arial" w:cs="Arial" w:eastAsia="Arial" w:hAnsi="Arial"/>
          <w:sz w:val="19"/>
          <w:szCs w:val="19"/>
          <w:color w:val="auto"/>
        </w:rPr>
        <w:t>) would be to cause the aggregate outstanding principal amount of the applicable Bid Borrowing to exceed the amount specified therefor in the related Bid Request, then, unless otherwise agreed by the Borrower, the Administrative Agent and such Lenders, such Competitive Bids shall be accepted as nearly as possible in proportion to the amount offered by each such Lender in respect of such Interest Period, with such accepted amounts being rounded to the nearest whole multiple of the Borrowing Multiple.</w:t>
      </w:r>
    </w:p>
    <w:p>
      <w:pPr>
        <w:spacing w:after="0" w:line="153" w:lineRule="exact"/>
        <w:rPr>
          <w:rFonts w:ascii="Arial" w:cs="Arial" w:eastAsia="Arial" w:hAnsi="Arial"/>
          <w:sz w:val="19"/>
          <w:szCs w:val="19"/>
          <w:color w:val="auto"/>
        </w:rPr>
      </w:pPr>
    </w:p>
    <w:p>
      <w:pPr>
        <w:jc w:val="both"/>
        <w:ind w:firstLine="1036"/>
        <w:spacing w:after="0" w:line="252" w:lineRule="auto"/>
        <w:tabs>
          <w:tab w:leader="none" w:pos="1673" w:val="left"/>
        </w:tabs>
        <w:numPr>
          <w:ilvl w:val="0"/>
          <w:numId w:val="121"/>
        </w:numPr>
        <w:rPr>
          <w:rFonts w:ascii="Arial" w:cs="Arial" w:eastAsia="Arial" w:hAnsi="Arial"/>
          <w:sz w:val="19"/>
          <w:szCs w:val="19"/>
          <w:color w:val="auto"/>
        </w:rPr>
      </w:pPr>
      <w:r>
        <w:rPr>
          <w:rFonts w:ascii="Arial" w:cs="Arial" w:eastAsia="Arial" w:hAnsi="Arial"/>
          <w:sz w:val="19"/>
          <w:szCs w:val="19"/>
          <w:u w:val="single" w:color="auto"/>
          <w:color w:val="auto"/>
        </w:rPr>
        <w:t>Notice to Lenders of Acceptance or Rejection of Bids</w:t>
      </w:r>
      <w:r>
        <w:rPr>
          <w:rFonts w:ascii="Arial" w:cs="Arial" w:eastAsia="Arial" w:hAnsi="Arial"/>
          <w:sz w:val="19"/>
          <w:szCs w:val="19"/>
          <w:color w:val="auto"/>
        </w:rPr>
        <w:t xml:space="preserve">. The Administrative Agent shall promptly notify each Lender having submitted a Competitive Bid whether or not its offer has been accepted and, if its offer has been accepted, of the amount of the Bid Loan or Bid Loans to be made by it on the date of the applicable Bid Borrowing. Any Competitive Bid or portion thereof that is not accepted by the Borrower by the applicable time specified in </w:t>
      </w:r>
      <w:r>
        <w:rPr>
          <w:rFonts w:ascii="Arial" w:cs="Arial" w:eastAsia="Arial" w:hAnsi="Arial"/>
          <w:sz w:val="19"/>
          <w:szCs w:val="19"/>
          <w:u w:val="single" w:color="auto"/>
          <w:color w:val="auto"/>
        </w:rPr>
        <w:t>Section 2.03(e)</w:t>
      </w:r>
      <w:r>
        <w:rPr>
          <w:rFonts w:ascii="Arial" w:cs="Arial" w:eastAsia="Arial" w:hAnsi="Arial"/>
          <w:sz w:val="19"/>
          <w:szCs w:val="19"/>
          <w:color w:val="auto"/>
        </w:rPr>
        <w:t xml:space="preserve"> shall be deemed rejected.</w:t>
      </w:r>
    </w:p>
    <w:p>
      <w:pPr>
        <w:spacing w:after="0" w:line="142" w:lineRule="exact"/>
        <w:rPr>
          <w:rFonts w:ascii="Arial" w:cs="Arial" w:eastAsia="Arial" w:hAnsi="Arial"/>
          <w:sz w:val="19"/>
          <w:szCs w:val="19"/>
          <w:color w:val="auto"/>
        </w:rPr>
      </w:pPr>
    </w:p>
    <w:p>
      <w:pPr>
        <w:ind w:left="1500" w:hanging="464"/>
        <w:spacing w:after="0"/>
        <w:tabs>
          <w:tab w:leader="none" w:pos="1500" w:val="left"/>
        </w:tabs>
        <w:numPr>
          <w:ilvl w:val="0"/>
          <w:numId w:val="121"/>
        </w:numPr>
        <w:rPr>
          <w:rFonts w:ascii="Arial" w:cs="Arial" w:eastAsia="Arial" w:hAnsi="Arial"/>
          <w:sz w:val="21"/>
          <w:szCs w:val="21"/>
          <w:color w:val="auto"/>
        </w:rPr>
      </w:pPr>
      <w:r>
        <w:rPr>
          <w:rFonts w:ascii="Arial" w:cs="Arial" w:eastAsia="Arial" w:hAnsi="Arial"/>
          <w:sz w:val="21"/>
          <w:szCs w:val="21"/>
          <w:u w:val="single" w:color="auto"/>
          <w:color w:val="auto"/>
        </w:rPr>
        <w:t>[Intentionally Omitted]</w:t>
      </w:r>
      <w:r>
        <w:rPr>
          <w:rFonts w:ascii="Arial" w:cs="Arial" w:eastAsia="Arial" w:hAnsi="Arial"/>
          <w:sz w:val="21"/>
          <w:szCs w:val="21"/>
          <w:color w:val="auto"/>
        </w:rPr>
        <w:t>.</w:t>
      </w:r>
    </w:p>
    <w:p>
      <w:pPr>
        <w:spacing w:after="0" w:line="182" w:lineRule="exact"/>
        <w:rPr>
          <w:rFonts w:ascii="Arial" w:cs="Arial" w:eastAsia="Arial" w:hAnsi="Arial"/>
          <w:sz w:val="21"/>
          <w:szCs w:val="21"/>
          <w:color w:val="auto"/>
        </w:rPr>
      </w:pPr>
    </w:p>
    <w:p>
      <w:pPr>
        <w:jc w:val="both"/>
        <w:ind w:firstLine="1036"/>
        <w:spacing w:after="0" w:line="252" w:lineRule="auto"/>
        <w:tabs>
          <w:tab w:leader="none" w:pos="1465" w:val="left"/>
        </w:tabs>
        <w:numPr>
          <w:ilvl w:val="0"/>
          <w:numId w:val="121"/>
        </w:numPr>
        <w:rPr>
          <w:rFonts w:ascii="Arial" w:cs="Arial" w:eastAsia="Arial" w:hAnsi="Arial"/>
          <w:sz w:val="19"/>
          <w:szCs w:val="19"/>
          <w:color w:val="auto"/>
        </w:rPr>
      </w:pPr>
      <w:r>
        <w:rPr>
          <w:rFonts w:ascii="Arial" w:cs="Arial" w:eastAsia="Arial" w:hAnsi="Arial"/>
          <w:sz w:val="19"/>
          <w:szCs w:val="19"/>
          <w:u w:val="single" w:color="auto"/>
          <w:color w:val="auto"/>
        </w:rPr>
        <w:t>Funding of Bid Loans</w:t>
      </w:r>
      <w:r>
        <w:rPr>
          <w:rFonts w:ascii="Arial" w:cs="Arial" w:eastAsia="Arial" w:hAnsi="Arial"/>
          <w:sz w:val="19"/>
          <w:szCs w:val="19"/>
          <w:color w:val="auto"/>
        </w:rPr>
        <w:t xml:space="preserve">. Each Lender that has received notice pursuant to </w:t>
      </w:r>
      <w:r>
        <w:rPr>
          <w:rFonts w:ascii="Arial" w:cs="Arial" w:eastAsia="Arial" w:hAnsi="Arial"/>
          <w:sz w:val="19"/>
          <w:szCs w:val="19"/>
          <w:u w:val="single" w:color="auto"/>
          <w:color w:val="auto"/>
        </w:rPr>
        <w:t>Section 2.03(g)</w:t>
      </w:r>
      <w:r>
        <w:rPr>
          <w:rFonts w:ascii="Arial" w:cs="Arial" w:eastAsia="Arial" w:hAnsi="Arial"/>
          <w:sz w:val="19"/>
          <w:szCs w:val="19"/>
          <w:color w:val="auto"/>
        </w:rPr>
        <w:t xml:space="preserve"> that all or a portion of its Competitive Bid has been accepted by the Borrower shall make the amount of its Bid Loan(s) available to the Administrative Agent in Same Day Funds for the applicable Discretionary Alternative Currency by wire transfer to the account of the Administrative Agent most recently designated by it for such purpose by notice to the Lenders, not later than 2:00 p.m., Local Time, on the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47</w:t>
      </w:r>
    </w:p>
    <w:p>
      <w:pPr>
        <w:sectPr>
          <w:pgSz w:w="11900" w:h="16838" w:orient="portrait"/>
          <w:cols w:equalWidth="0" w:num="1">
            <w:col w:w="11200"/>
          </w:cols>
          <w:pgMar w:left="320" w:top="1152" w:right="379" w:bottom="1440" w:gutter="0" w:footer="0" w:header="0"/>
        </w:sectPr>
      </w:pPr>
    </w:p>
    <w:bookmarkStart w:id="186" w:name="page187"/>
    <w:bookmarkEnd w:id="186"/>
    <w:p>
      <w:pPr>
        <w:jc w:val="both"/>
        <w:spacing w:after="0" w:line="225" w:lineRule="auto"/>
        <w:rPr>
          <w:sz w:val="20"/>
          <w:szCs w:val="20"/>
          <w:color w:val="auto"/>
        </w:rPr>
      </w:pPr>
      <w:r>
        <w:rPr>
          <w:rFonts w:ascii="Arial" w:cs="Arial" w:eastAsia="Arial" w:hAnsi="Arial"/>
          <w:sz w:val="21"/>
          <w:szCs w:val="21"/>
          <w:color w:val="auto"/>
        </w:rPr>
        <w:t>of the requested Bid Borrowing. The Administrative Agent shall make all funds so received available to the Borrower in Same Day Funds for the applicable Discretionary Alternative Currency by wire transfer to the account of the Borrower specified by it to the Administrative Agent (which account shall be located in a jurisdiction reasonably acceptable to the Administrative Agent) not later than 3:00 p.m., Local Time, on the date of the requested Bid Borrowing.</w:t>
      </w:r>
    </w:p>
    <w:p>
      <w:pPr>
        <w:spacing w:after="0" w:line="154" w:lineRule="exact"/>
        <w:rPr>
          <w:sz w:val="20"/>
          <w:szCs w:val="20"/>
          <w:color w:val="auto"/>
        </w:rPr>
      </w:pPr>
    </w:p>
    <w:p>
      <w:pPr>
        <w:jc w:val="both"/>
        <w:ind w:firstLine="1036"/>
        <w:spacing w:after="0" w:line="242" w:lineRule="auto"/>
        <w:tabs>
          <w:tab w:leader="none" w:pos="1527" w:val="left"/>
        </w:tabs>
        <w:numPr>
          <w:ilvl w:val="0"/>
          <w:numId w:val="122"/>
        </w:numPr>
        <w:rPr>
          <w:rFonts w:ascii="Arial" w:cs="Arial" w:eastAsia="Arial" w:hAnsi="Arial"/>
          <w:sz w:val="20"/>
          <w:szCs w:val="20"/>
          <w:color w:val="auto"/>
        </w:rPr>
      </w:pPr>
      <w:r>
        <w:rPr>
          <w:rFonts w:ascii="Arial" w:cs="Arial" w:eastAsia="Arial" w:hAnsi="Arial"/>
          <w:sz w:val="20"/>
          <w:szCs w:val="20"/>
          <w:u w:val="single" w:color="auto"/>
          <w:color w:val="auto"/>
        </w:rPr>
        <w:t>Notice of Range of Bids</w:t>
      </w:r>
      <w:r>
        <w:rPr>
          <w:rFonts w:ascii="Arial" w:cs="Arial" w:eastAsia="Arial" w:hAnsi="Arial"/>
          <w:sz w:val="20"/>
          <w:szCs w:val="20"/>
          <w:color w:val="auto"/>
        </w:rPr>
        <w:t xml:space="preserve">. After each Competitive Bid auction pursuant to this </w:t>
      </w:r>
      <w:r>
        <w:rPr>
          <w:rFonts w:ascii="Arial" w:cs="Arial" w:eastAsia="Arial" w:hAnsi="Arial"/>
          <w:sz w:val="20"/>
          <w:szCs w:val="20"/>
          <w:u w:val="single" w:color="auto"/>
          <w:color w:val="auto"/>
        </w:rPr>
        <w:t>Section 2.03</w:t>
      </w:r>
      <w:r>
        <w:rPr>
          <w:rFonts w:ascii="Arial" w:cs="Arial" w:eastAsia="Arial" w:hAnsi="Arial"/>
          <w:sz w:val="20"/>
          <w:szCs w:val="20"/>
          <w:color w:val="auto"/>
        </w:rPr>
        <w:t>, the Administrative Agent shall notify each Lender that submitted a Competitive Bid in such auction of the ranges of bids submitted (without the bidder’s name) and accepted for each Bid Loan and the aggregate amount of each Bid Borrowing.</w:t>
      </w:r>
    </w:p>
    <w:p>
      <w:pPr>
        <w:spacing w:after="0" w:line="152" w:lineRule="exact"/>
        <w:rPr>
          <w:sz w:val="20"/>
          <w:szCs w:val="20"/>
          <w:color w:val="auto"/>
        </w:rPr>
      </w:pPr>
    </w:p>
    <w:p>
      <w:pPr>
        <w:jc w:val="both"/>
        <w:ind w:firstLine="954"/>
        <w:spacing w:after="0" w:line="236" w:lineRule="auto"/>
        <w:rPr>
          <w:sz w:val="20"/>
          <w:szCs w:val="20"/>
          <w:color w:val="auto"/>
        </w:rPr>
      </w:pPr>
      <w:r>
        <w:rPr>
          <w:rFonts w:ascii="Arial" w:cs="Arial" w:eastAsia="Arial" w:hAnsi="Arial"/>
          <w:sz w:val="19"/>
          <w:szCs w:val="19"/>
          <w:color w:val="auto"/>
        </w:rPr>
        <w:t xml:space="preserve">Section 2.04 </w:t>
      </w:r>
      <w:r>
        <w:rPr>
          <w:rFonts w:ascii="Arial" w:cs="Arial" w:eastAsia="Arial" w:hAnsi="Arial"/>
          <w:sz w:val="19"/>
          <w:szCs w:val="19"/>
          <w:u w:val="single" w:color="auto"/>
          <w:color w:val="auto"/>
        </w:rPr>
        <w:t>Letters of Credit</w:t>
      </w:r>
      <w:r>
        <w:rPr>
          <w:rFonts w:ascii="Arial" w:cs="Arial" w:eastAsia="Arial" w:hAnsi="Arial"/>
          <w:sz w:val="19"/>
          <w:szCs w:val="19"/>
          <w:color w:val="auto"/>
        </w:rPr>
        <w:t xml:space="preserve">. (a) </w:t>
      </w:r>
      <w:r>
        <w:rPr>
          <w:rFonts w:ascii="Arial" w:cs="Arial" w:eastAsia="Arial" w:hAnsi="Arial"/>
          <w:sz w:val="19"/>
          <w:szCs w:val="19"/>
          <w:u w:val="single" w:color="auto"/>
          <w:color w:val="auto"/>
        </w:rPr>
        <w:t>The Letter of Credit Commitment</w:t>
      </w:r>
      <w:r>
        <w:rPr>
          <w:rFonts w:ascii="Arial" w:cs="Arial" w:eastAsia="Arial" w:hAnsi="Arial"/>
          <w:sz w:val="19"/>
          <w:szCs w:val="19"/>
          <w:color w:val="auto"/>
        </w:rPr>
        <w:t xml:space="preserve">. (i) Subject to the terms and conditions set forth herein, each L/C Issuer agrees, in reliance upon the agreements of the Lenders set forth in this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 (1) from time to time on any Business Day during the period from the Effective Date until the Letter of Credit Expiration Date, to issue Letters of Credit denominated in US Dollars or in one or more Alternative Currencies (but in the case of any Alternative Currency, only if such Alternative Currency shall have been approved by such L/C Issuer as provided in </w:t>
      </w:r>
      <w:r>
        <w:rPr>
          <w:rFonts w:ascii="Arial" w:cs="Arial" w:eastAsia="Arial" w:hAnsi="Arial"/>
          <w:sz w:val="19"/>
          <w:szCs w:val="19"/>
          <w:u w:val="single" w:color="auto"/>
          <w:color w:val="auto"/>
        </w:rPr>
        <w:t>Section 1.05</w:t>
      </w:r>
      <w:r>
        <w:rPr>
          <w:rFonts w:ascii="Arial" w:cs="Arial" w:eastAsia="Arial" w:hAnsi="Arial"/>
          <w:sz w:val="19"/>
          <w:szCs w:val="19"/>
          <w:color w:val="auto"/>
        </w:rPr>
        <w:t xml:space="preserve">) for the account of the Borrower or, so long as the Borrower is a joint and several co-applicant with respect thereto, any other Subsidiary of the Borrower, and to amend Letters of Credit previously issued by it, in accordance with </w:t>
      </w:r>
      <w:r>
        <w:rPr>
          <w:rFonts w:ascii="Arial" w:cs="Arial" w:eastAsia="Arial" w:hAnsi="Arial"/>
          <w:sz w:val="19"/>
          <w:szCs w:val="19"/>
          <w:u w:val="single" w:color="auto"/>
          <w:color w:val="auto"/>
        </w:rPr>
        <w:t>Section 2.04(b)</w:t>
      </w:r>
      <w:r>
        <w:rPr>
          <w:rFonts w:ascii="Arial" w:cs="Arial" w:eastAsia="Arial" w:hAnsi="Arial"/>
          <w:sz w:val="19"/>
          <w:szCs w:val="19"/>
          <w:color w:val="auto"/>
        </w:rPr>
        <w:t xml:space="preserve">, and (2) to honor complying drawings under the Letters of Credit;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after giving effect to any L/C Credit Extension with respect to any Letter of Credit, (A) the Total Outstandings shall not exceed the Aggregate Commitments, (B) the aggregate Outstanding Amount of all Bid Loans, all Committed Loans and all L/C Obligations denominated in Alternative Currencies or Discretionary Alternative Currencies shall not exceed the Alternative Currency Sublimit, (C) the aggregate Outstanding Amount of the Committed Loans of any Lender, plus such Lender’s Applicable Percentage of the Outstanding Amount of all L/C Obligations shall not exceed such Lender’s Commitment, (D) the Outstanding Amount of the L/C Obligations attributable to Letters of Credit issued by any L/C Issuer will not exceed the Letter of Credit Commitment of such L/C Issuer and (E) the Outstanding Amount of the L/C Obligations shall not exceed the total Letter of Credit Commitments. Each request by the Borrower for any L/C Credit Extension will be deemed to be a representation by the Borrower that the L/C Credit Extension so requested complies with the conditions set forth in the proviso to the preceding sentence. Within the foregoing limits, and subject to the terms and conditions hereof, the ability to obtain Letters of Credit will be fully revolving, and accordingly, during the foregoing period, Letters of Credit may be obtained to replace Letters of Credit that have expired or that have been drawn upon and reimbursed. All Existing Letters of Credit shall be deemed to have been issued pursuant hereto, and from and after the Effective Date shall be subject to and governed by the terms and conditions hereof.</w:t>
      </w:r>
    </w:p>
    <w:p>
      <w:pPr>
        <w:spacing w:after="0" w:line="155" w:lineRule="exact"/>
        <w:rPr>
          <w:sz w:val="20"/>
          <w:szCs w:val="20"/>
          <w:color w:val="auto"/>
        </w:rPr>
      </w:pPr>
    </w:p>
    <w:p>
      <w:pPr>
        <w:ind w:left="1280" w:hanging="320"/>
        <w:spacing w:after="0"/>
        <w:tabs>
          <w:tab w:leader="none" w:pos="1280" w:val="left"/>
        </w:tabs>
        <w:numPr>
          <w:ilvl w:val="0"/>
          <w:numId w:val="123"/>
        </w:numPr>
        <w:rPr>
          <w:rFonts w:ascii="Arial" w:cs="Arial" w:eastAsia="Arial" w:hAnsi="Arial"/>
          <w:sz w:val="21"/>
          <w:szCs w:val="21"/>
          <w:color w:val="auto"/>
        </w:rPr>
      </w:pPr>
      <w:r>
        <w:rPr>
          <w:rFonts w:ascii="Arial" w:cs="Arial" w:eastAsia="Arial" w:hAnsi="Arial"/>
          <w:sz w:val="21"/>
          <w:szCs w:val="21"/>
          <w:color w:val="auto"/>
        </w:rPr>
        <w:t>No L/C Issuer will issue any Letter of Credit (other than an Existing Letter of Credit) if:</w:t>
      </w:r>
    </w:p>
    <w:p>
      <w:pPr>
        <w:spacing w:after="0" w:line="182" w:lineRule="exact"/>
        <w:rPr>
          <w:rFonts w:ascii="Arial" w:cs="Arial" w:eastAsia="Arial" w:hAnsi="Arial"/>
          <w:sz w:val="21"/>
          <w:szCs w:val="21"/>
          <w:color w:val="auto"/>
        </w:rPr>
      </w:pPr>
    </w:p>
    <w:p>
      <w:pPr>
        <w:jc w:val="both"/>
        <w:ind w:left="1280" w:firstLine="643"/>
        <w:spacing w:after="0" w:line="225" w:lineRule="auto"/>
        <w:tabs>
          <w:tab w:leader="none" w:pos="2544" w:val="left"/>
        </w:tabs>
        <w:numPr>
          <w:ilvl w:val="1"/>
          <w:numId w:val="123"/>
        </w:numPr>
        <w:rPr>
          <w:rFonts w:ascii="Arial" w:cs="Arial" w:eastAsia="Arial" w:hAnsi="Arial"/>
          <w:sz w:val="21"/>
          <w:szCs w:val="21"/>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Section 2.04(b)(iii)</w:t>
      </w:r>
      <w:r>
        <w:rPr>
          <w:rFonts w:ascii="Arial" w:cs="Arial" w:eastAsia="Arial" w:hAnsi="Arial"/>
          <w:sz w:val="21"/>
          <w:szCs w:val="21"/>
          <w:color w:val="auto"/>
        </w:rPr>
        <w:t>, the expiry date of such requested Letter of Credit would occur more than twelve (12) months after the date of issuance or last extension thereof, unless the Required Lenders have approved such expiry date, such Letter of Credit is Cash Collateralized or a back-stop letter of credit issued by a bank or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48</w:t>
      </w:r>
    </w:p>
    <w:p>
      <w:pPr>
        <w:sectPr>
          <w:pgSz w:w="11900" w:h="16838" w:orient="portrait"/>
          <w:cols w:equalWidth="0" w:num="1">
            <w:col w:w="11200"/>
          </w:cols>
          <w:pgMar w:left="320" w:top="1152" w:right="379" w:bottom="1440" w:gutter="0" w:footer="0" w:header="0"/>
        </w:sectPr>
      </w:pPr>
    </w:p>
    <w:bookmarkStart w:id="187" w:name="page188"/>
    <w:bookmarkEnd w:id="187"/>
    <w:p>
      <w:pPr>
        <w:ind w:left="320"/>
        <w:spacing w:after="0"/>
        <w:rPr>
          <w:sz w:val="20"/>
          <w:szCs w:val="20"/>
          <w:color w:val="auto"/>
        </w:rPr>
      </w:pPr>
      <w:r>
        <w:rPr>
          <w:rFonts w:ascii="Arial" w:cs="Arial" w:eastAsia="Arial" w:hAnsi="Arial"/>
          <w:sz w:val="19"/>
          <w:szCs w:val="19"/>
          <w:color w:val="auto"/>
        </w:rPr>
        <w:t>institution reasonably acceptable to the Administrative Agent and the applicable L/C Issuer is provided therefor; or</w:t>
      </w:r>
    </w:p>
    <w:p>
      <w:pPr>
        <w:spacing w:after="0" w:line="206" w:lineRule="exact"/>
        <w:rPr>
          <w:sz w:val="20"/>
          <w:szCs w:val="20"/>
          <w:color w:val="auto"/>
        </w:rPr>
      </w:pPr>
    </w:p>
    <w:p>
      <w:pPr>
        <w:ind w:left="320" w:firstLine="634"/>
        <w:spacing w:after="0" w:line="239" w:lineRule="auto"/>
        <w:tabs>
          <w:tab w:leader="none" w:pos="1592" w:val="left"/>
        </w:tabs>
        <w:numPr>
          <w:ilvl w:val="1"/>
          <w:numId w:val="124"/>
        </w:numPr>
        <w:rPr>
          <w:rFonts w:ascii="Arial" w:cs="Arial" w:eastAsia="Arial" w:hAnsi="Arial"/>
          <w:sz w:val="21"/>
          <w:szCs w:val="21"/>
          <w:color w:val="auto"/>
        </w:rPr>
      </w:pPr>
      <w:r>
        <w:rPr>
          <w:rFonts w:ascii="Arial" w:cs="Arial" w:eastAsia="Arial" w:hAnsi="Arial"/>
          <w:sz w:val="21"/>
          <w:szCs w:val="21"/>
          <w:color w:val="auto"/>
        </w:rPr>
        <w:t>the expiry date of such requested Letter of Credit would occur after the Letter of Credit Expiration Date, unless all the Lenders have approved such expiry date.</w:t>
      </w:r>
    </w:p>
    <w:p>
      <w:pPr>
        <w:spacing w:after="0" w:line="155" w:lineRule="exact"/>
        <w:rPr>
          <w:rFonts w:ascii="Arial" w:cs="Arial" w:eastAsia="Arial" w:hAnsi="Arial"/>
          <w:sz w:val="21"/>
          <w:szCs w:val="21"/>
          <w:color w:val="auto"/>
        </w:rPr>
      </w:pPr>
    </w:p>
    <w:p>
      <w:pPr>
        <w:ind w:left="540" w:hanging="540"/>
        <w:spacing w:after="0"/>
        <w:tabs>
          <w:tab w:leader="none" w:pos="540" w:val="left"/>
        </w:tabs>
        <w:numPr>
          <w:ilvl w:val="0"/>
          <w:numId w:val="125"/>
        </w:numPr>
        <w:rPr>
          <w:rFonts w:ascii="Arial" w:cs="Arial" w:eastAsia="Arial" w:hAnsi="Arial"/>
          <w:sz w:val="21"/>
          <w:szCs w:val="21"/>
          <w:color w:val="auto"/>
        </w:rPr>
      </w:pPr>
      <w:r>
        <w:rPr>
          <w:rFonts w:ascii="Arial" w:cs="Arial" w:eastAsia="Arial" w:hAnsi="Arial"/>
          <w:sz w:val="21"/>
          <w:szCs w:val="21"/>
          <w:color w:val="auto"/>
        </w:rPr>
        <w:t>No L/C Issuer will be under any obligation to issue any Letter of Credit if:</w:t>
      </w:r>
    </w:p>
    <w:p>
      <w:pPr>
        <w:spacing w:after="0" w:line="182" w:lineRule="exact"/>
        <w:rPr>
          <w:rFonts w:ascii="Arial" w:cs="Arial" w:eastAsia="Arial" w:hAnsi="Arial"/>
          <w:sz w:val="21"/>
          <w:szCs w:val="21"/>
          <w:color w:val="auto"/>
        </w:rPr>
      </w:pPr>
    </w:p>
    <w:p>
      <w:pPr>
        <w:jc w:val="both"/>
        <w:ind w:left="320" w:firstLine="634"/>
        <w:spacing w:after="0" w:line="217" w:lineRule="auto"/>
        <w:tabs>
          <w:tab w:leader="none" w:pos="1592" w:val="left"/>
        </w:tabs>
        <w:numPr>
          <w:ilvl w:val="1"/>
          <w:numId w:val="125"/>
        </w:numPr>
        <w:rPr>
          <w:rFonts w:ascii="Arial" w:cs="Arial" w:eastAsia="Arial" w:hAnsi="Arial"/>
          <w:sz w:val="21"/>
          <w:szCs w:val="21"/>
          <w:color w:val="auto"/>
        </w:rPr>
      </w:pPr>
      <w:r>
        <w:rPr>
          <w:rFonts w:ascii="Arial" w:cs="Arial" w:eastAsia="Arial" w:hAnsi="Arial"/>
          <w:sz w:val="21"/>
          <w:szCs w:val="21"/>
          <w:color w:val="auto"/>
        </w:rPr>
        <w:t>any order, judgment or decree of any Governmental Authority or arbitrator shall by its terms purport to enjoin or restrain such L/C Issuer from issuing such Letter of Credit, or any Law applicable to such L/C Issuer or any request or directive (whether or not having the force of law) from any Governmental Authority with jurisdiction over such L/C Issuer shall prohibit, or request that such L/C Issuer refrain from, the issuance of letters of credit generally or such Letter of Credit in particular or shall impose upon such L/C Issuer with respect to the Letter of Credit any restriction, reserve or capital requirement (for which such L/C Issuer is not otherwise compensated hereunder) not in effect on the Effective Date, or shall impose upon such L/C Issuer any unreimbursed loss, cost or expense which was not applicable on the Effective Date and which such L/C Issuer in good faith deems material to it;</w:t>
      </w:r>
    </w:p>
    <w:p>
      <w:pPr>
        <w:spacing w:after="0" w:line="154" w:lineRule="exact"/>
        <w:rPr>
          <w:rFonts w:ascii="Arial" w:cs="Arial" w:eastAsia="Arial" w:hAnsi="Arial"/>
          <w:sz w:val="21"/>
          <w:szCs w:val="21"/>
          <w:color w:val="auto"/>
        </w:rPr>
      </w:pPr>
    </w:p>
    <w:p>
      <w:pPr>
        <w:ind w:left="320" w:firstLine="634"/>
        <w:spacing w:after="0" w:line="263" w:lineRule="auto"/>
        <w:tabs>
          <w:tab w:leader="none" w:pos="1592" w:val="left"/>
        </w:tabs>
        <w:numPr>
          <w:ilvl w:val="1"/>
          <w:numId w:val="125"/>
        </w:numPr>
        <w:rPr>
          <w:rFonts w:ascii="Arial" w:cs="Arial" w:eastAsia="Arial" w:hAnsi="Arial"/>
          <w:sz w:val="20"/>
          <w:szCs w:val="20"/>
          <w:color w:val="auto"/>
        </w:rPr>
      </w:pPr>
      <w:r>
        <w:rPr>
          <w:rFonts w:ascii="Arial" w:cs="Arial" w:eastAsia="Arial" w:hAnsi="Arial"/>
          <w:sz w:val="20"/>
          <w:szCs w:val="20"/>
          <w:color w:val="auto"/>
        </w:rPr>
        <w:t>the issuance of the Letter of Credit would violate one or more policies of such L/C Issuer applicable to letters of credit issued to customers of such L/C Issuer that are similarly situated to the Borrower;</w:t>
      </w:r>
    </w:p>
    <w:p>
      <w:pPr>
        <w:spacing w:after="0" w:line="131" w:lineRule="exact"/>
        <w:rPr>
          <w:rFonts w:ascii="Arial" w:cs="Arial" w:eastAsia="Arial" w:hAnsi="Arial"/>
          <w:sz w:val="20"/>
          <w:szCs w:val="20"/>
          <w:color w:val="auto"/>
        </w:rPr>
      </w:pPr>
    </w:p>
    <w:p>
      <w:pPr>
        <w:ind w:left="1600" w:hanging="646"/>
        <w:spacing w:after="0"/>
        <w:tabs>
          <w:tab w:leader="none" w:pos="1600" w:val="left"/>
        </w:tabs>
        <w:numPr>
          <w:ilvl w:val="1"/>
          <w:numId w:val="125"/>
        </w:numPr>
        <w:rPr>
          <w:rFonts w:ascii="Arial" w:cs="Arial" w:eastAsia="Arial" w:hAnsi="Arial"/>
          <w:sz w:val="21"/>
          <w:szCs w:val="21"/>
          <w:color w:val="auto"/>
        </w:rPr>
      </w:pPr>
      <w:r>
        <w:rPr>
          <w:rFonts w:ascii="Arial" w:cs="Arial" w:eastAsia="Arial" w:hAnsi="Arial"/>
          <w:sz w:val="21"/>
          <w:szCs w:val="21"/>
          <w:color w:val="auto"/>
        </w:rPr>
        <w:t>except as otherwise agreed by the Administrative Agent and such</w:t>
      </w:r>
    </w:p>
    <w:p>
      <w:pPr>
        <w:spacing w:after="0" w:line="183" w:lineRule="exact"/>
        <w:rPr>
          <w:sz w:val="20"/>
          <w:szCs w:val="20"/>
          <w:color w:val="auto"/>
        </w:rPr>
      </w:pPr>
    </w:p>
    <w:p>
      <w:pPr>
        <w:ind w:left="320" w:hanging="11"/>
        <w:spacing w:after="0" w:line="263" w:lineRule="auto"/>
        <w:rPr>
          <w:sz w:val="20"/>
          <w:szCs w:val="20"/>
          <w:color w:val="auto"/>
        </w:rPr>
      </w:pPr>
      <w:r>
        <w:rPr>
          <w:rFonts w:ascii="Arial" w:cs="Arial" w:eastAsia="Arial" w:hAnsi="Arial"/>
          <w:sz w:val="20"/>
          <w:szCs w:val="20"/>
          <w:color w:val="auto"/>
        </w:rPr>
        <w:t>L/C Issuer, the Letter of Credit is in an initial stated amount the US Dollar Equivalent of which is less than $100,000, in the case of a commercial Letter of Credit, or $250,000, in the case of a standby Letter of Credit;</w:t>
      </w:r>
    </w:p>
    <w:p>
      <w:pPr>
        <w:spacing w:after="0" w:line="132" w:lineRule="exact"/>
        <w:rPr>
          <w:sz w:val="20"/>
          <w:szCs w:val="20"/>
          <w:color w:val="auto"/>
        </w:rPr>
      </w:pPr>
    </w:p>
    <w:p>
      <w:pPr>
        <w:ind w:left="320" w:firstLine="634"/>
        <w:spacing w:after="0" w:line="239" w:lineRule="auto"/>
        <w:tabs>
          <w:tab w:leader="none" w:pos="1592" w:val="left"/>
        </w:tabs>
        <w:numPr>
          <w:ilvl w:val="0"/>
          <w:numId w:val="126"/>
        </w:numPr>
        <w:rPr>
          <w:rFonts w:ascii="Arial" w:cs="Arial" w:eastAsia="Arial" w:hAnsi="Arial"/>
          <w:sz w:val="21"/>
          <w:szCs w:val="21"/>
          <w:color w:val="auto"/>
        </w:rPr>
      </w:pPr>
      <w:r>
        <w:rPr>
          <w:rFonts w:ascii="Arial" w:cs="Arial" w:eastAsia="Arial" w:hAnsi="Arial"/>
          <w:sz w:val="21"/>
          <w:szCs w:val="21"/>
          <w:color w:val="auto"/>
        </w:rPr>
        <w:t xml:space="preserve">such Letter of Credit is to be denominated in a currency other than US Dollars or an Alternative Currency that has been approved by such L/C Issuer as provided in </w:t>
      </w:r>
      <w:r>
        <w:rPr>
          <w:rFonts w:ascii="Arial" w:cs="Arial" w:eastAsia="Arial" w:hAnsi="Arial"/>
          <w:sz w:val="21"/>
          <w:szCs w:val="21"/>
          <w:u w:val="single" w:color="auto"/>
          <w:color w:val="auto"/>
        </w:rPr>
        <w:t>Section 1.05</w:t>
      </w:r>
      <w:r>
        <w:rPr>
          <w:rFonts w:ascii="Arial" w:cs="Arial" w:eastAsia="Arial" w:hAnsi="Arial"/>
          <w:sz w:val="21"/>
          <w:szCs w:val="21"/>
          <w:color w:val="auto"/>
        </w:rPr>
        <w:t>;</w:t>
      </w:r>
    </w:p>
    <w:p>
      <w:pPr>
        <w:spacing w:after="0" w:line="155" w:lineRule="exact"/>
        <w:rPr>
          <w:rFonts w:ascii="Arial" w:cs="Arial" w:eastAsia="Arial" w:hAnsi="Arial"/>
          <w:sz w:val="21"/>
          <w:szCs w:val="21"/>
          <w:color w:val="auto"/>
        </w:rPr>
      </w:pPr>
    </w:p>
    <w:p>
      <w:pPr>
        <w:ind w:left="320" w:firstLine="634"/>
        <w:spacing w:after="0" w:line="239" w:lineRule="auto"/>
        <w:tabs>
          <w:tab w:leader="none" w:pos="1592" w:val="left"/>
        </w:tabs>
        <w:numPr>
          <w:ilvl w:val="0"/>
          <w:numId w:val="126"/>
        </w:numPr>
        <w:rPr>
          <w:rFonts w:ascii="Arial" w:cs="Arial" w:eastAsia="Arial" w:hAnsi="Arial"/>
          <w:sz w:val="21"/>
          <w:szCs w:val="21"/>
          <w:color w:val="auto"/>
        </w:rPr>
      </w:pPr>
      <w:r>
        <w:rPr>
          <w:rFonts w:ascii="Arial" w:cs="Arial" w:eastAsia="Arial" w:hAnsi="Arial"/>
          <w:sz w:val="21"/>
          <w:szCs w:val="21"/>
          <w:color w:val="auto"/>
        </w:rPr>
        <w:t xml:space="preserve">such L/C Issuer does not as of the issuance date of such requested Letter of Credit issue Letters of Credit in the requested currency;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currency is not US Dollars;</w:t>
      </w:r>
    </w:p>
    <w:p>
      <w:pPr>
        <w:spacing w:after="0" w:line="155" w:lineRule="exact"/>
        <w:rPr>
          <w:rFonts w:ascii="Arial" w:cs="Arial" w:eastAsia="Arial" w:hAnsi="Arial"/>
          <w:sz w:val="21"/>
          <w:szCs w:val="21"/>
          <w:color w:val="auto"/>
        </w:rPr>
      </w:pPr>
    </w:p>
    <w:p>
      <w:pPr>
        <w:jc w:val="both"/>
        <w:ind w:left="320" w:firstLine="643"/>
        <w:spacing w:after="0" w:line="231" w:lineRule="auto"/>
        <w:tabs>
          <w:tab w:leader="none" w:pos="1583" w:val="left"/>
        </w:tabs>
        <w:numPr>
          <w:ilvl w:val="0"/>
          <w:numId w:val="126"/>
        </w:numPr>
        <w:rPr>
          <w:rFonts w:ascii="Arial" w:cs="Arial" w:eastAsia="Arial" w:hAnsi="Arial"/>
          <w:sz w:val="20"/>
          <w:szCs w:val="20"/>
          <w:color w:val="auto"/>
        </w:rPr>
      </w:pPr>
      <w:r>
        <w:rPr>
          <w:rFonts w:ascii="Arial" w:cs="Arial" w:eastAsia="Arial" w:hAnsi="Arial"/>
          <w:sz w:val="20"/>
          <w:szCs w:val="20"/>
          <w:color w:val="auto"/>
        </w:rPr>
        <w:t xml:space="preserve">any Lender is at that time a Defaulting Lender, unless such L/C Issuer has entered into arrangements, including the delivery of Cash Collateral, reasonably satisfactory to such L/C Issuer (in its sole discretion) with the Borrower or such Lender to eliminate such L/C Issuer’s actual or potential Fronting Exposure (after giving effect to </w:t>
      </w:r>
      <w:r>
        <w:rPr>
          <w:rFonts w:ascii="Arial" w:cs="Arial" w:eastAsia="Arial" w:hAnsi="Arial"/>
          <w:sz w:val="20"/>
          <w:szCs w:val="20"/>
          <w:u w:val="single" w:color="auto"/>
          <w:color w:val="auto"/>
        </w:rPr>
        <w:t>Section 2.16(a)(iv)</w:t>
      </w:r>
      <w:r>
        <w:rPr>
          <w:rFonts w:ascii="Arial" w:cs="Arial" w:eastAsia="Arial" w:hAnsi="Arial"/>
          <w:sz w:val="20"/>
          <w:szCs w:val="20"/>
          <w:color w:val="auto"/>
        </w:rPr>
        <w:t>) with respect to such Defaulting Lender arising from either the Letter of Credit then proposed to be issued or such Letter of Credit and all other L/C Obligations as to which such L/C Issuer has actual or potential Fronting Exposure, as it may elect in its sole discretion;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560"/>
        <w:spacing w:after="0"/>
        <w:rPr>
          <w:sz w:val="20"/>
          <w:szCs w:val="20"/>
          <w:color w:val="auto"/>
        </w:rPr>
      </w:pPr>
      <w:r>
        <w:rPr>
          <w:rFonts w:ascii="Arial" w:cs="Arial" w:eastAsia="Arial" w:hAnsi="Arial"/>
          <w:sz w:val="21"/>
          <w:szCs w:val="21"/>
          <w:color w:val="auto"/>
        </w:rPr>
        <w:t>49</w:t>
      </w:r>
    </w:p>
    <w:p>
      <w:pPr>
        <w:sectPr>
          <w:pgSz w:w="11900" w:h="16838" w:orient="portrait"/>
          <w:cols w:equalWidth="0" w:num="1">
            <w:col w:w="10240"/>
          </w:cols>
          <w:pgMar w:left="1280" w:top="1152" w:right="379" w:bottom="1440" w:gutter="0" w:footer="0" w:header="0"/>
        </w:sectPr>
      </w:pPr>
    </w:p>
    <w:bookmarkStart w:id="188" w:name="page189"/>
    <w:bookmarkEnd w:id="188"/>
    <w:p>
      <w:pPr>
        <w:ind w:left="1274" w:firstLine="634"/>
        <w:spacing w:after="0" w:line="263" w:lineRule="auto"/>
        <w:tabs>
          <w:tab w:leader="none" w:pos="2546" w:val="left"/>
        </w:tabs>
        <w:numPr>
          <w:ilvl w:val="3"/>
          <w:numId w:val="127"/>
        </w:numPr>
        <w:rPr>
          <w:rFonts w:ascii="Arial" w:cs="Arial" w:eastAsia="Arial" w:hAnsi="Arial"/>
          <w:sz w:val="20"/>
          <w:szCs w:val="20"/>
          <w:color w:val="auto"/>
        </w:rPr>
      </w:pPr>
      <w:r>
        <w:rPr>
          <w:rFonts w:ascii="Arial" w:cs="Arial" w:eastAsia="Arial" w:hAnsi="Arial"/>
          <w:sz w:val="20"/>
          <w:szCs w:val="20"/>
          <w:color w:val="auto"/>
        </w:rPr>
        <w:t>such Letter of Credit is not of the type approved for issuance by such L/C Issuer (with each L/C Issuer acknowledging that standby Letters of Credit are of the type approved for issuance by such L/C Issuer).</w:t>
      </w:r>
    </w:p>
    <w:p>
      <w:pPr>
        <w:spacing w:after="0" w:line="131" w:lineRule="exact"/>
        <w:rPr>
          <w:rFonts w:ascii="Arial" w:cs="Arial" w:eastAsia="Arial" w:hAnsi="Arial"/>
          <w:sz w:val="20"/>
          <w:szCs w:val="20"/>
          <w:color w:val="auto"/>
        </w:rPr>
      </w:pPr>
    </w:p>
    <w:p>
      <w:pPr>
        <w:ind w:left="-6" w:firstLine="960"/>
        <w:spacing w:after="0" w:line="239" w:lineRule="auto"/>
        <w:tabs>
          <w:tab w:leader="none" w:pos="1473" w:val="left"/>
        </w:tabs>
        <w:numPr>
          <w:ilvl w:val="1"/>
          <w:numId w:val="128"/>
        </w:numPr>
        <w:rPr>
          <w:rFonts w:ascii="Arial" w:cs="Arial" w:eastAsia="Arial" w:hAnsi="Arial"/>
          <w:sz w:val="21"/>
          <w:szCs w:val="21"/>
          <w:color w:val="auto"/>
        </w:rPr>
      </w:pPr>
      <w:r>
        <w:rPr>
          <w:rFonts w:ascii="Arial" w:cs="Arial" w:eastAsia="Arial" w:hAnsi="Arial"/>
          <w:sz w:val="21"/>
          <w:szCs w:val="21"/>
          <w:color w:val="auto"/>
        </w:rPr>
        <w:t>No L/C Issuer shall amend any Letter of Credit if such L/C Issuer would not be permitted at such time to issue the Letter of Credit in its amended form under the terms hereof.</w:t>
      </w:r>
    </w:p>
    <w:p>
      <w:pPr>
        <w:spacing w:after="0" w:line="155" w:lineRule="exact"/>
        <w:rPr>
          <w:rFonts w:ascii="Arial" w:cs="Arial" w:eastAsia="Arial" w:hAnsi="Arial"/>
          <w:sz w:val="21"/>
          <w:szCs w:val="21"/>
          <w:color w:val="auto"/>
        </w:rPr>
      </w:pPr>
    </w:p>
    <w:p>
      <w:pPr>
        <w:jc w:val="both"/>
        <w:ind w:left="-6" w:firstLine="960"/>
        <w:spacing w:after="0" w:line="230" w:lineRule="auto"/>
        <w:tabs>
          <w:tab w:leader="none" w:pos="1519" w:val="left"/>
        </w:tabs>
        <w:numPr>
          <w:ilvl w:val="1"/>
          <w:numId w:val="128"/>
        </w:numPr>
        <w:rPr>
          <w:rFonts w:ascii="Arial" w:cs="Arial" w:eastAsia="Arial" w:hAnsi="Arial"/>
          <w:sz w:val="21"/>
          <w:szCs w:val="21"/>
          <w:color w:val="auto"/>
        </w:rPr>
      </w:pPr>
      <w:r>
        <w:rPr>
          <w:rFonts w:ascii="Arial" w:cs="Arial" w:eastAsia="Arial" w:hAnsi="Arial"/>
          <w:sz w:val="21"/>
          <w:szCs w:val="21"/>
          <w:color w:val="auto"/>
        </w:rPr>
        <w:t>No L/C Issuer will be under any obligation to amend any Letter of Credit if (A) such L/C Issuer would have no obligation at such time to issue such Letter of Credit in its amended form under the terms hereof, or (B) the beneficiary of such Letter of Credit does not accept the proposed amendment to such Letter of Credit.</w:t>
      </w:r>
    </w:p>
    <w:p>
      <w:pPr>
        <w:spacing w:after="0" w:line="153" w:lineRule="exact"/>
        <w:rPr>
          <w:rFonts w:ascii="Arial" w:cs="Arial" w:eastAsia="Arial" w:hAnsi="Arial"/>
          <w:sz w:val="21"/>
          <w:szCs w:val="21"/>
          <w:color w:val="auto"/>
        </w:rPr>
      </w:pPr>
    </w:p>
    <w:p>
      <w:pPr>
        <w:jc w:val="both"/>
        <w:ind w:left="-6" w:firstLine="960"/>
        <w:spacing w:after="0" w:line="220" w:lineRule="auto"/>
        <w:tabs>
          <w:tab w:leader="none" w:pos="1586" w:val="left"/>
        </w:tabs>
        <w:numPr>
          <w:ilvl w:val="1"/>
          <w:numId w:val="128"/>
        </w:numPr>
        <w:rPr>
          <w:rFonts w:ascii="Arial" w:cs="Arial" w:eastAsia="Arial" w:hAnsi="Arial"/>
          <w:sz w:val="21"/>
          <w:szCs w:val="21"/>
          <w:color w:val="auto"/>
        </w:rPr>
      </w:pPr>
      <w:r>
        <w:rPr>
          <w:rFonts w:ascii="Arial" w:cs="Arial" w:eastAsia="Arial" w:hAnsi="Arial"/>
          <w:sz w:val="21"/>
          <w:szCs w:val="21"/>
          <w:color w:val="auto"/>
        </w:rPr>
        <w:t xml:space="preserve">Each L/C Issuer will act on behalf of the Lenders with respect to any Letters of Credit issued by it and the documents associated therewith, and each L/C Issuer will have all of the benefits and immunities (A) provided to the Administrative Agent in </w:t>
      </w:r>
      <w:r>
        <w:rPr>
          <w:rFonts w:ascii="Arial" w:cs="Arial" w:eastAsia="Arial" w:hAnsi="Arial"/>
          <w:sz w:val="21"/>
          <w:szCs w:val="21"/>
          <w:u w:val="single" w:color="auto"/>
          <w:color w:val="auto"/>
        </w:rPr>
        <w:t>Article X</w:t>
      </w:r>
      <w:r>
        <w:rPr>
          <w:rFonts w:ascii="Arial" w:cs="Arial" w:eastAsia="Arial" w:hAnsi="Arial"/>
          <w:sz w:val="21"/>
          <w:szCs w:val="21"/>
          <w:color w:val="auto"/>
        </w:rPr>
        <w:t xml:space="preserve"> with respect to any acts taken or omissions suffered by such L/C Issuer in connection with Letters of Credit issued by it or proposed to be issued by it and the Issuer Documents pertaining to such Letters of Credit as fully as if the term “Agent” as used in </w:t>
      </w:r>
      <w:r>
        <w:rPr>
          <w:rFonts w:ascii="Arial" w:cs="Arial" w:eastAsia="Arial" w:hAnsi="Arial"/>
          <w:sz w:val="21"/>
          <w:szCs w:val="21"/>
          <w:u w:val="single" w:color="auto"/>
          <w:color w:val="auto"/>
        </w:rPr>
        <w:t>Article X</w:t>
      </w:r>
      <w:r>
        <w:rPr>
          <w:rFonts w:ascii="Arial" w:cs="Arial" w:eastAsia="Arial" w:hAnsi="Arial"/>
          <w:sz w:val="21"/>
          <w:szCs w:val="21"/>
          <w:color w:val="auto"/>
        </w:rPr>
        <w:t xml:space="preserve"> included such L/C Issuer with respect to such acts or omissions, and (B) as additionally provided herein with respect to any L/C Issuer.</w:t>
      </w:r>
    </w:p>
    <w:p>
      <w:pPr>
        <w:spacing w:after="0" w:line="155" w:lineRule="exact"/>
        <w:rPr>
          <w:rFonts w:ascii="Arial" w:cs="Arial" w:eastAsia="Arial" w:hAnsi="Arial"/>
          <w:sz w:val="21"/>
          <w:szCs w:val="21"/>
          <w:color w:val="auto"/>
        </w:rPr>
      </w:pPr>
    </w:p>
    <w:p>
      <w:pPr>
        <w:ind w:left="1594" w:hanging="564"/>
        <w:spacing w:after="0"/>
        <w:tabs>
          <w:tab w:leader="none" w:pos="1594" w:val="left"/>
        </w:tabs>
        <w:numPr>
          <w:ilvl w:val="2"/>
          <w:numId w:val="128"/>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Procedures for Issuance and Amendment of Letters of Credit; AutoExtension Letters of Credit; Expiration Date</w:t>
      </w:r>
      <w:r>
        <w:rPr>
          <w:rFonts w:ascii="Arial" w:cs="Arial" w:eastAsia="Arial" w:hAnsi="Arial"/>
          <w:sz w:val="19"/>
          <w:szCs w:val="19"/>
          <w:color w:val="auto"/>
        </w:rPr>
        <w:t>.</w:t>
      </w:r>
    </w:p>
    <w:p>
      <w:pPr>
        <w:spacing w:after="0" w:line="11" w:lineRule="exact"/>
        <w:rPr>
          <w:rFonts w:ascii="Arial" w:cs="Arial" w:eastAsia="Arial" w:hAnsi="Arial"/>
          <w:sz w:val="19"/>
          <w:szCs w:val="19"/>
          <w:u w:val="single" w:color="auto"/>
          <w:color w:val="auto"/>
        </w:rPr>
      </w:pPr>
    </w:p>
    <w:p>
      <w:pPr>
        <w:jc w:val="both"/>
        <w:ind w:left="-6" w:firstLine="6"/>
        <w:spacing w:after="0" w:line="223" w:lineRule="auto"/>
        <w:tabs>
          <w:tab w:leader="none" w:pos="287" w:val="left"/>
        </w:tabs>
        <w:numPr>
          <w:ilvl w:val="0"/>
          <w:numId w:val="129"/>
        </w:numPr>
        <w:rPr>
          <w:rFonts w:ascii="Arial" w:cs="Arial" w:eastAsia="Arial" w:hAnsi="Arial"/>
          <w:sz w:val="20"/>
          <w:szCs w:val="20"/>
          <w:color w:val="auto"/>
        </w:rPr>
      </w:pPr>
      <w:r>
        <w:rPr>
          <w:rFonts w:ascii="Arial" w:cs="Arial" w:eastAsia="Arial" w:hAnsi="Arial"/>
          <w:sz w:val="20"/>
          <w:szCs w:val="20"/>
          <w:color w:val="auto"/>
        </w:rPr>
        <w:t xml:space="preserve">Each Letter of Credit will be issued or amended, as the case may be, upon the request of the Borrower delivered to the applicable L/C Issuer (with a copy to the Administrative Agent) in the form of a Letter of Credit Application, appropriately completed and signed by a Responsible Officer of the Borrower and, if applicable, any Subsidiary of the Borrower that is a co-applicant with respect thereto. In the event of an inconsistency between the terms and conditions of this Agreement and the terms and conditions of any Letter of Credit Application, the terms and conditions of this Agreement shall control. Such Letter of Credit Application must be received by hand delivery, e-mail or fax by the applicable L/C Issuer and the Administrative Agent not later than 3:00 p.m., Local Time, at least two (2) Business Days (or such later date and time as the Administrative Agent and the applicable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reasonably satisfactory to the applicable L/C Issuer: (A) the proposed issuance date of the requested Letter of Credit (which shall be a Business Day), (B) the amount and currency (which shall be US Dollars or, subject to </w:t>
      </w:r>
      <w:r>
        <w:rPr>
          <w:rFonts w:ascii="Arial" w:cs="Arial" w:eastAsia="Arial" w:hAnsi="Arial"/>
          <w:sz w:val="20"/>
          <w:szCs w:val="20"/>
          <w:u w:val="single" w:color="auto"/>
          <w:color w:val="auto"/>
        </w:rPr>
        <w:t>Section 2.04(a)(iii)(D)</w:t>
      </w:r>
      <w:r>
        <w:rPr>
          <w:rFonts w:ascii="Arial" w:cs="Arial" w:eastAsia="Arial" w:hAnsi="Arial"/>
          <w:sz w:val="20"/>
          <w:szCs w:val="20"/>
          <w:color w:val="auto"/>
        </w:rPr>
        <w:t>, an Alternative Currency)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the applicable L/C Issuer may require. In the case of a request for an amendment of any outstanding Letter of Credit, such Letter of Credit Application shall specify in form and detail reasonably satisfactory to the applicable L/C Issuer (A) the Letter of Credit to be amended, (B) the proposed date of amendment thereof (which shall be a Business Day), (C) the nature of the proposed amendment and (D) such other matters as the applicable L/C Issuer may require. Additionally, the Borrower will furnish to the applicable L/C Issuer and the Administrative Agent such other documents and information pertaining to such requested Letter of Credit issuance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3"/>
        <w:spacing w:after="0"/>
        <w:rPr>
          <w:sz w:val="20"/>
          <w:szCs w:val="20"/>
          <w:color w:val="auto"/>
        </w:rPr>
      </w:pPr>
      <w:r>
        <w:rPr>
          <w:rFonts w:ascii="Arial" w:cs="Arial" w:eastAsia="Arial" w:hAnsi="Arial"/>
          <w:sz w:val="21"/>
          <w:szCs w:val="21"/>
          <w:color w:val="auto"/>
        </w:rPr>
        <w:t>50</w:t>
      </w:r>
    </w:p>
    <w:p>
      <w:pPr>
        <w:sectPr>
          <w:pgSz w:w="11900" w:h="16838" w:orient="portrait"/>
          <w:cols w:equalWidth="0" w:num="1">
            <w:col w:w="11194"/>
          </w:cols>
          <w:pgMar w:left="326" w:top="1152" w:right="379" w:bottom="1440" w:gutter="0" w:footer="0" w:header="0"/>
        </w:sectPr>
      </w:pPr>
    </w:p>
    <w:bookmarkStart w:id="189" w:name="page190"/>
    <w:bookmarkEnd w:id="189"/>
    <w:p>
      <w:pPr>
        <w:spacing w:after="0"/>
        <w:rPr>
          <w:sz w:val="20"/>
          <w:szCs w:val="20"/>
          <w:color w:val="auto"/>
        </w:rPr>
      </w:pPr>
      <w:r>
        <w:rPr>
          <w:rFonts w:ascii="Arial" w:cs="Arial" w:eastAsia="Arial" w:hAnsi="Arial"/>
          <w:sz w:val="19"/>
          <w:szCs w:val="19"/>
          <w:color w:val="auto"/>
        </w:rPr>
        <w:t>amendment, including any Issuer Documents, as the applicable L/C Issuer or the Administrative Agent may reasonably require.</w:t>
      </w:r>
    </w:p>
    <w:p>
      <w:pPr>
        <w:spacing w:after="0" w:line="206" w:lineRule="exact"/>
        <w:rPr>
          <w:sz w:val="20"/>
          <w:szCs w:val="20"/>
          <w:color w:val="auto"/>
        </w:rPr>
      </w:pPr>
    </w:p>
    <w:p>
      <w:pPr>
        <w:jc w:val="both"/>
        <w:ind w:firstLine="960"/>
        <w:spacing w:after="0" w:line="225" w:lineRule="auto"/>
        <w:tabs>
          <w:tab w:leader="none" w:pos="1591" w:val="left"/>
        </w:tabs>
        <w:numPr>
          <w:ilvl w:val="0"/>
          <w:numId w:val="130"/>
        </w:numPr>
        <w:rPr>
          <w:rFonts w:ascii="Arial" w:cs="Arial" w:eastAsia="Arial" w:hAnsi="Arial"/>
          <w:sz w:val="20"/>
          <w:szCs w:val="20"/>
          <w:color w:val="auto"/>
        </w:rPr>
      </w:pPr>
      <w:r>
        <w:rPr>
          <w:rFonts w:ascii="Arial" w:cs="Arial" w:eastAsia="Arial" w:hAnsi="Arial"/>
          <w:sz w:val="20"/>
          <w:szCs w:val="20"/>
          <w:color w:val="auto"/>
        </w:rPr>
        <w:t xml:space="preserve">Promptly after receipt of any Letter of Credit Application, the applicable L/C Issuer will confirm with the Administrative Agent (by telephone or in writing by hand delivery, fax or e-mail) that the Administrative Agent has received a copy of such Letter of Credit Application from the Borrower and, if not, the applicable L/C Issuer will provide the Administrative Agent with a copy thereof. Unless the applicable L/C Issuer has received written notice from the Required Lenders, the Administrative Agent or the Borrower, at least one (1) Business Day prior to the requested date of issuance or amendment of the applicable Letter of Credit, that one or more applicable conditions contained in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will not then be satisfied (or waived), then, subject to the terms and conditions hereof, the applicable L/C Issuer will, on the requested date, issue a Letter of Credit for the account of the Borrower and, if applicable, any Subsidiary of the Borrower that is a co-applicant with respect thereto, or enter into the applicable amendment, as the case may be, in each case in accordance with the applicable L/C Issuer’s usual and customary business practices. Immediately upon the issuance of each Letter of Credit (or an amendment to a Letter of Credit increasing the amount thereof) and without further action on the part of the applicable L/C Issuer or the Lenders, the applicable L/C Issuer hereby grants to each Lender, and each Lender hereby irrevocably and unconditionally acquires from the applicable L/C Issuer, a risk participation in such Letter of Credit in an amount equal to such Lender’s Applicable Percentage of the amount available to be drawn under such Letter of Credit.</w:t>
      </w:r>
    </w:p>
    <w:p>
      <w:pPr>
        <w:spacing w:after="0" w:line="161" w:lineRule="exact"/>
        <w:rPr>
          <w:rFonts w:ascii="Arial" w:cs="Arial" w:eastAsia="Arial" w:hAnsi="Arial"/>
          <w:sz w:val="20"/>
          <w:szCs w:val="20"/>
          <w:color w:val="auto"/>
        </w:rPr>
      </w:pPr>
    </w:p>
    <w:p>
      <w:pPr>
        <w:jc w:val="both"/>
        <w:ind w:firstLine="960"/>
        <w:spacing w:after="0" w:line="225" w:lineRule="auto"/>
        <w:tabs>
          <w:tab w:leader="none" w:pos="1517" w:val="left"/>
        </w:tabs>
        <w:numPr>
          <w:ilvl w:val="0"/>
          <w:numId w:val="130"/>
        </w:numPr>
        <w:rPr>
          <w:rFonts w:ascii="Arial" w:cs="Arial" w:eastAsia="Arial" w:hAnsi="Arial"/>
          <w:sz w:val="20"/>
          <w:szCs w:val="20"/>
          <w:color w:val="auto"/>
        </w:rPr>
      </w:pPr>
      <w:r>
        <w:rPr>
          <w:rFonts w:ascii="Arial" w:cs="Arial" w:eastAsia="Arial" w:hAnsi="Arial"/>
          <w:sz w:val="20"/>
          <w:szCs w:val="20"/>
          <w:color w:val="auto"/>
        </w:rPr>
        <w:t>If the Borrower so requests in any applicable Letter of Credit Application, the applicable L/C Issuer shall issue a Letter of Credit that has automatic extension provisions (each, an “</w:t>
      </w:r>
      <w:r>
        <w:rPr>
          <w:rFonts w:ascii="Arial" w:cs="Arial" w:eastAsia="Arial" w:hAnsi="Arial"/>
          <w:sz w:val="20"/>
          <w:szCs w:val="20"/>
          <w:u w:val="single" w:color="auto"/>
          <w:color w:val="auto"/>
        </w:rPr>
        <w:t>Auto-Extension Letter of Credit</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Auto-Extension Letter of Credit must permit the applicable L/C Issuer to prevent any such extension at least once in each twelve-month period (commencing with the date of issuance of such Letter of Credit) by giving prior notice to the beneficiary thereof not later than a day (the “</w:t>
      </w:r>
      <w:r>
        <w:rPr>
          <w:rFonts w:ascii="Arial" w:cs="Arial" w:eastAsia="Arial" w:hAnsi="Arial"/>
          <w:sz w:val="20"/>
          <w:szCs w:val="20"/>
          <w:u w:val="single" w:color="auto"/>
          <w:color w:val="auto"/>
        </w:rPr>
        <w:t>Non-Extension Notice Date</w:t>
      </w:r>
      <w:r>
        <w:rPr>
          <w:rFonts w:ascii="Arial" w:cs="Arial" w:eastAsia="Arial" w:hAnsi="Arial"/>
          <w:sz w:val="20"/>
          <w:szCs w:val="20"/>
          <w:color w:val="auto"/>
        </w:rPr>
        <w:t xml:space="preserve">”) in each such twelve-month period to be agreed upon at the time such Letter of Credit is issued. Unless otherwise directed by the applicable L/C Issuer, the Borrower will not be required to make a specific request to the applicable L/C Issuer for any such extension. Once an Auto-Extension Letter of Credit has been issued, the Lenders will be deemed to have authorized (but may not require) the applicable L/C Issuer to permit the extension of such Letter of Credit at any time to an expiry date not later than the Letter of Credit Expiration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the applicable L/C Issuer will not permit any such extension if (A) the applicable L/C Issuer has determined that it would not be permitted, or would have no obligation, at such time to issue such Letter of Credit in its revised form (as extended) under the terms hereof (by reason of the provisions of </w:t>
      </w:r>
      <w:r>
        <w:rPr>
          <w:rFonts w:ascii="Arial" w:cs="Arial" w:eastAsia="Arial" w:hAnsi="Arial"/>
          <w:sz w:val="20"/>
          <w:szCs w:val="20"/>
          <w:u w:val="single" w:color="auto"/>
          <w:color w:val="auto"/>
        </w:rPr>
        <w:t>clause (ii)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(iii)</w:t>
      </w:r>
      <w:r>
        <w:rPr>
          <w:rFonts w:ascii="Arial" w:cs="Arial" w:eastAsia="Arial" w:hAnsi="Arial"/>
          <w:sz w:val="20"/>
          <w:szCs w:val="20"/>
          <w:color w:val="auto"/>
        </w:rPr>
        <w:t xml:space="preserve"> of </w:t>
      </w:r>
      <w:r>
        <w:rPr>
          <w:rFonts w:ascii="Arial" w:cs="Arial" w:eastAsia="Arial" w:hAnsi="Arial"/>
          <w:sz w:val="20"/>
          <w:szCs w:val="20"/>
          <w:u w:val="single" w:color="auto"/>
          <w:color w:val="auto"/>
        </w:rPr>
        <w:t>Section 2.04(a)</w:t>
      </w:r>
      <w:r>
        <w:rPr>
          <w:rFonts w:ascii="Arial" w:cs="Arial" w:eastAsia="Arial" w:hAnsi="Arial"/>
          <w:sz w:val="20"/>
          <w:szCs w:val="20"/>
          <w:color w:val="auto"/>
        </w:rPr>
        <w:t xml:space="preserve"> or otherwise), or (B) it has received written notice (by hand delivery, fax or e-mail) on or before the day that is seven (7) Business Days before the Non-Extension Notice Date (1) from the Administrative Agent that the Lenders have elected not to permit such extension or (2) from the Administrative Agent, the Required Lenders or the Borrower that one or more of the applicable conditions specified in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is not then satisfied (or waived), and in each such case directing the applicable L/C Issuer not to permit such extension.</w:t>
      </w:r>
    </w:p>
    <w:p>
      <w:pPr>
        <w:spacing w:after="0" w:line="154" w:lineRule="exact"/>
        <w:rPr>
          <w:rFonts w:ascii="Arial" w:cs="Arial" w:eastAsia="Arial" w:hAnsi="Arial"/>
          <w:sz w:val="20"/>
          <w:szCs w:val="20"/>
          <w:color w:val="auto"/>
        </w:rPr>
      </w:pPr>
    </w:p>
    <w:p>
      <w:pPr>
        <w:jc w:val="both"/>
        <w:ind w:firstLine="960"/>
        <w:spacing w:after="0" w:line="230" w:lineRule="auto"/>
        <w:tabs>
          <w:tab w:leader="none" w:pos="1477" w:val="left"/>
        </w:tabs>
        <w:numPr>
          <w:ilvl w:val="0"/>
          <w:numId w:val="130"/>
        </w:numPr>
        <w:rPr>
          <w:rFonts w:ascii="Arial" w:cs="Arial" w:eastAsia="Arial" w:hAnsi="Arial"/>
          <w:sz w:val="21"/>
          <w:szCs w:val="21"/>
          <w:color w:val="auto"/>
        </w:rPr>
      </w:pPr>
      <w:r>
        <w:rPr>
          <w:rFonts w:ascii="Arial" w:cs="Arial" w:eastAsia="Arial" w:hAnsi="Arial"/>
          <w:sz w:val="21"/>
          <w:szCs w:val="21"/>
          <w:color w:val="auto"/>
        </w:rPr>
        <w:t>Promptly after its delivery of any Letter of Credit or any amendment to a Letter of Credit to an advising bank with respect thereto or to the beneficiary thereof, the applicable L/C Issuer will also deliver to the Borrower and the Administrative Agent a true and complete copy of such Letter of Credit or amendment. The Borrower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51</w:t>
      </w:r>
    </w:p>
    <w:p>
      <w:pPr>
        <w:sectPr>
          <w:pgSz w:w="11900" w:h="16838" w:orient="portrait"/>
          <w:cols w:equalWidth="0" w:num="1">
            <w:col w:w="11200"/>
          </w:cols>
          <w:pgMar w:left="320" w:top="1152" w:right="379" w:bottom="1440" w:gutter="0" w:footer="0" w:header="0"/>
        </w:sectPr>
      </w:pPr>
    </w:p>
    <w:bookmarkStart w:id="190" w:name="page191"/>
    <w:bookmarkEnd w:id="190"/>
    <w:p>
      <w:pPr>
        <w:jc w:val="both"/>
        <w:spacing w:after="0" w:line="225" w:lineRule="auto"/>
        <w:rPr>
          <w:sz w:val="20"/>
          <w:szCs w:val="20"/>
          <w:color w:val="auto"/>
        </w:rPr>
      </w:pPr>
      <w:r>
        <w:rPr>
          <w:rFonts w:ascii="Arial" w:cs="Arial" w:eastAsia="Arial" w:hAnsi="Arial"/>
          <w:sz w:val="21"/>
          <w:szCs w:val="21"/>
          <w:color w:val="auto"/>
        </w:rPr>
        <w:t>promptly examine a copy of each Letter of Credit and each amendment thereto that is delivered to it and, in the event of any claim of noncompliance with the Borrower’s instructions or other irregularity, the Borrower will immediately notify the applicable L/C Issuer. The Borrower will be conclusively deemed to have waived any such claim against the applicable L/C Issuer and its correspondents unless such notice is given as aforesaid.</w:t>
      </w:r>
    </w:p>
    <w:p>
      <w:pPr>
        <w:spacing w:after="0" w:line="154" w:lineRule="exact"/>
        <w:rPr>
          <w:sz w:val="20"/>
          <w:szCs w:val="20"/>
          <w:color w:val="auto"/>
        </w:rPr>
      </w:pPr>
    </w:p>
    <w:p>
      <w:pPr>
        <w:jc w:val="both"/>
        <w:ind w:firstLine="1030"/>
        <w:spacing w:after="0" w:line="220" w:lineRule="auto"/>
        <w:rPr>
          <w:sz w:val="20"/>
          <w:szCs w:val="20"/>
          <w:color w:val="auto"/>
        </w:rPr>
      </w:pPr>
      <w:r>
        <w:rPr>
          <w:rFonts w:ascii="Arial" w:cs="Arial" w:eastAsia="Arial" w:hAnsi="Arial"/>
          <w:sz w:val="21"/>
          <w:szCs w:val="21"/>
          <w:color w:val="auto"/>
        </w:rPr>
        <w:t xml:space="preserve">(c ) </w:t>
      </w:r>
      <w:r>
        <w:rPr>
          <w:rFonts w:ascii="Arial" w:cs="Arial" w:eastAsia="Arial" w:hAnsi="Arial"/>
          <w:sz w:val="21"/>
          <w:szCs w:val="21"/>
          <w:u w:val="single" w:color="auto"/>
          <w:color w:val="auto"/>
        </w:rPr>
        <w:t>Drawings and Reimbursements; Funding of Participations</w:t>
      </w:r>
      <w:r>
        <w:rPr>
          <w:rFonts w:ascii="Arial" w:cs="Arial" w:eastAsia="Arial" w:hAnsi="Arial"/>
          <w:sz w:val="21"/>
          <w:szCs w:val="21"/>
          <w:color w:val="auto"/>
        </w:rPr>
        <w:t xml:space="preserve">. (i) On the Effective Date and without further action by any party hereto, each L/C Issuer shall be deemed to have granted to each Lender, and each Lender shall be deemed to have acquired from each L/C Issuer, a participation in each Existing Letter of Credit equal to such Lender’s Applicable Percentage of (A) the aggregate amount available to be drawn thereunder and (B) the aggregate unpaid amount of any outstanding reimbursement obligations in respect thereof. Such participations shall be on all the same terms and conditions as participations otherwise granted under this </w:t>
      </w:r>
      <w:r>
        <w:rPr>
          <w:rFonts w:ascii="Arial" w:cs="Arial" w:eastAsia="Arial" w:hAnsi="Arial"/>
          <w:sz w:val="21"/>
          <w:szCs w:val="21"/>
          <w:u w:val="single" w:color="auto"/>
          <w:color w:val="auto"/>
        </w:rPr>
        <w:t>Section 2.04(c)</w:t>
      </w:r>
      <w:r>
        <w:rPr>
          <w:rFonts w:ascii="Arial" w:cs="Arial" w:eastAsia="Arial" w:hAnsi="Arial"/>
          <w:sz w:val="21"/>
          <w:szCs w:val="21"/>
          <w:color w:val="auto"/>
        </w:rPr>
        <w:t>.</w:t>
      </w:r>
    </w:p>
    <w:p>
      <w:pPr>
        <w:spacing w:after="0" w:line="156" w:lineRule="exact"/>
        <w:rPr>
          <w:sz w:val="20"/>
          <w:szCs w:val="20"/>
          <w:color w:val="auto"/>
        </w:rPr>
      </w:pPr>
    </w:p>
    <w:p>
      <w:pPr>
        <w:jc w:val="both"/>
        <w:ind w:firstLine="960"/>
        <w:spacing w:after="0"/>
        <w:tabs>
          <w:tab w:leader="none" w:pos="1465" w:val="left"/>
        </w:tabs>
        <w:numPr>
          <w:ilvl w:val="0"/>
          <w:numId w:val="131"/>
        </w:numPr>
        <w:rPr>
          <w:rFonts w:ascii="Arial" w:cs="Arial" w:eastAsia="Arial" w:hAnsi="Arial"/>
          <w:sz w:val="19"/>
          <w:szCs w:val="19"/>
          <w:color w:val="auto"/>
        </w:rPr>
      </w:pPr>
      <w:r>
        <w:rPr>
          <w:rFonts w:ascii="Arial" w:cs="Arial" w:eastAsia="Arial" w:hAnsi="Arial"/>
          <w:sz w:val="19"/>
          <w:szCs w:val="19"/>
          <w:color w:val="auto"/>
        </w:rPr>
        <w:t>Upon receipt from the beneficiary of any Letter of Credit of any notice of a drawing under such Letter of Credit, the applicable L/C Issuer will notify the Borrower and the Administrative Agent promptly thereof. In the case of a Letter of Credit denominated in an Alternative Currency, the Borrower will reimburse the applicable L/C Issuer in such Alternative Currency, unless (A) such L/C Issuer (at its option) shall have specified in such notice that it will require reimbursement in US Dollars, or (B) in the absence of any such requirement for reimbursement in US Dollars, the Borrower shall have notified such L/C Issuer promptly following receipt of the notice of drawing that the Borrower will reimburse such L/C Issuer in US Dollars. In the case of any such reimbursement in US Dollars of a drawing under a Letter of Credit denominated in an Alternative Currency, the applicable L/C Issuer will notify the Borrower of the US Dollar Equivalent (which, solely for such purpose, shall be determined by the applicable L/C Issuer on the basis of the Exchange Rate determined by it as of the date of the applicable drawing) of the amount of the drawing promptly following the determination thereof. Not later than 1:00 p.m., Local Time, on the date of any payment by the applicable L/C Issuer under a Letter of Credit to be reimbursed in US Dollars, or not later than the Applicable Time on the date of any payment by the applicable L/C Issuer under a Letter of Credit to be reimbursed in an Alternative Currency (each such date, an “</w:t>
      </w:r>
      <w:r>
        <w:rPr>
          <w:rFonts w:ascii="Arial" w:cs="Arial" w:eastAsia="Arial" w:hAnsi="Arial"/>
          <w:sz w:val="19"/>
          <w:szCs w:val="19"/>
          <w:u w:val="single" w:color="auto"/>
          <w:color w:val="auto"/>
        </w:rPr>
        <w:t>Honor Date</w:t>
      </w:r>
      <w:r>
        <w:rPr>
          <w:rFonts w:ascii="Arial" w:cs="Arial" w:eastAsia="Arial" w:hAnsi="Arial"/>
          <w:sz w:val="19"/>
          <w:szCs w:val="19"/>
          <w:color w:val="auto"/>
        </w:rPr>
        <w:t>”), the Borrower will reimburse the applicable L/C Issuer through the Administrative Agent in an amount equal to the amount of such drawing and in the applicable currency (or, if notice of payment is delivered to the Borrower after 11:00 a.m., Local Time, on the Honor Date, the next Business Day). If the Borrower fails so to reimburse the applicable L/C Issuer by such time, the applicable L/C Issuer will promptly notify the Administrative Agent thereof, whereupon the Administrative Agent will promptly notify each Lender of the Honor Date, the amount of the unreimbursed drawing (expressed in US Dollars in the amount of the US Dollar Equivalent thereof in the case of a Letter of Credit denominated in an Alternative Currency) (the “</w:t>
      </w:r>
      <w:r>
        <w:rPr>
          <w:rFonts w:ascii="Arial" w:cs="Arial" w:eastAsia="Arial" w:hAnsi="Arial"/>
          <w:sz w:val="19"/>
          <w:szCs w:val="19"/>
          <w:u w:val="single" w:color="auto"/>
          <w:color w:val="auto"/>
        </w:rPr>
        <w:t>Unreimbursed</w:t>
      </w:r>
      <w:r>
        <w:rPr>
          <w:rFonts w:ascii="Arial" w:cs="Arial" w:eastAsia="Arial" w:hAnsi="Arial"/>
          <w:sz w:val="19"/>
          <w:szCs w:val="19"/>
          <w:color w:val="auto"/>
        </w:rPr>
        <w:t xml:space="preserve"> </w:t>
      </w:r>
      <w:r>
        <w:rPr>
          <w:rFonts w:ascii="Arial" w:cs="Arial" w:eastAsia="Arial" w:hAnsi="Arial"/>
          <w:sz w:val="19"/>
          <w:szCs w:val="19"/>
          <w:u w:val="single" w:color="auto"/>
          <w:color w:val="auto"/>
        </w:rPr>
        <w:t>Amount</w:t>
      </w:r>
      <w:r>
        <w:rPr>
          <w:rFonts w:ascii="Arial" w:cs="Arial" w:eastAsia="Arial" w:hAnsi="Arial"/>
          <w:sz w:val="19"/>
          <w:szCs w:val="19"/>
          <w:color w:val="auto"/>
        </w:rPr>
        <w:t xml:space="preserve">”), and the amount of such Lender’s Applicable Percentage thereof. In such event, (x) in the case of a drawing under a Letter of Credit denominated in an Alternative Currency, automatically and with no further action, the obligation of the Borrower to reimburse such drawing shall be permanently converted into an obligation to reimburse the Unreimbursed Amount and (y) the Borrower will be deemed to have requested a Committed Borrowing of Base Rate Loans to be disbursed on the Honor Date in an amount equal to the Unreimbursed Amount (without regard to the minimum and multiples specified in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for the principal amount of Base Rate Loans, but subject to the limitations set forth in </w:t>
      </w:r>
      <w:r>
        <w:rPr>
          <w:rFonts w:ascii="Arial" w:cs="Arial" w:eastAsia="Arial" w:hAnsi="Arial"/>
          <w:sz w:val="19"/>
          <w:szCs w:val="19"/>
          <w:u w:val="single" w:color="auto"/>
          <w:color w:val="auto"/>
        </w:rPr>
        <w:t>Section 2.01</w:t>
      </w:r>
      <w:r>
        <w:rPr>
          <w:rFonts w:ascii="Arial" w:cs="Arial" w:eastAsia="Arial" w:hAnsi="Arial"/>
          <w:sz w:val="19"/>
          <w:szCs w:val="19"/>
          <w:color w:val="auto"/>
        </w:rPr>
        <w:t xml:space="preserve"> and the conditions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4.02</w:t>
      </w:r>
      <w:r>
        <w:rPr>
          <w:rFonts w:ascii="Arial" w:cs="Arial" w:eastAsia="Arial" w:hAnsi="Arial"/>
          <w:sz w:val="19"/>
          <w:szCs w:val="19"/>
          <w:color w:val="auto"/>
        </w:rPr>
        <w:t xml:space="preserve"> (other than the delivery of a Committed Loan Notice)), the proceeds of which will be used to satisfy the Borrower’s reimbursement obligations. Any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52</w:t>
      </w:r>
    </w:p>
    <w:p>
      <w:pPr>
        <w:sectPr>
          <w:pgSz w:w="11900" w:h="16838" w:orient="portrait"/>
          <w:cols w:equalWidth="0" w:num="1">
            <w:col w:w="11200"/>
          </w:cols>
          <w:pgMar w:left="320" w:top="1152" w:right="379" w:bottom="1440" w:gutter="0" w:footer="0" w:header="0"/>
        </w:sectPr>
      </w:pPr>
    </w:p>
    <w:bookmarkStart w:id="191" w:name="page192"/>
    <w:bookmarkEnd w:id="191"/>
    <w:p>
      <w:pPr>
        <w:jc w:val="both"/>
        <w:spacing w:after="0" w:line="244" w:lineRule="auto"/>
        <w:rPr>
          <w:sz w:val="20"/>
          <w:szCs w:val="20"/>
          <w:color w:val="auto"/>
        </w:rPr>
      </w:pPr>
      <w:r>
        <w:rPr>
          <w:rFonts w:ascii="Arial" w:cs="Arial" w:eastAsia="Arial" w:hAnsi="Arial"/>
          <w:sz w:val="19"/>
          <w:szCs w:val="19"/>
          <w:color w:val="auto"/>
        </w:rPr>
        <w:t xml:space="preserve">given by the applicable L/C Issuer or the Administrative Agent pursuant to this </w:t>
      </w:r>
      <w:r>
        <w:rPr>
          <w:rFonts w:ascii="Arial" w:cs="Arial" w:eastAsia="Arial" w:hAnsi="Arial"/>
          <w:sz w:val="19"/>
          <w:szCs w:val="19"/>
          <w:u w:val="single" w:color="auto"/>
          <w:color w:val="auto"/>
        </w:rPr>
        <w:t>Section 2.04(c)(ii)</w:t>
      </w:r>
      <w:r>
        <w:rPr>
          <w:rFonts w:ascii="Arial" w:cs="Arial" w:eastAsia="Arial" w:hAnsi="Arial"/>
          <w:sz w:val="19"/>
          <w:szCs w:val="19"/>
          <w:color w:val="auto"/>
        </w:rPr>
        <w:t xml:space="preserve"> may be given by telephone if immediately confirmed in writing by hand delivery, fax or e-mail;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lack of such an immediate confirmation will not affect the conclusiveness or binding effect of such notice. If the Borrower’s reimbursement of, or obligation to reimburse, any amounts in any Alternative Currency would subject the Administrative Agent, the applicable L/C Issuer or any Lender to any stamp duty, ad valorem charge or similar Tax that would not be payable if such reimbursement were made or required to be made in US Dollars, the Borrower shall pay the amount of any such Tax requested by the Administrative Agent, such L/C Issuer or such Lender.</w:t>
      </w:r>
    </w:p>
    <w:p>
      <w:pPr>
        <w:spacing w:after="0" w:line="151" w:lineRule="exact"/>
        <w:rPr>
          <w:sz w:val="20"/>
          <w:szCs w:val="20"/>
          <w:color w:val="auto"/>
        </w:rPr>
      </w:pPr>
    </w:p>
    <w:p>
      <w:pPr>
        <w:jc w:val="both"/>
        <w:ind w:firstLine="960"/>
        <w:spacing w:after="0" w:line="218" w:lineRule="auto"/>
        <w:tabs>
          <w:tab w:leader="none" w:pos="1600" w:val="left"/>
        </w:tabs>
        <w:numPr>
          <w:ilvl w:val="1"/>
          <w:numId w:val="132"/>
        </w:numPr>
        <w:rPr>
          <w:rFonts w:ascii="Arial" w:cs="Arial" w:eastAsia="Arial" w:hAnsi="Arial"/>
          <w:sz w:val="21"/>
          <w:szCs w:val="21"/>
          <w:color w:val="auto"/>
        </w:rPr>
      </w:pPr>
      <w:r>
        <w:rPr>
          <w:rFonts w:ascii="Arial" w:cs="Arial" w:eastAsia="Arial" w:hAnsi="Arial"/>
          <w:sz w:val="21"/>
          <w:szCs w:val="21"/>
          <w:color w:val="auto"/>
        </w:rPr>
        <w:t xml:space="preserve">Each Lender will upon any notice from the Administrative Agent pursuant to </w:t>
      </w:r>
      <w:r>
        <w:rPr>
          <w:rFonts w:ascii="Arial" w:cs="Arial" w:eastAsia="Arial" w:hAnsi="Arial"/>
          <w:sz w:val="21"/>
          <w:szCs w:val="21"/>
          <w:u w:val="single" w:color="auto"/>
          <w:color w:val="auto"/>
        </w:rPr>
        <w:t>Section 2.04(c)(ii)</w:t>
      </w:r>
      <w:r>
        <w:rPr>
          <w:rFonts w:ascii="Arial" w:cs="Arial" w:eastAsia="Arial" w:hAnsi="Arial"/>
          <w:sz w:val="21"/>
          <w:szCs w:val="21"/>
          <w:color w:val="auto"/>
        </w:rPr>
        <w:t xml:space="preserve"> make funds available (and the Administrative Agent may apply Cash Collateral provided for this purpose) to the Administrative Agent, for the account of the applicable L/C Issuer, in US Dollars in Same Day Funds by wire transfer to the account of the Administrative Agent most recently designated for such purpose by notice to the Lenders, in an amount equal to its Applicable Percentage of the Unreimbursed Amount not later than 2:00 p.m., Local Time, on the Business Day specified in such notice by the Administrative Agent, whereupon, subject to </w:t>
      </w:r>
      <w:r>
        <w:rPr>
          <w:rFonts w:ascii="Arial" w:cs="Arial" w:eastAsia="Arial" w:hAnsi="Arial"/>
          <w:sz w:val="21"/>
          <w:szCs w:val="21"/>
          <w:u w:val="single" w:color="auto"/>
          <w:color w:val="auto"/>
        </w:rPr>
        <w:t>Section 2.04(c)(iv)</w:t>
      </w:r>
      <w:r>
        <w:rPr>
          <w:rFonts w:ascii="Arial" w:cs="Arial" w:eastAsia="Arial" w:hAnsi="Arial"/>
          <w:sz w:val="21"/>
          <w:szCs w:val="21"/>
          <w:color w:val="auto"/>
        </w:rPr>
        <w:t>, each Lender that so makes funds available will be deemed to have made a Base Rate Committed Loan to the Borrower in such amount. The Administrative Agent will remit the funds so received to the applicable L/C Issuer in US Dollars in Same Day Funds.</w:t>
      </w:r>
    </w:p>
    <w:p>
      <w:pPr>
        <w:spacing w:after="0" w:line="153" w:lineRule="exact"/>
        <w:rPr>
          <w:rFonts w:ascii="Arial" w:cs="Arial" w:eastAsia="Arial" w:hAnsi="Arial"/>
          <w:sz w:val="21"/>
          <w:szCs w:val="21"/>
          <w:color w:val="auto"/>
        </w:rPr>
      </w:pPr>
    </w:p>
    <w:p>
      <w:pPr>
        <w:jc w:val="both"/>
        <w:ind w:firstLine="960"/>
        <w:spacing w:after="0" w:line="219" w:lineRule="auto"/>
        <w:tabs>
          <w:tab w:leader="none" w:pos="1522" w:val="left"/>
        </w:tabs>
        <w:numPr>
          <w:ilvl w:val="1"/>
          <w:numId w:val="132"/>
        </w:numPr>
        <w:rPr>
          <w:rFonts w:ascii="Arial" w:cs="Arial" w:eastAsia="Arial" w:hAnsi="Arial"/>
          <w:sz w:val="21"/>
          <w:szCs w:val="21"/>
          <w:color w:val="auto"/>
        </w:rPr>
      </w:pPr>
      <w:r>
        <w:rPr>
          <w:rFonts w:ascii="Arial" w:cs="Arial" w:eastAsia="Arial" w:hAnsi="Arial"/>
          <w:sz w:val="21"/>
          <w:szCs w:val="21"/>
          <w:color w:val="auto"/>
        </w:rPr>
        <w:t xml:space="preserve">With respect to any Unreimbursed Amount that is not fully refinanced by a Committed Borrowing of Base Rate Loans because the conditions set forth in </w:t>
      </w:r>
      <w:r>
        <w:rPr>
          <w:rFonts w:ascii="Arial" w:cs="Arial" w:eastAsia="Arial" w:hAnsi="Arial"/>
          <w:sz w:val="21"/>
          <w:szCs w:val="21"/>
          <w:u w:val="single" w:color="auto"/>
          <w:color w:val="auto"/>
        </w:rPr>
        <w:t>Section 4.02</w:t>
      </w:r>
      <w:r>
        <w:rPr>
          <w:rFonts w:ascii="Arial" w:cs="Arial" w:eastAsia="Arial" w:hAnsi="Arial"/>
          <w:sz w:val="21"/>
          <w:szCs w:val="21"/>
          <w:color w:val="auto"/>
        </w:rPr>
        <w:t xml:space="preserve"> cannot be satisfied or for any other reason, the Borrower will be deemed to have incurred from the applicable L/C Issuer an L/C Borrowing in the amount of the Unreimbursed Amount that is not so refinanced, which L/C Borrowing will be due and payable on demand (together with interest). In such event, each Lender’s payment to the Administrative Agent for the account of the applicable L/C Issuer pursuant to </w:t>
      </w:r>
      <w:r>
        <w:rPr>
          <w:rFonts w:ascii="Arial" w:cs="Arial" w:eastAsia="Arial" w:hAnsi="Arial"/>
          <w:sz w:val="21"/>
          <w:szCs w:val="21"/>
          <w:u w:val="single" w:color="auto"/>
          <w:color w:val="auto"/>
        </w:rPr>
        <w:t>Section 2.04(c)(iii)</w:t>
      </w:r>
      <w:r>
        <w:rPr>
          <w:rFonts w:ascii="Arial" w:cs="Arial" w:eastAsia="Arial" w:hAnsi="Arial"/>
          <w:sz w:val="21"/>
          <w:szCs w:val="21"/>
          <w:color w:val="auto"/>
        </w:rPr>
        <w:t xml:space="preserve"> will be deemed payment in respect of its participation in such L/C Borrowing and will constitute an L/C Advance from such Lender in satisfaction of its participation obligation under this </w:t>
      </w:r>
      <w:r>
        <w:rPr>
          <w:rFonts w:ascii="Arial" w:cs="Arial" w:eastAsia="Arial" w:hAnsi="Arial"/>
          <w:sz w:val="21"/>
          <w:szCs w:val="21"/>
          <w:u w:val="single" w:color="auto"/>
          <w:color w:val="auto"/>
        </w:rPr>
        <w:t>Section 2.04</w:t>
      </w:r>
      <w:r>
        <w:rPr>
          <w:rFonts w:ascii="Arial" w:cs="Arial" w:eastAsia="Arial" w:hAnsi="Arial"/>
          <w:sz w:val="21"/>
          <w:szCs w:val="21"/>
          <w:color w:val="auto"/>
        </w:rPr>
        <w:t>.</w:t>
      </w:r>
    </w:p>
    <w:p>
      <w:pPr>
        <w:spacing w:after="0" w:line="153" w:lineRule="exact"/>
        <w:rPr>
          <w:rFonts w:ascii="Arial" w:cs="Arial" w:eastAsia="Arial" w:hAnsi="Arial"/>
          <w:sz w:val="21"/>
          <w:szCs w:val="21"/>
          <w:color w:val="auto"/>
        </w:rPr>
      </w:pPr>
    </w:p>
    <w:p>
      <w:pPr>
        <w:jc w:val="both"/>
        <w:ind w:firstLine="960"/>
        <w:spacing w:after="0" w:line="237" w:lineRule="auto"/>
        <w:tabs>
          <w:tab w:leader="none" w:pos="1643" w:val="left"/>
        </w:tabs>
        <w:numPr>
          <w:ilvl w:val="1"/>
          <w:numId w:val="132"/>
        </w:numPr>
        <w:rPr>
          <w:rFonts w:ascii="Arial" w:cs="Arial" w:eastAsia="Arial" w:hAnsi="Arial"/>
          <w:sz w:val="19"/>
          <w:szCs w:val="19"/>
          <w:color w:val="auto"/>
        </w:rPr>
      </w:pPr>
      <w:r>
        <w:rPr>
          <w:rFonts w:ascii="Arial" w:cs="Arial" w:eastAsia="Arial" w:hAnsi="Arial"/>
          <w:sz w:val="19"/>
          <w:szCs w:val="19"/>
          <w:color w:val="auto"/>
        </w:rPr>
        <w:t xml:space="preserve">If any L/C Issuer shall make any disbursement under any Letter of Credit, then, unless the Borrower shall reimburse such disbursement in accordance with this </w:t>
      </w:r>
      <w:r>
        <w:rPr>
          <w:rFonts w:ascii="Arial" w:cs="Arial" w:eastAsia="Arial" w:hAnsi="Arial"/>
          <w:sz w:val="19"/>
          <w:szCs w:val="19"/>
          <w:u w:val="single" w:color="auto"/>
          <w:color w:val="auto"/>
        </w:rPr>
        <w:t>Section 2.04(c)</w:t>
      </w:r>
      <w:r>
        <w:rPr>
          <w:rFonts w:ascii="Arial" w:cs="Arial" w:eastAsia="Arial" w:hAnsi="Arial"/>
          <w:sz w:val="19"/>
          <w:szCs w:val="19"/>
          <w:color w:val="auto"/>
        </w:rPr>
        <w:t xml:space="preserve"> in full on the Honor Date thereof, each resulting L/C Borrowing shall bear interest, for each day from and including the Honor Date to the date of reimbursement thereof in full, at (A) in the case of any Letter of Credit denominated in US Dollars, the rate per annum then applicable to Base Rate Committed Loans and</w:t>
      </w:r>
    </w:p>
    <w:p>
      <w:pPr>
        <w:spacing w:after="0" w:line="2" w:lineRule="exact"/>
        <w:rPr>
          <w:rFonts w:ascii="Arial" w:cs="Arial" w:eastAsia="Arial" w:hAnsi="Arial"/>
          <w:sz w:val="19"/>
          <w:szCs w:val="19"/>
          <w:color w:val="auto"/>
        </w:rPr>
      </w:pPr>
    </w:p>
    <w:p>
      <w:pPr>
        <w:jc w:val="both"/>
        <w:ind w:firstLine="6"/>
        <w:spacing w:after="0" w:line="239" w:lineRule="auto"/>
        <w:tabs>
          <w:tab w:leader="none" w:pos="341" w:val="left"/>
        </w:tabs>
        <w:numPr>
          <w:ilvl w:val="0"/>
          <w:numId w:val="133"/>
        </w:numPr>
        <w:rPr>
          <w:rFonts w:ascii="Arial" w:cs="Arial" w:eastAsia="Arial" w:hAnsi="Arial"/>
          <w:sz w:val="19"/>
          <w:szCs w:val="19"/>
          <w:color w:val="auto"/>
        </w:rPr>
      </w:pPr>
      <w:r>
        <w:rPr>
          <w:rFonts w:ascii="Arial" w:cs="Arial" w:eastAsia="Arial" w:hAnsi="Arial"/>
          <w:sz w:val="19"/>
          <w:szCs w:val="19"/>
          <w:color w:val="auto"/>
        </w:rPr>
        <w:t xml:space="preserve">in the case of any Letter of Credit denominated in any Alternative Currency, a rate perannum equal to the applicable Overnight Rate from time to time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Rate used to determine interest applicable to </w:t>
      </w:r>
      <w:r>
        <w:rPr>
          <w:rFonts w:ascii="Arial" w:cs="Arial" w:eastAsia="Arial" w:hAnsi="Arial"/>
          <w:sz w:val="19"/>
          <w:szCs w:val="19"/>
          <w:b w:val="1"/>
          <w:bCs w:val="1"/>
          <w:color w:val="FF0000"/>
          <w:strike w:val="1"/>
        </w:rPr>
        <w:t>Eurocurrency Rate</w:t>
      </w:r>
      <w:r>
        <w:rPr>
          <w:rFonts w:ascii="Arial" w:cs="Arial" w:eastAsia="Arial" w:hAnsi="Arial"/>
          <w:sz w:val="19"/>
          <w:szCs w:val="19"/>
          <w:b w:val="1"/>
          <w:bCs w:val="1"/>
          <w:u w:val="single" w:color="auto"/>
          <w:color w:val="0000FF"/>
        </w:rPr>
        <w:t>Term Benchmark</w:t>
      </w:r>
      <w:r>
        <w:rPr>
          <w:rFonts w:ascii="Arial" w:cs="Arial" w:eastAsia="Arial" w:hAnsi="Arial"/>
          <w:sz w:val="19"/>
          <w:szCs w:val="19"/>
          <w:color w:val="auto"/>
        </w:rPr>
        <w:t xml:space="preserve"> Committed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Borrower fails to reimburse such disbursement when due pursuant to this </w:t>
      </w:r>
      <w:r>
        <w:rPr>
          <w:rFonts w:ascii="Arial" w:cs="Arial" w:eastAsia="Arial" w:hAnsi="Arial"/>
          <w:sz w:val="19"/>
          <w:szCs w:val="19"/>
          <w:u w:val="single" w:color="auto"/>
          <w:color w:val="auto"/>
        </w:rPr>
        <w:t>Section 2.04(c)</w:t>
      </w:r>
      <w:r>
        <w:rPr>
          <w:rFonts w:ascii="Arial" w:cs="Arial" w:eastAsia="Arial" w:hAnsi="Arial"/>
          <w:sz w:val="19"/>
          <w:szCs w:val="19"/>
          <w:color w:val="auto"/>
        </w:rPr>
        <w:t xml:space="preserve">, from and including the date of such failure such L/C Borrowing shall, on the US Dollar Equivalent thereof, bear interest at the default rate specified in </w:t>
      </w:r>
      <w:r>
        <w:rPr>
          <w:rFonts w:ascii="Arial" w:cs="Arial" w:eastAsia="Arial" w:hAnsi="Arial"/>
          <w:sz w:val="19"/>
          <w:szCs w:val="19"/>
          <w:u w:val="single" w:color="auto"/>
          <w:color w:val="auto"/>
        </w:rPr>
        <w:t>Section 2.08(b)</w:t>
      </w:r>
      <w:r>
        <w:rPr>
          <w:rFonts w:ascii="Arial" w:cs="Arial" w:eastAsia="Arial" w:hAnsi="Arial"/>
          <w:sz w:val="19"/>
          <w:szCs w:val="19"/>
          <w:color w:val="auto"/>
        </w:rPr>
        <w:t xml:space="preserve">. Interest accrued pursuant to this </w:t>
      </w:r>
      <w:r>
        <w:rPr>
          <w:rFonts w:ascii="Arial" w:cs="Arial" w:eastAsia="Arial" w:hAnsi="Arial"/>
          <w:sz w:val="19"/>
          <w:szCs w:val="19"/>
          <w:u w:val="single" w:color="auto"/>
          <w:color w:val="auto"/>
        </w:rPr>
        <w:t>Section 2.04(c)(v)</w:t>
      </w:r>
      <w:r>
        <w:rPr>
          <w:rFonts w:ascii="Arial" w:cs="Arial" w:eastAsia="Arial" w:hAnsi="Arial"/>
          <w:sz w:val="19"/>
          <w:szCs w:val="19"/>
          <w:color w:val="auto"/>
        </w:rPr>
        <w:t xml:space="preserve"> shall be for the account of the applicable L/C Issuer, except that interest accrued on and after the date of payment by any Lender of its applicable L/C Advance shall be for the account of such Lender to the extent of such L/C Advance, and shall be payable on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53</w:t>
      </w:r>
    </w:p>
    <w:p>
      <w:pPr>
        <w:sectPr>
          <w:pgSz w:w="11900" w:h="16838" w:orient="portrait"/>
          <w:cols w:equalWidth="0" w:num="1">
            <w:col w:w="11200"/>
          </w:cols>
          <w:pgMar w:left="320" w:top="1152" w:right="379" w:bottom="1440" w:gutter="0" w:footer="0" w:header="0"/>
        </w:sectPr>
      </w:pPr>
    </w:p>
    <w:bookmarkStart w:id="192" w:name="page193"/>
    <w:bookmarkEnd w:id="192"/>
    <w:p>
      <w:pPr>
        <w:jc w:val="both"/>
        <w:ind w:left="-6" w:firstLine="960"/>
        <w:spacing w:after="0"/>
        <w:tabs>
          <w:tab w:leader="none" w:pos="1519" w:val="left"/>
        </w:tabs>
        <w:numPr>
          <w:ilvl w:val="0"/>
          <w:numId w:val="134"/>
        </w:numPr>
        <w:rPr>
          <w:rFonts w:ascii="Arial" w:cs="Arial" w:eastAsia="Arial" w:hAnsi="Arial"/>
          <w:sz w:val="19"/>
          <w:szCs w:val="19"/>
          <w:color w:val="auto"/>
        </w:rPr>
      </w:pPr>
      <w:r>
        <w:rPr>
          <w:rFonts w:ascii="Arial" w:cs="Arial" w:eastAsia="Arial" w:hAnsi="Arial"/>
          <w:sz w:val="19"/>
          <w:szCs w:val="19"/>
          <w:color w:val="auto"/>
        </w:rPr>
        <w:t xml:space="preserve">Each Lender’s obligation to make Committed Loans or L/C Advances to reimburse the L/C Issuers for amounts drawn under Letters of Credit, as contemplated by this </w:t>
      </w:r>
      <w:r>
        <w:rPr>
          <w:rFonts w:ascii="Arial" w:cs="Arial" w:eastAsia="Arial" w:hAnsi="Arial"/>
          <w:sz w:val="19"/>
          <w:szCs w:val="19"/>
          <w:u w:val="single" w:color="auto"/>
          <w:color w:val="auto"/>
        </w:rPr>
        <w:t>Section 2.04(c)</w:t>
      </w:r>
      <w:r>
        <w:rPr>
          <w:rFonts w:ascii="Arial" w:cs="Arial" w:eastAsia="Arial" w:hAnsi="Arial"/>
          <w:sz w:val="19"/>
          <w:szCs w:val="19"/>
          <w:color w:val="auto"/>
        </w:rPr>
        <w:t xml:space="preserve">, shall be absolute and unconditional and will not be affected by any circumstance, including (A) any setoff, counterclaim, recoupment, defense or other right which such Lender may have against any L/C Issuer, any Loan Party, any Subsidiary or any other Person for any reason whatsoever; (B) the occurrence or continuance of a Default, or (C) any other occurrence, event or condition, whether or not similar to any of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each Lender’s obligation to make Committed Loans pursuant to this </w:t>
      </w:r>
      <w:r>
        <w:rPr>
          <w:rFonts w:ascii="Arial" w:cs="Arial" w:eastAsia="Arial" w:hAnsi="Arial"/>
          <w:sz w:val="19"/>
          <w:szCs w:val="19"/>
          <w:u w:val="single" w:color="auto"/>
          <w:color w:val="auto"/>
        </w:rPr>
        <w:t>Section 2.04(c)</w:t>
      </w:r>
      <w:r>
        <w:rPr>
          <w:rFonts w:ascii="Arial" w:cs="Arial" w:eastAsia="Arial" w:hAnsi="Arial"/>
          <w:sz w:val="19"/>
          <w:szCs w:val="19"/>
          <w:color w:val="auto"/>
        </w:rPr>
        <w:t xml:space="preserve"> is subject to the satisfaction of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(other than delivery by the Borrower of a Committed Loan Notice). No L/C Advance will relieve or otherwise impair the obligation of the Borrower to reimburse the applicable L/C Issuer for the amount of any payment made by the applicable L/C Issuer under any Letter of Credit, together with interest as provided herein.</w:t>
      </w:r>
    </w:p>
    <w:p>
      <w:pPr>
        <w:spacing w:after="0" w:line="153" w:lineRule="exact"/>
        <w:rPr>
          <w:rFonts w:ascii="Arial" w:cs="Arial" w:eastAsia="Arial" w:hAnsi="Arial"/>
          <w:sz w:val="19"/>
          <w:szCs w:val="19"/>
          <w:color w:val="auto"/>
        </w:rPr>
      </w:pPr>
    </w:p>
    <w:p>
      <w:pPr>
        <w:jc w:val="both"/>
        <w:ind w:left="-6" w:firstLine="960"/>
        <w:spacing w:after="0" w:line="216" w:lineRule="auto"/>
        <w:tabs>
          <w:tab w:leader="none" w:pos="1578" w:val="left"/>
        </w:tabs>
        <w:numPr>
          <w:ilvl w:val="0"/>
          <w:numId w:val="134"/>
        </w:numPr>
        <w:rPr>
          <w:rFonts w:ascii="Arial" w:cs="Arial" w:eastAsia="Arial" w:hAnsi="Arial"/>
          <w:sz w:val="21"/>
          <w:szCs w:val="21"/>
          <w:color w:val="auto"/>
        </w:rPr>
      </w:pPr>
      <w:r>
        <w:rPr>
          <w:rFonts w:ascii="Arial" w:cs="Arial" w:eastAsia="Arial" w:hAnsi="Arial"/>
          <w:sz w:val="21"/>
          <w:szCs w:val="21"/>
          <w:color w:val="auto"/>
        </w:rPr>
        <w:t xml:space="preserve">If any Lender fails to make available to the Administrative Agent for the account of the applicable L/C Issuer any amount required to be paid by such Lender pursuant to the foregoing provisions of this </w:t>
      </w:r>
      <w:r>
        <w:rPr>
          <w:rFonts w:ascii="Arial" w:cs="Arial" w:eastAsia="Arial" w:hAnsi="Arial"/>
          <w:sz w:val="21"/>
          <w:szCs w:val="21"/>
          <w:u w:val="single" w:color="auto"/>
          <w:color w:val="auto"/>
        </w:rPr>
        <w:t>Section 2.04(c)</w:t>
      </w:r>
      <w:r>
        <w:rPr>
          <w:rFonts w:ascii="Arial" w:cs="Arial" w:eastAsia="Arial" w:hAnsi="Arial"/>
          <w:sz w:val="21"/>
          <w:szCs w:val="21"/>
          <w:color w:val="auto"/>
        </w:rPr>
        <w:t xml:space="preserve"> by the time specified in </w:t>
      </w:r>
      <w:r>
        <w:rPr>
          <w:rFonts w:ascii="Arial" w:cs="Arial" w:eastAsia="Arial" w:hAnsi="Arial"/>
          <w:sz w:val="21"/>
          <w:szCs w:val="21"/>
          <w:u w:val="single" w:color="auto"/>
          <w:color w:val="auto"/>
        </w:rPr>
        <w:t>Section 2.04(c)(iii)</w:t>
      </w:r>
      <w:r>
        <w:rPr>
          <w:rFonts w:ascii="Arial" w:cs="Arial" w:eastAsia="Arial" w:hAnsi="Arial"/>
          <w:sz w:val="21"/>
          <w:szCs w:val="21"/>
          <w:color w:val="auto"/>
        </w:rPr>
        <w:t xml:space="preserve">, then, without limiting the other provisions of this Agreement, the applicable L/C Issuer will be entitled to recover from such Lender, on demand, such amount with interest thereon for the period from the date such payment is required to the date on which such payment is immediately available to the applicable L/C Issuer at a rate per annum equal to the applicable Overnight Rate from time to time in effect, plus any administrative, processing or similar fees customarily charged by the applicable L/C Issuer in connection with the foregoing. If such Lender pays such amount (with interest and fees as aforesaid), the amount so paid shall constitute such Lender’s Committed Loan included in the relevant Committed Borrowing or L/C Advance in respect of the relevant L/C Borrowing, as the case may be. A certificate of the applicable L/C Issuer submitted to any Lender (through the Administrative Agent) with respect to any amounts owing under this </w:t>
      </w:r>
      <w:r>
        <w:rPr>
          <w:rFonts w:ascii="Arial" w:cs="Arial" w:eastAsia="Arial" w:hAnsi="Arial"/>
          <w:sz w:val="21"/>
          <w:szCs w:val="21"/>
          <w:u w:val="single" w:color="auto"/>
          <w:color w:val="auto"/>
        </w:rPr>
        <w:t>clause (vii)</w:t>
      </w:r>
      <w:r>
        <w:rPr>
          <w:rFonts w:ascii="Arial" w:cs="Arial" w:eastAsia="Arial" w:hAnsi="Arial"/>
          <w:sz w:val="21"/>
          <w:szCs w:val="21"/>
          <w:color w:val="auto"/>
        </w:rPr>
        <w:t xml:space="preserve"> will be conclusive absent manifest error.</w:t>
      </w:r>
    </w:p>
    <w:p>
      <w:pPr>
        <w:spacing w:after="0" w:line="153" w:lineRule="exact"/>
        <w:rPr>
          <w:rFonts w:ascii="Arial" w:cs="Arial" w:eastAsia="Arial" w:hAnsi="Arial"/>
          <w:sz w:val="21"/>
          <w:szCs w:val="21"/>
          <w:color w:val="auto"/>
        </w:rPr>
      </w:pPr>
    </w:p>
    <w:p>
      <w:pPr>
        <w:jc w:val="both"/>
        <w:ind w:left="-6" w:firstLine="1036"/>
        <w:spacing w:after="0" w:line="228" w:lineRule="auto"/>
        <w:tabs>
          <w:tab w:leader="none" w:pos="1529" w:val="left"/>
        </w:tabs>
        <w:numPr>
          <w:ilvl w:val="1"/>
          <w:numId w:val="134"/>
        </w:numPr>
        <w:rPr>
          <w:rFonts w:ascii="Arial" w:cs="Arial" w:eastAsia="Arial" w:hAnsi="Arial"/>
          <w:sz w:val="20"/>
          <w:szCs w:val="20"/>
          <w:color w:val="auto"/>
        </w:rPr>
      </w:pPr>
      <w:r>
        <w:rPr>
          <w:rFonts w:ascii="Arial" w:cs="Arial" w:eastAsia="Arial" w:hAnsi="Arial"/>
          <w:sz w:val="20"/>
          <w:szCs w:val="20"/>
          <w:u w:val="single" w:color="auto"/>
          <w:color w:val="auto"/>
        </w:rPr>
        <w:t>Repayment of Participations</w:t>
      </w:r>
      <w:r>
        <w:rPr>
          <w:rFonts w:ascii="Arial" w:cs="Arial" w:eastAsia="Arial" w:hAnsi="Arial"/>
          <w:sz w:val="20"/>
          <w:szCs w:val="20"/>
          <w:color w:val="auto"/>
        </w:rPr>
        <w:t xml:space="preserve">. (i) At any time after an L/C Issuer has made a payment under any Letter of Credit and has received from any Lender such Lender’s L/C Advance in respect of such payment in accordance with </w:t>
      </w:r>
      <w:r>
        <w:rPr>
          <w:rFonts w:ascii="Arial" w:cs="Arial" w:eastAsia="Arial" w:hAnsi="Arial"/>
          <w:sz w:val="20"/>
          <w:szCs w:val="20"/>
          <w:u w:val="single" w:color="auto"/>
          <w:color w:val="auto"/>
        </w:rPr>
        <w:t>Section 2.04(c)</w:t>
      </w:r>
      <w:r>
        <w:rPr>
          <w:rFonts w:ascii="Arial" w:cs="Arial" w:eastAsia="Arial" w:hAnsi="Arial"/>
          <w:sz w:val="20"/>
          <w:szCs w:val="20"/>
          <w:color w:val="auto"/>
        </w:rPr>
        <w:t>, if the Administrative Agent receives for the account of such L/C Issuer any payment in respect of the related Unreimbursed Amount or interest thereon (whether directly from the Borrower or otherwise, including proceeds of Cash Collateral applied thereto by the Administrative Agent), the Administrative Agent will distribute such payment to such L/C Issuer and to such Lender ratably on the basis of the portion of such Unreimbursed Amount represented by such Lender’s L/C Advance (taking into account, in the case of interest payments, the period of time during which such Lender’s L/C Advance was outstanding) in the same currency, and in the same funds, as those received by the Administrative Agent.</w:t>
      </w:r>
    </w:p>
    <w:p>
      <w:pPr>
        <w:spacing w:after="0" w:line="160" w:lineRule="exact"/>
        <w:rPr>
          <w:sz w:val="20"/>
          <w:szCs w:val="20"/>
          <w:color w:val="auto"/>
        </w:rPr>
      </w:pPr>
    </w:p>
    <w:p>
      <w:pPr>
        <w:ind w:left="1454" w:hanging="500"/>
        <w:spacing w:after="0"/>
        <w:tabs>
          <w:tab w:leader="none" w:pos="1454" w:val="left"/>
        </w:tabs>
        <w:numPr>
          <w:ilvl w:val="1"/>
          <w:numId w:val="135"/>
        </w:numPr>
        <w:rPr>
          <w:rFonts w:ascii="Arial" w:cs="Arial" w:eastAsia="Arial" w:hAnsi="Arial"/>
          <w:sz w:val="19"/>
          <w:szCs w:val="19"/>
          <w:color w:val="auto"/>
        </w:rPr>
      </w:pPr>
      <w:r>
        <w:rPr>
          <w:rFonts w:ascii="Arial" w:cs="Arial" w:eastAsia="Arial" w:hAnsi="Arial"/>
          <w:sz w:val="19"/>
          <w:szCs w:val="19"/>
          <w:color w:val="auto"/>
        </w:rPr>
        <w:t xml:space="preserve">If any payment received by the Administrative Agent for the account of an L/C Issuer pursuant to </w:t>
      </w:r>
      <w:r>
        <w:rPr>
          <w:rFonts w:ascii="Arial" w:cs="Arial" w:eastAsia="Arial" w:hAnsi="Arial"/>
          <w:sz w:val="19"/>
          <w:szCs w:val="19"/>
          <w:u w:val="single" w:color="auto"/>
          <w:color w:val="auto"/>
        </w:rPr>
        <w:t>Section 2.04(c)</w:t>
      </w:r>
    </w:p>
    <w:p>
      <w:pPr>
        <w:spacing w:after="0" w:line="11" w:lineRule="exact"/>
        <w:rPr>
          <w:rFonts w:ascii="Arial" w:cs="Arial" w:eastAsia="Arial" w:hAnsi="Arial"/>
          <w:sz w:val="19"/>
          <w:szCs w:val="19"/>
          <w:color w:val="auto"/>
        </w:rPr>
      </w:pPr>
    </w:p>
    <w:p>
      <w:pPr>
        <w:jc w:val="both"/>
        <w:ind w:left="-6" w:firstLine="6"/>
        <w:spacing w:after="0" w:line="218" w:lineRule="auto"/>
        <w:tabs>
          <w:tab w:leader="none" w:pos="336" w:val="left"/>
        </w:tabs>
        <w:numPr>
          <w:ilvl w:val="0"/>
          <w:numId w:val="136"/>
        </w:numPr>
        <w:rPr>
          <w:rFonts w:ascii="Arial" w:cs="Arial" w:eastAsia="Arial" w:hAnsi="Arial"/>
          <w:sz w:val="21"/>
          <w:szCs w:val="21"/>
          <w:u w:val="single" w:color="auto"/>
          <w:color w:val="auto"/>
        </w:rPr>
      </w:pPr>
      <w:r>
        <w:rPr>
          <w:rFonts w:ascii="Arial" w:cs="Arial" w:eastAsia="Arial" w:hAnsi="Arial"/>
          <w:sz w:val="21"/>
          <w:szCs w:val="21"/>
          <w:color w:val="auto"/>
        </w:rPr>
        <w:t xml:space="preserve">is required to be returned under any of the circumstances described in </w:t>
      </w:r>
      <w:r>
        <w:rPr>
          <w:rFonts w:ascii="Arial" w:cs="Arial" w:eastAsia="Arial" w:hAnsi="Arial"/>
          <w:sz w:val="21"/>
          <w:szCs w:val="21"/>
          <w:u w:val="single" w:color="auto"/>
          <w:color w:val="auto"/>
        </w:rPr>
        <w:t>Section 11.05</w:t>
      </w:r>
      <w:r>
        <w:rPr>
          <w:rFonts w:ascii="Arial" w:cs="Arial" w:eastAsia="Arial" w:hAnsi="Arial"/>
          <w:sz w:val="21"/>
          <w:szCs w:val="21"/>
          <w:color w:val="auto"/>
        </w:rPr>
        <w:t xml:space="preserve"> (including pursuant to any settlement entered into by such L/C Issuer in its discretion), each Lender will pay to the Administrative Agent for the account of such L/C Issuer its Applicable Percentage thereof on demand of the Administrative Agent, plus interest thereon from the date of such demand to the date such amount is returned by such Lender, at a rate per annum equal to the applicable Overnight Rate from time to time in effect. The obligations of the Lenders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3"/>
        <w:spacing w:after="0"/>
        <w:rPr>
          <w:sz w:val="20"/>
          <w:szCs w:val="20"/>
          <w:color w:val="auto"/>
        </w:rPr>
      </w:pPr>
      <w:r>
        <w:rPr>
          <w:rFonts w:ascii="Arial" w:cs="Arial" w:eastAsia="Arial" w:hAnsi="Arial"/>
          <w:sz w:val="21"/>
          <w:szCs w:val="21"/>
          <w:color w:val="auto"/>
        </w:rPr>
        <w:t>54</w:t>
      </w:r>
    </w:p>
    <w:p>
      <w:pPr>
        <w:sectPr>
          <w:pgSz w:w="11900" w:h="16838" w:orient="portrait"/>
          <w:cols w:equalWidth="0" w:num="1">
            <w:col w:w="11194"/>
          </w:cols>
          <w:pgMar w:left="326" w:top="1152" w:right="379" w:bottom="1440" w:gutter="0" w:footer="0" w:header="0"/>
        </w:sectPr>
      </w:pPr>
    </w:p>
    <w:bookmarkStart w:id="193" w:name="page194"/>
    <w:bookmarkEnd w:id="193"/>
    <w:p>
      <w:pPr>
        <w:spacing w:after="0"/>
        <w:rPr>
          <w:sz w:val="20"/>
          <w:szCs w:val="20"/>
          <w:color w:val="auto"/>
        </w:rPr>
      </w:pPr>
      <w:r>
        <w:rPr>
          <w:rFonts w:ascii="Arial" w:cs="Arial" w:eastAsia="Arial" w:hAnsi="Arial"/>
          <w:sz w:val="21"/>
          <w:szCs w:val="21"/>
          <w:color w:val="auto"/>
        </w:rPr>
        <w:t>clause will survive the payment in full of the Obligations and the termination of this Agreement.</w:t>
      </w:r>
    </w:p>
    <w:p>
      <w:pPr>
        <w:spacing w:after="0" w:line="183" w:lineRule="exact"/>
        <w:rPr>
          <w:sz w:val="20"/>
          <w:szCs w:val="20"/>
          <w:color w:val="auto"/>
        </w:rPr>
      </w:pPr>
    </w:p>
    <w:p>
      <w:pPr>
        <w:jc w:val="both"/>
        <w:ind w:firstLine="1036"/>
        <w:spacing w:after="0" w:line="230" w:lineRule="auto"/>
        <w:tabs>
          <w:tab w:leader="none" w:pos="1518" w:val="left"/>
        </w:tabs>
        <w:numPr>
          <w:ilvl w:val="0"/>
          <w:numId w:val="137"/>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Obligations Absolute</w:t>
      </w:r>
      <w:r>
        <w:rPr>
          <w:rFonts w:ascii="Arial" w:cs="Arial" w:eastAsia="Arial" w:hAnsi="Arial"/>
          <w:sz w:val="21"/>
          <w:szCs w:val="21"/>
          <w:color w:val="auto"/>
        </w:rPr>
        <w:t>. The obligation of the Borrower to reimburse each L/C Issuer for each drawing under each Letter of Credit and to repay each L/C Borrowing will be absolute, unconditional and irrevocable, and will be paid strictly in accordance with the terms of this Agreement under all circumstances whatsoever and irrespective of:</w:t>
      </w:r>
    </w:p>
    <w:p>
      <w:pPr>
        <w:spacing w:after="0" w:line="153" w:lineRule="exact"/>
        <w:rPr>
          <w:rFonts w:ascii="Arial" w:cs="Arial" w:eastAsia="Arial" w:hAnsi="Arial"/>
          <w:sz w:val="21"/>
          <w:szCs w:val="21"/>
          <w:u w:val="single" w:color="auto"/>
          <w:color w:val="auto"/>
        </w:rPr>
      </w:pPr>
    </w:p>
    <w:p>
      <w:pPr>
        <w:ind w:left="640" w:firstLine="638"/>
        <w:spacing w:after="0" w:line="239" w:lineRule="auto"/>
        <w:tabs>
          <w:tab w:leader="none" w:pos="1912" w:val="left"/>
        </w:tabs>
        <w:numPr>
          <w:ilvl w:val="1"/>
          <w:numId w:val="137"/>
        </w:numPr>
        <w:rPr>
          <w:rFonts w:ascii="Arial" w:cs="Arial" w:eastAsia="Arial" w:hAnsi="Arial"/>
          <w:sz w:val="21"/>
          <w:szCs w:val="21"/>
          <w:color w:val="auto"/>
        </w:rPr>
      </w:pPr>
      <w:r>
        <w:rPr>
          <w:rFonts w:ascii="Arial" w:cs="Arial" w:eastAsia="Arial" w:hAnsi="Arial"/>
          <w:sz w:val="21"/>
          <w:szCs w:val="21"/>
          <w:color w:val="auto"/>
        </w:rPr>
        <w:t>any lack of validity or enforceability of such Letter of Credit, this Agreement, any Letter of Credit Application or any other Loan Document, or any term or provision herein or therein;</w:t>
      </w:r>
    </w:p>
    <w:p>
      <w:pPr>
        <w:spacing w:after="0" w:line="155" w:lineRule="exact"/>
        <w:rPr>
          <w:rFonts w:ascii="Arial" w:cs="Arial" w:eastAsia="Arial" w:hAnsi="Arial"/>
          <w:sz w:val="21"/>
          <w:szCs w:val="21"/>
          <w:color w:val="auto"/>
        </w:rPr>
      </w:pPr>
    </w:p>
    <w:p>
      <w:pPr>
        <w:jc w:val="both"/>
        <w:ind w:left="640" w:firstLine="638"/>
        <w:spacing w:after="0" w:line="222" w:lineRule="auto"/>
        <w:tabs>
          <w:tab w:leader="none" w:pos="1912" w:val="left"/>
        </w:tabs>
        <w:numPr>
          <w:ilvl w:val="1"/>
          <w:numId w:val="137"/>
        </w:numPr>
        <w:rPr>
          <w:rFonts w:ascii="Arial" w:cs="Arial" w:eastAsia="Arial" w:hAnsi="Arial"/>
          <w:sz w:val="21"/>
          <w:szCs w:val="21"/>
          <w:color w:val="auto"/>
        </w:rPr>
      </w:pPr>
      <w:r>
        <w:rPr>
          <w:rFonts w:ascii="Arial" w:cs="Arial" w:eastAsia="Arial" w:hAnsi="Arial"/>
          <w:sz w:val="21"/>
          <w:szCs w:val="21"/>
          <w:color w:val="auto"/>
        </w:rPr>
        <w:t>the existence of any claim, counterclaim, setoff, defense or other right that any Loan Party or any Subsidiary may have at any time against any beneficiary or any transferee of such Letter of Credit (or any Person for whom any such beneficiary or any such transferee may be acting), the applicable L/C Issuer or any other Person, whether in connection with this Agreement, the transactions contemplated hereby or by such Letter of Credit or any agreement or instrument relating thereto, or any unrelated transaction;</w:t>
      </w:r>
    </w:p>
    <w:p>
      <w:pPr>
        <w:spacing w:after="0" w:line="155" w:lineRule="exact"/>
        <w:rPr>
          <w:rFonts w:ascii="Arial" w:cs="Arial" w:eastAsia="Arial" w:hAnsi="Arial"/>
          <w:sz w:val="21"/>
          <w:szCs w:val="21"/>
          <w:color w:val="auto"/>
        </w:rPr>
      </w:pPr>
    </w:p>
    <w:p>
      <w:pPr>
        <w:jc w:val="both"/>
        <w:ind w:left="640" w:firstLine="638"/>
        <w:spacing w:after="0" w:line="225" w:lineRule="auto"/>
        <w:tabs>
          <w:tab w:leader="none" w:pos="1912" w:val="left"/>
        </w:tabs>
        <w:numPr>
          <w:ilvl w:val="1"/>
          <w:numId w:val="137"/>
        </w:numPr>
        <w:rPr>
          <w:rFonts w:ascii="Arial" w:cs="Arial" w:eastAsia="Arial" w:hAnsi="Arial"/>
          <w:sz w:val="21"/>
          <w:szCs w:val="21"/>
          <w:color w:val="auto"/>
        </w:rPr>
      </w:pPr>
      <w:r>
        <w:rPr>
          <w:rFonts w:ascii="Arial" w:cs="Arial" w:eastAsia="Arial" w:hAnsi="Arial"/>
          <w:sz w:val="21"/>
          <w:szCs w:val="21"/>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54" w:lineRule="exact"/>
        <w:rPr>
          <w:rFonts w:ascii="Arial" w:cs="Arial" w:eastAsia="Arial" w:hAnsi="Arial"/>
          <w:sz w:val="21"/>
          <w:szCs w:val="21"/>
          <w:color w:val="auto"/>
        </w:rPr>
      </w:pPr>
    </w:p>
    <w:p>
      <w:pPr>
        <w:jc w:val="both"/>
        <w:ind w:left="640" w:firstLine="638"/>
        <w:spacing w:after="0" w:line="247" w:lineRule="auto"/>
        <w:tabs>
          <w:tab w:leader="none" w:pos="1912" w:val="left"/>
        </w:tabs>
        <w:numPr>
          <w:ilvl w:val="1"/>
          <w:numId w:val="137"/>
        </w:numPr>
        <w:rPr>
          <w:rFonts w:ascii="Arial" w:cs="Arial" w:eastAsia="Arial" w:hAnsi="Arial"/>
          <w:sz w:val="19"/>
          <w:szCs w:val="19"/>
          <w:color w:val="auto"/>
        </w:rPr>
      </w:pPr>
      <w:r>
        <w:rPr>
          <w:rFonts w:ascii="Arial" w:cs="Arial" w:eastAsia="Arial" w:hAnsi="Arial"/>
          <w:sz w:val="19"/>
          <w:szCs w:val="19"/>
          <w:color w:val="auto"/>
        </w:rPr>
        <w:t>any payment by the applicable L/C Issuer under such Letter of Credit against presentation of a draft or certificate that does not comply with the terms of such Letter of Credit; or any payment made by the applicable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47" w:lineRule="exact"/>
        <w:rPr>
          <w:rFonts w:ascii="Arial" w:cs="Arial" w:eastAsia="Arial" w:hAnsi="Arial"/>
          <w:sz w:val="19"/>
          <w:szCs w:val="19"/>
          <w:color w:val="auto"/>
        </w:rPr>
      </w:pPr>
    </w:p>
    <w:p>
      <w:pPr>
        <w:ind w:left="640" w:firstLine="638"/>
        <w:spacing w:after="0" w:line="239" w:lineRule="auto"/>
        <w:tabs>
          <w:tab w:leader="none" w:pos="1912" w:val="left"/>
        </w:tabs>
        <w:numPr>
          <w:ilvl w:val="1"/>
          <w:numId w:val="137"/>
        </w:numPr>
        <w:rPr>
          <w:rFonts w:ascii="Arial" w:cs="Arial" w:eastAsia="Arial" w:hAnsi="Arial"/>
          <w:sz w:val="21"/>
          <w:szCs w:val="21"/>
          <w:color w:val="auto"/>
        </w:rPr>
      </w:pPr>
      <w:r>
        <w:rPr>
          <w:rFonts w:ascii="Arial" w:cs="Arial" w:eastAsia="Arial" w:hAnsi="Arial"/>
          <w:sz w:val="21"/>
          <w:szCs w:val="21"/>
          <w:color w:val="auto"/>
        </w:rPr>
        <w:t>any adverse change in the relevant exchange rates or in the availability of the relevant Alternative Currency to the Borrower or any other Subsidiary or in the relevant currency markets generally; or</w:t>
      </w:r>
    </w:p>
    <w:p>
      <w:pPr>
        <w:spacing w:after="0" w:line="155" w:lineRule="exact"/>
        <w:rPr>
          <w:rFonts w:ascii="Arial" w:cs="Arial" w:eastAsia="Arial" w:hAnsi="Arial"/>
          <w:sz w:val="21"/>
          <w:szCs w:val="21"/>
          <w:color w:val="auto"/>
        </w:rPr>
      </w:pPr>
    </w:p>
    <w:p>
      <w:pPr>
        <w:jc w:val="both"/>
        <w:ind w:left="640" w:firstLine="638"/>
        <w:spacing w:after="0" w:line="230" w:lineRule="auto"/>
        <w:tabs>
          <w:tab w:leader="none" w:pos="1912" w:val="left"/>
        </w:tabs>
        <w:numPr>
          <w:ilvl w:val="1"/>
          <w:numId w:val="137"/>
        </w:numPr>
        <w:rPr>
          <w:rFonts w:ascii="Arial" w:cs="Arial" w:eastAsia="Arial" w:hAnsi="Arial"/>
          <w:sz w:val="21"/>
          <w:szCs w:val="21"/>
          <w:color w:val="auto"/>
        </w:rPr>
      </w:pPr>
      <w:r>
        <w:rPr>
          <w:rFonts w:ascii="Arial" w:cs="Arial" w:eastAsia="Arial" w:hAnsi="Arial"/>
          <w:sz w:val="21"/>
          <w:szCs w:val="21"/>
          <w:color w:val="auto"/>
        </w:rPr>
        <w:t>any other circumstance or happening whatsoever, whether or not similar to any of the foregoing, including any other circumstance that might otherwise constitute a defense available to, a discharge of, or provide a right of setoff against, the Borrower or any other Subsidiary.</w:t>
      </w:r>
    </w:p>
    <w:p>
      <w:pPr>
        <w:spacing w:after="0" w:line="153" w:lineRule="exact"/>
        <w:rPr>
          <w:rFonts w:ascii="Arial" w:cs="Arial" w:eastAsia="Arial" w:hAnsi="Arial"/>
          <w:sz w:val="21"/>
          <w:szCs w:val="21"/>
          <w:color w:val="auto"/>
        </w:rPr>
      </w:pPr>
    </w:p>
    <w:p>
      <w:pPr>
        <w:jc w:val="both"/>
        <w:ind w:firstLine="1036"/>
        <w:spacing w:after="0" w:line="220" w:lineRule="auto"/>
        <w:tabs>
          <w:tab w:leader="none" w:pos="1479" w:val="left"/>
        </w:tabs>
        <w:numPr>
          <w:ilvl w:val="0"/>
          <w:numId w:val="137"/>
        </w:numPr>
        <w:rPr>
          <w:rFonts w:ascii="Arial" w:cs="Arial" w:eastAsia="Arial" w:hAnsi="Arial"/>
          <w:sz w:val="21"/>
          <w:szCs w:val="21"/>
          <w:color w:val="auto"/>
        </w:rPr>
      </w:pPr>
      <w:r>
        <w:rPr>
          <w:rFonts w:ascii="Arial" w:cs="Arial" w:eastAsia="Arial" w:hAnsi="Arial"/>
          <w:sz w:val="21"/>
          <w:szCs w:val="21"/>
          <w:u w:val="single" w:color="auto"/>
          <w:color w:val="auto"/>
        </w:rPr>
        <w:t>Role of L/C Issuer</w:t>
      </w:r>
      <w:r>
        <w:rPr>
          <w:rFonts w:ascii="Arial" w:cs="Arial" w:eastAsia="Arial" w:hAnsi="Arial"/>
          <w:sz w:val="21"/>
          <w:szCs w:val="21"/>
          <w:color w:val="auto"/>
        </w:rPr>
        <w:t>. Each Lender and the Borrower agree that, in paying any drawing under a Letter of Credit, the applicable L/C Issuer will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Issuers, the Administrative Agent, any of their respective Related Parties or any correspondent, participant or assignee of the applicable L/C Issuer will be liable to any Lender for (i) any action taken or omitted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55</w:t>
      </w:r>
    </w:p>
    <w:p>
      <w:pPr>
        <w:sectPr>
          <w:pgSz w:w="11900" w:h="16838" w:orient="portrait"/>
          <w:cols w:equalWidth="0" w:num="1">
            <w:col w:w="11200"/>
          </w:cols>
          <w:pgMar w:left="320" w:top="1152" w:right="379" w:bottom="1440" w:gutter="0" w:footer="0" w:header="0"/>
        </w:sectPr>
      </w:pPr>
    </w:p>
    <w:bookmarkStart w:id="194" w:name="page195"/>
    <w:bookmarkEnd w:id="194"/>
    <w:p>
      <w:pPr>
        <w:jc w:val="both"/>
        <w:spacing w:after="0" w:line="234" w:lineRule="auto"/>
        <w:rPr>
          <w:sz w:val="20"/>
          <w:szCs w:val="20"/>
          <w:color w:val="auto"/>
        </w:rPr>
      </w:pPr>
      <w:r>
        <w:rPr>
          <w:rFonts w:ascii="Arial" w:cs="Arial" w:eastAsia="Arial" w:hAnsi="Arial"/>
          <w:sz w:val="19"/>
          <w:szCs w:val="19"/>
          <w:color w:val="auto"/>
        </w:rPr>
        <w:t xml:space="preserve">connection herewith at the request or with the approval of the Lenders or the Required Lenders, as applicable, (ii) any action taken or omitted in the absence of its gross negligence, willful misconduct or bad faith, with such absence to be presumed unless otherwise determined by a court of competent jurisdiction in a final and nonappealable judgment,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this assumption is not intended to, and will not, preclude the Borrower and/or another Subsidiary of the Borrower, as applicable, from pursuing such rights and remedies as it may have against the beneficiary or transferee at law or under any other agreement. None of the L/C Issuers, the Administrative Agent, any of their respective Related Parties or any correspondent, participant or assignee of the applicable L/C Issuer will be liable or responsible by reason of or in connection with the issuance or transfer of any Letter of Credit or any payment or failure to make any payment thereunder (irrespective of any of the matters described in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(v)</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2.04(e)</w:t>
      </w:r>
      <w:r>
        <w:rPr>
          <w:rFonts w:ascii="Arial" w:cs="Arial" w:eastAsia="Arial" w:hAnsi="Arial"/>
          <w:sz w:val="19"/>
          <w:szCs w:val="19"/>
          <w:color w:val="auto"/>
        </w:rPr>
        <w:t xml:space="preserv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applicable L/C Issuer;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anything in the foregoing to the contrary notwithstanding, the Borrower and/or another Subsidiary of the Borrower, as applicable, may have a claim against the applicable L/C Issuer, and the applicable L/C Issuer may be liable to the Borrower or such other Subsidiary of the Borrower, to the extent, but only to the extent, of any direct (as opposed to special, punitive, consequential or exemplary) damages suffered by it and that it proves were caused by</w:t>
      </w:r>
    </w:p>
    <w:p>
      <w:pPr>
        <w:spacing w:after="0" w:line="1" w:lineRule="exact"/>
        <w:rPr>
          <w:sz w:val="20"/>
          <w:szCs w:val="20"/>
          <w:color w:val="auto"/>
        </w:rPr>
      </w:pPr>
    </w:p>
    <w:p>
      <w:pPr>
        <w:jc w:val="both"/>
        <w:ind w:firstLine="6"/>
        <w:spacing w:after="0" w:line="236" w:lineRule="auto"/>
        <w:tabs>
          <w:tab w:leader="none" w:pos="322" w:val="left"/>
        </w:tabs>
        <w:numPr>
          <w:ilvl w:val="0"/>
          <w:numId w:val="138"/>
        </w:numPr>
        <w:rPr>
          <w:rFonts w:ascii="Arial" w:cs="Arial" w:eastAsia="Arial" w:hAnsi="Arial"/>
          <w:sz w:val="19"/>
          <w:szCs w:val="19"/>
          <w:color w:val="auto"/>
        </w:rPr>
      </w:pPr>
      <w:r>
        <w:rPr>
          <w:rFonts w:ascii="Arial" w:cs="Arial" w:eastAsia="Arial" w:hAnsi="Arial"/>
          <w:sz w:val="19"/>
          <w:szCs w:val="19"/>
          <w:color w:val="auto"/>
        </w:rPr>
        <w:t>such L/C Issuer’s failure to exercise care when determining whether drafts and other documents presented under a Letter of Credit comply with the terms thereof or (y) such L/C Issuer’s willful failure to pay or material breach in bad faith under any Letter of Credit after the presentation to it by the beneficiary of a sight draft and certificate(s) strictly complying with the terms and conditions of a Letter of Credit, in each case as determined by a court of competent jurisdiction in a final and nonappealable judgment. The parties hereto expressly agree that, in the absence of willful misconduct, gross negligence or bad faith on the part of an L/C Issuer (with such absence to be presumed unless otherwise determined by a court of competent jurisdiction in a final and nonappealable judgment), such L/C Issuer shall be deemed to have exercised care in each such determination. In furtherance and not in limitation of the foregoing, the applicable L/C Issuer may, in its sole discretion, either accept documents that appear on their face to be in order, without responsibility for further investigation, regardless of any notice or information to the contrary, or refuse to accept and make payment upon such documents if such documents are not in strict compliance with the terms of such Letter of Credit. The applicable L/C Issuer will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57" w:lineRule="exact"/>
        <w:rPr>
          <w:rFonts w:ascii="Arial" w:cs="Arial" w:eastAsia="Arial" w:hAnsi="Arial"/>
          <w:sz w:val="19"/>
          <w:szCs w:val="19"/>
          <w:color w:val="auto"/>
        </w:rPr>
      </w:pPr>
    </w:p>
    <w:p>
      <w:pPr>
        <w:jc w:val="both"/>
        <w:ind w:firstLine="1036"/>
        <w:spacing w:after="0" w:line="222" w:lineRule="auto"/>
        <w:tabs>
          <w:tab w:leader="none" w:pos="1528" w:val="left"/>
        </w:tabs>
        <w:numPr>
          <w:ilvl w:val="1"/>
          <w:numId w:val="138"/>
        </w:numPr>
        <w:rPr>
          <w:rFonts w:ascii="Arial" w:cs="Arial" w:eastAsia="Arial" w:hAnsi="Arial"/>
          <w:sz w:val="21"/>
          <w:szCs w:val="21"/>
          <w:color w:val="auto"/>
        </w:rPr>
      </w:pPr>
      <w:r>
        <w:rPr>
          <w:rFonts w:ascii="Arial" w:cs="Arial" w:eastAsia="Arial" w:hAnsi="Arial"/>
          <w:sz w:val="21"/>
          <w:szCs w:val="21"/>
          <w:u w:val="single" w:color="auto"/>
          <w:color w:val="auto"/>
        </w:rPr>
        <w:t>Applicability of ISP and UCP</w:t>
      </w:r>
      <w:r>
        <w:rPr>
          <w:rFonts w:ascii="Arial" w:cs="Arial" w:eastAsia="Arial" w:hAnsi="Arial"/>
          <w:sz w:val="21"/>
          <w:szCs w:val="21"/>
          <w:color w:val="auto"/>
        </w:rPr>
        <w:t>. Unless otherwise expressly agreed by the applicable L/C Issuer and the Borrower when a Letter of Credit is issued (including any such agreement applicable to an Existing Letter of Credit and those relating to payment of fees of correspondent banks in the case of Letters of Credit denominated in Alternative Currencies), (i) the rules of the ISP will apply to each standby Letter of Credit and (ii) the rules of the UCP will apply to each commercial Letter of Credit. Notwithstanding the foregoing, no L/C Issuer shall be responsible to the Borrower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56</w:t>
      </w:r>
    </w:p>
    <w:p>
      <w:pPr>
        <w:sectPr>
          <w:pgSz w:w="11900" w:h="16838" w:orient="portrait"/>
          <w:cols w:equalWidth="0" w:num="1">
            <w:col w:w="11200"/>
          </w:cols>
          <w:pgMar w:left="320" w:top="1152" w:right="379" w:bottom="1440" w:gutter="0" w:footer="0" w:header="0"/>
        </w:sectPr>
      </w:pPr>
    </w:p>
    <w:bookmarkStart w:id="195" w:name="page196"/>
    <w:bookmarkEnd w:id="195"/>
    <w:p>
      <w:pPr>
        <w:jc w:val="both"/>
        <w:spacing w:after="0" w:line="219" w:lineRule="auto"/>
        <w:rPr>
          <w:sz w:val="20"/>
          <w:szCs w:val="20"/>
          <w:color w:val="auto"/>
        </w:rPr>
      </w:pPr>
      <w:r>
        <w:rPr>
          <w:rFonts w:ascii="Arial" w:cs="Arial" w:eastAsia="Arial" w:hAnsi="Arial"/>
          <w:sz w:val="21"/>
          <w:szCs w:val="21"/>
          <w:color w:val="auto"/>
        </w:rPr>
        <w:t>and each L/C Issuer’s rights and remedies against the Borrower shall not be impaired by, any action or inaction of such L/C Issuer required under, or expressly authorized under the circumstances by, any applicable law, order, or practice that is required to be applied to any Letter of Credit or this Agreement, including the law or any order of a jurisdiction where such L/C Issuer or the beneficiary of any Letter of Credit is located, the practice stated in the ISP or the UCP, or in the decisions, opinions, practice statements, or official commentary of the ICC Banking Commission, the Bankers Association for Finance and Trade, Inc. (BAFT), or the Institute of International Banking Law &amp; Practice, whether or not any such law or practice is applicable to any Letter of Credit.</w:t>
      </w:r>
    </w:p>
    <w:p>
      <w:pPr>
        <w:spacing w:after="0" w:line="154" w:lineRule="exact"/>
        <w:rPr>
          <w:sz w:val="20"/>
          <w:szCs w:val="20"/>
          <w:color w:val="auto"/>
        </w:rPr>
      </w:pPr>
    </w:p>
    <w:p>
      <w:pPr>
        <w:jc w:val="both"/>
        <w:ind w:firstLine="1036"/>
        <w:spacing w:after="0" w:line="236" w:lineRule="auto"/>
        <w:tabs>
          <w:tab w:leader="none" w:pos="1582" w:val="left"/>
        </w:tabs>
        <w:numPr>
          <w:ilvl w:val="1"/>
          <w:numId w:val="139"/>
        </w:numPr>
        <w:rPr>
          <w:rFonts w:ascii="Arial" w:cs="Arial" w:eastAsia="Arial" w:hAnsi="Arial"/>
          <w:sz w:val="19"/>
          <w:szCs w:val="19"/>
          <w:color w:val="auto"/>
        </w:rPr>
      </w:pPr>
      <w:r>
        <w:rPr>
          <w:rFonts w:ascii="Arial" w:cs="Arial" w:eastAsia="Arial" w:hAnsi="Arial"/>
          <w:sz w:val="19"/>
          <w:szCs w:val="19"/>
          <w:u w:val="single" w:color="auto"/>
          <w:color w:val="auto"/>
        </w:rPr>
        <w:t>Letter of Credit Fees</w:t>
      </w:r>
      <w:r>
        <w:rPr>
          <w:rFonts w:ascii="Arial" w:cs="Arial" w:eastAsia="Arial" w:hAnsi="Arial"/>
          <w:sz w:val="19"/>
          <w:szCs w:val="19"/>
          <w:color w:val="auto"/>
        </w:rPr>
        <w:t>. The Borrower shall pay to the Administrative Agent, for the account of the Lenders, in accordance with their Applicable Percentages, in US Dollars, a letter of credit fee (the “</w:t>
      </w:r>
      <w:r>
        <w:rPr>
          <w:rFonts w:ascii="Arial" w:cs="Arial" w:eastAsia="Arial" w:hAnsi="Arial"/>
          <w:sz w:val="19"/>
          <w:szCs w:val="19"/>
          <w:u w:val="single" w:color="auto"/>
          <w:color w:val="auto"/>
        </w:rPr>
        <w:t>Letter of Credit Fee</w:t>
      </w:r>
      <w:r>
        <w:rPr>
          <w:rFonts w:ascii="Arial" w:cs="Arial" w:eastAsia="Arial" w:hAnsi="Arial"/>
          <w:sz w:val="19"/>
          <w:szCs w:val="19"/>
          <w:color w:val="auto"/>
        </w:rPr>
        <w:t xml:space="preserve">”) for each Letter of Credit equal to the Applicable Rate times the US Dollar Equivalent of the daily maximum amount then available to be drawn under such Letter of Credit. Each Defaulting Lender shall be entitled to receive Letter of Credit Fees pursuant to this </w:t>
      </w:r>
      <w:r>
        <w:rPr>
          <w:rFonts w:ascii="Arial" w:cs="Arial" w:eastAsia="Arial" w:hAnsi="Arial"/>
          <w:sz w:val="19"/>
          <w:szCs w:val="19"/>
          <w:u w:val="single" w:color="auto"/>
          <w:color w:val="auto"/>
        </w:rPr>
        <w:t>Section 2.04(h)</w:t>
      </w:r>
      <w:r>
        <w:rPr>
          <w:rFonts w:ascii="Arial" w:cs="Arial" w:eastAsia="Arial" w:hAnsi="Arial"/>
          <w:sz w:val="19"/>
          <w:szCs w:val="19"/>
          <w:color w:val="auto"/>
        </w:rPr>
        <w:t xml:space="preserve"> for any period during which such Lender is a Defaulting Lender only to the extent allocable to its Applicable Percentage of the stated amount of Letters of Credit for which it has provided Cash Collateral satisfactory to the applicable L/C Issuer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2.15</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any Letter of Credit Fees not payable for the account of a Defaulting Lender pursuant to this sentence shall be payable, to the maximum extent permitted by applicable Law, to the other Lenders in accordance with the upward adjustments in their respective Applicable Percentages allocable to such Letter of Credit pursuant to </w:t>
      </w:r>
      <w:r>
        <w:rPr>
          <w:rFonts w:ascii="Arial" w:cs="Arial" w:eastAsia="Arial" w:hAnsi="Arial"/>
          <w:sz w:val="19"/>
          <w:szCs w:val="19"/>
          <w:u w:val="single" w:color="auto"/>
          <w:color w:val="auto"/>
        </w:rPr>
        <w:t>Section 2.16(a)(iv)</w:t>
      </w:r>
      <w:r>
        <w:rPr>
          <w:rFonts w:ascii="Arial" w:cs="Arial" w:eastAsia="Arial" w:hAnsi="Arial"/>
          <w:sz w:val="19"/>
          <w:szCs w:val="19"/>
          <w:color w:val="auto"/>
        </w:rPr>
        <w:t xml:space="preserve">, with the balance of such Letter of Credit Fees, if any, payable to the applicable L/C Issuer for its own account. For purposes of computing the daily amount available to be drawn under any Letter of Credit, the amount of such Letter of Credit shall be determined in accordance with </w:t>
      </w:r>
      <w:r>
        <w:rPr>
          <w:rFonts w:ascii="Arial" w:cs="Arial" w:eastAsia="Arial" w:hAnsi="Arial"/>
          <w:sz w:val="19"/>
          <w:szCs w:val="19"/>
          <w:u w:val="single" w:color="auto"/>
          <w:color w:val="auto"/>
        </w:rPr>
        <w:t>Section 1.07</w:t>
      </w:r>
      <w:r>
        <w:rPr>
          <w:rFonts w:ascii="Arial" w:cs="Arial" w:eastAsia="Arial" w:hAnsi="Arial"/>
          <w:sz w:val="19"/>
          <w:szCs w:val="19"/>
          <w:color w:val="auto"/>
        </w:rPr>
        <w:t>. Letter of Credit Fees shall be (i) due and payable on the fifteenth day following the last Business Day of each March, June, September and December in respect of the most recently-ended quarterly period (or the applicable portion thereof), commencing with the first such date to occur after the issuance of such Letter of Credit, on the Letter of Credit Expiration Date and thereafter on demand and (ii) computed on a quarterly basis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w:t>
      </w:r>
    </w:p>
    <w:p>
      <w:pPr>
        <w:spacing w:after="0" w:line="163" w:lineRule="exact"/>
        <w:rPr>
          <w:rFonts w:ascii="Arial" w:cs="Arial" w:eastAsia="Arial" w:hAnsi="Arial"/>
          <w:sz w:val="19"/>
          <w:szCs w:val="19"/>
          <w:color w:val="auto"/>
        </w:rPr>
      </w:pPr>
    </w:p>
    <w:p>
      <w:pPr>
        <w:jc w:val="both"/>
        <w:ind w:firstLine="518"/>
        <w:spacing w:after="0" w:line="226" w:lineRule="auto"/>
        <w:tabs>
          <w:tab w:leader="none" w:pos="1272" w:val="left"/>
        </w:tabs>
        <w:numPr>
          <w:ilvl w:val="0"/>
          <w:numId w:val="140"/>
        </w:numPr>
        <w:rPr>
          <w:rFonts w:ascii="Arial" w:cs="Arial" w:eastAsia="Arial" w:hAnsi="Arial"/>
          <w:sz w:val="20"/>
          <w:szCs w:val="20"/>
          <w:color w:val="auto"/>
        </w:rPr>
      </w:pPr>
      <w:r>
        <w:rPr>
          <w:rFonts w:ascii="Arial" w:cs="Arial" w:eastAsia="Arial" w:hAnsi="Arial"/>
          <w:sz w:val="20"/>
          <w:szCs w:val="20"/>
          <w:u w:val="single" w:color="auto"/>
          <w:color w:val="auto"/>
        </w:rPr>
        <w:t>Fronting Fees and Documentary and Processing Charges Payable to L/C Issuers</w:t>
      </w:r>
      <w:r>
        <w:rPr>
          <w:rFonts w:ascii="Arial" w:cs="Arial" w:eastAsia="Arial" w:hAnsi="Arial"/>
          <w:sz w:val="20"/>
          <w:szCs w:val="20"/>
          <w:color w:val="auto"/>
        </w:rPr>
        <w:t xml:space="preserve">. The Borrower will pay directly to each L/C Issuer for its own account, in US Dollars, a fronting fee with respect to each Letter of Credit issued by it, at the rate per annum separately agreed in writing by the Borrower and such L/C Issuer, computed on the US Dollar Equivalent of the daily maximum amount then available to be drawn under such Letter of Credit. Such fronting fee shall be (i) due and payable on the fifteenth day after the end of each March, June, September and December in respect of the most recently-ended quarterly period (or the applicable portion thereof), commencing with the first such date to occur after the issuance of such Letter of Credit, on the Letter of Credit Expiration Date and thereafter on demand and (ii) computed on a quarterly basis in arrears. For purposes of computing the daily amount available to be drawn under any Letter of Credit, the amount of such Letter of Credit will be determined in accordance with </w:t>
      </w:r>
      <w:r>
        <w:rPr>
          <w:rFonts w:ascii="Arial" w:cs="Arial" w:eastAsia="Arial" w:hAnsi="Arial"/>
          <w:sz w:val="20"/>
          <w:szCs w:val="20"/>
          <w:u w:val="single" w:color="auto"/>
          <w:color w:val="auto"/>
        </w:rPr>
        <w:t>Section 1.07</w:t>
      </w:r>
      <w:r>
        <w:rPr>
          <w:rFonts w:ascii="Arial" w:cs="Arial" w:eastAsia="Arial" w:hAnsi="Arial"/>
          <w:sz w:val="20"/>
          <w:szCs w:val="20"/>
          <w:color w:val="auto"/>
        </w:rPr>
        <w:t>. In addition, the Borrower will pay directly to each L/C Issuer for its own account, in US Dollars, the customary issuance, presentation, amendment, extension and other processing fees, and other standard costs and charges, of such L/C Issuer relating to letters of credit as from time to time in effect. Such customary fees and standard costs and charges are due and payable on demand and are nonrefundable.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57</w:t>
      </w:r>
    </w:p>
    <w:p>
      <w:pPr>
        <w:sectPr>
          <w:pgSz w:w="11900" w:h="16838" w:orient="portrait"/>
          <w:cols w:equalWidth="0" w:num="1">
            <w:col w:w="11200"/>
          </w:cols>
          <w:pgMar w:left="320" w:top="1152" w:right="379" w:bottom="1440" w:gutter="0" w:footer="0" w:header="0"/>
        </w:sectPr>
      </w:pPr>
    </w:p>
    <w:bookmarkStart w:id="196" w:name="page197"/>
    <w:bookmarkEnd w:id="196"/>
    <w:p>
      <w:pPr>
        <w:ind w:firstLine="1036"/>
        <w:spacing w:after="0" w:line="239" w:lineRule="auto"/>
        <w:tabs>
          <w:tab w:leader="none" w:pos="1464" w:val="left"/>
        </w:tabs>
        <w:numPr>
          <w:ilvl w:val="0"/>
          <w:numId w:val="141"/>
        </w:numPr>
        <w:rPr>
          <w:rFonts w:ascii="Arial" w:cs="Arial" w:eastAsia="Arial" w:hAnsi="Arial"/>
          <w:sz w:val="21"/>
          <w:szCs w:val="21"/>
          <w:color w:val="auto"/>
        </w:rPr>
      </w:pPr>
      <w:r>
        <w:rPr>
          <w:rFonts w:ascii="Arial" w:cs="Arial" w:eastAsia="Arial" w:hAnsi="Arial"/>
          <w:sz w:val="21"/>
          <w:szCs w:val="21"/>
          <w:u w:val="single" w:color="auto"/>
          <w:color w:val="auto"/>
        </w:rPr>
        <w:t>Conflict with Issuer Documents</w:t>
      </w:r>
      <w:r>
        <w:rPr>
          <w:rFonts w:ascii="Arial" w:cs="Arial" w:eastAsia="Arial" w:hAnsi="Arial"/>
          <w:sz w:val="21"/>
          <w:szCs w:val="21"/>
          <w:color w:val="auto"/>
        </w:rPr>
        <w:t>. In the event of any conflict between the terms hereof and the terms of any Issuer Document, the terms hereof will control.</w:t>
      </w:r>
    </w:p>
    <w:p>
      <w:pPr>
        <w:spacing w:after="0" w:line="155" w:lineRule="exact"/>
        <w:rPr>
          <w:rFonts w:ascii="Arial" w:cs="Arial" w:eastAsia="Arial" w:hAnsi="Arial"/>
          <w:sz w:val="21"/>
          <w:szCs w:val="21"/>
          <w:color w:val="auto"/>
        </w:rPr>
      </w:pPr>
    </w:p>
    <w:p>
      <w:pPr>
        <w:jc w:val="both"/>
        <w:ind w:firstLine="1036"/>
        <w:spacing w:after="0" w:line="226" w:lineRule="auto"/>
        <w:tabs>
          <w:tab w:leader="none" w:pos="1563" w:val="left"/>
        </w:tabs>
        <w:numPr>
          <w:ilvl w:val="0"/>
          <w:numId w:val="141"/>
        </w:numPr>
        <w:rPr>
          <w:rFonts w:ascii="Arial" w:cs="Arial" w:eastAsia="Arial" w:hAnsi="Arial"/>
          <w:sz w:val="20"/>
          <w:szCs w:val="20"/>
          <w:color w:val="auto"/>
        </w:rPr>
      </w:pPr>
      <w:r>
        <w:rPr>
          <w:rFonts w:ascii="Arial" w:cs="Arial" w:eastAsia="Arial" w:hAnsi="Arial"/>
          <w:sz w:val="20"/>
          <w:szCs w:val="20"/>
          <w:u w:val="single" w:color="auto"/>
          <w:color w:val="auto"/>
        </w:rPr>
        <w:t>Reporting</w:t>
      </w:r>
      <w:r>
        <w:rPr>
          <w:rFonts w:ascii="Arial" w:cs="Arial" w:eastAsia="Arial" w:hAnsi="Arial"/>
          <w:sz w:val="20"/>
          <w:szCs w:val="20"/>
          <w:color w:val="auto"/>
        </w:rPr>
        <w:t xml:space="preserve">. Unless otherwise agreed by the Administrative Agent, each L/C Issuer shall report in writing to the Administrative Agent (i) on or prior to each Business Day on which such L/C Issuer issues, amends or extends any Letter of Credit, the date of such issuance, amendment or extension, and the currencies and amounts of the Letters of Credit issued, amended or extended by it and outstanding after giving effect to such issuance, amendment or extension (and whether the amounts thereof shall have changed), it being agreed that such L/C Issuer shall not effect any issuance, extension or amendment resulting in an increase in the amount of any Letter of Credit without first obtaining written confirmation from the Administrative Agent that such issuance, extension or increase would not result in any limit referred to in </w:t>
      </w:r>
      <w:r>
        <w:rPr>
          <w:rFonts w:ascii="Arial" w:cs="Arial" w:eastAsia="Arial" w:hAnsi="Arial"/>
          <w:sz w:val="20"/>
          <w:szCs w:val="20"/>
          <w:u w:val="single" w:color="auto"/>
          <w:color w:val="auto"/>
        </w:rPr>
        <w:t>Section 2</w:t>
      </w:r>
      <w:r>
        <w:rPr>
          <w:rFonts w:ascii="Arial" w:cs="Arial" w:eastAsia="Arial" w:hAnsi="Arial"/>
          <w:sz w:val="20"/>
          <w:szCs w:val="20"/>
          <w:color w:val="auto"/>
        </w:rPr>
        <w:t>.</w:t>
      </w:r>
      <w:r>
        <w:rPr>
          <w:rFonts w:ascii="Arial" w:cs="Arial" w:eastAsia="Arial" w:hAnsi="Arial"/>
          <w:sz w:val="20"/>
          <w:szCs w:val="20"/>
          <w:u w:val="single" w:color="auto"/>
          <w:color w:val="auto"/>
        </w:rPr>
        <w:t>04(a)(i)(A)</w:t>
      </w:r>
      <w:r>
        <w:rPr>
          <w:rFonts w:ascii="Arial" w:cs="Arial" w:eastAsia="Arial" w:hAnsi="Arial"/>
          <w:sz w:val="20"/>
          <w:szCs w:val="20"/>
          <w:color w:val="auto"/>
        </w:rPr>
        <w:t xml:space="preserve">,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(C)</w:t>
      </w:r>
      <w:r>
        <w:rPr>
          <w:rFonts w:ascii="Arial" w:cs="Arial" w:eastAsia="Arial" w:hAnsi="Arial"/>
          <w:sz w:val="20"/>
          <w:szCs w:val="20"/>
          <w:color w:val="auto"/>
        </w:rPr>
        <w:t xml:space="preserve"> being exceeded, (ii) on each Business Day on which such L/C Issuer makes any disbursement in respect of a Letter of Credit drawing, the date, currency and amount of such disbursement, (iii) on any Business Day on which a Borrower fails to reimburse a Letter of Credit drawing required to be reimbursed to such L/C Issuer on such day, the date of such failure and the currency and amount of such Letter of Credit drawing and (iv) on any other Business Day, such other information as the Administrative Agent shall reasonably request as to the Letters of Credit issued by such L/C Issuer.</w:t>
      </w:r>
    </w:p>
    <w:p>
      <w:pPr>
        <w:spacing w:after="0" w:line="157" w:lineRule="exact"/>
        <w:rPr>
          <w:rFonts w:ascii="Arial" w:cs="Arial" w:eastAsia="Arial" w:hAnsi="Arial"/>
          <w:sz w:val="20"/>
          <w:szCs w:val="20"/>
          <w:color w:val="auto"/>
        </w:rPr>
      </w:pPr>
    </w:p>
    <w:p>
      <w:pPr>
        <w:jc w:val="both"/>
        <w:ind w:firstLine="1036"/>
        <w:spacing w:after="0" w:line="216" w:lineRule="auto"/>
        <w:tabs>
          <w:tab w:leader="none" w:pos="1444" w:val="left"/>
        </w:tabs>
        <w:numPr>
          <w:ilvl w:val="0"/>
          <w:numId w:val="141"/>
        </w:numPr>
        <w:rPr>
          <w:rFonts w:ascii="Arial" w:cs="Arial" w:eastAsia="Arial" w:hAnsi="Arial"/>
          <w:sz w:val="21"/>
          <w:szCs w:val="21"/>
          <w:color w:val="auto"/>
        </w:rPr>
      </w:pPr>
      <w:r>
        <w:rPr>
          <w:rFonts w:ascii="Arial" w:cs="Arial" w:eastAsia="Arial" w:hAnsi="Arial"/>
          <w:sz w:val="21"/>
          <w:szCs w:val="21"/>
          <w:u w:val="single" w:color="auto"/>
          <w:color w:val="auto"/>
        </w:rPr>
        <w:t>Letters of Credit Issued for Subsidiaries</w:t>
      </w:r>
      <w:r>
        <w:rPr>
          <w:rFonts w:ascii="Arial" w:cs="Arial" w:eastAsia="Arial" w:hAnsi="Arial"/>
          <w:sz w:val="21"/>
          <w:szCs w:val="21"/>
          <w:color w:val="auto"/>
        </w:rPr>
        <w:t>. Notwithstanding that a Letter of Credit issued or outstanding hereunder is in support of any obligations of, or is for the account of, any other Subsidiary of the Borrower, or states that a Subsidiary is the “account party”, “applicant,” “customer,” “instructing party,” or the like of or for such Letter of Credit, and without derogating from any rights of the applicable L/C Issuer (whether arising by contract, at law, in equity or otherwise) against such Subsidiary in respect of such Letter of Credit, the Borrower shall be obligated to reimburse, indemnify and compensate the applicable L/C Issuer hereunder for any and all drawings under such Letter of Credit (and the Borrower hereby irrevocably waives any defenses that might otherwise be available to it as a guarantor or surety of the obligations of any such Subsidiary in respect of any such Letter of Credit). The Borrower hereby acknowledges that the issuance of Letters of Credit for the account of any other Subsidiary of the Borrower inures to the benefit of the Borrower, and that the Borrower’s business derives substantial benefits from the businesses of such Subsidiaries.</w:t>
      </w:r>
    </w:p>
    <w:p>
      <w:pPr>
        <w:spacing w:after="0" w:line="159" w:lineRule="exact"/>
        <w:rPr>
          <w:sz w:val="20"/>
          <w:szCs w:val="20"/>
          <w:color w:val="auto"/>
        </w:rPr>
      </w:pPr>
    </w:p>
    <w:p>
      <w:pPr>
        <w:jc w:val="both"/>
        <w:ind w:firstLine="954"/>
        <w:spacing w:after="0" w:line="226" w:lineRule="auto"/>
        <w:rPr>
          <w:sz w:val="20"/>
          <w:szCs w:val="20"/>
          <w:color w:val="auto"/>
        </w:rPr>
      </w:pPr>
      <w:r>
        <w:rPr>
          <w:rFonts w:ascii="Arial" w:cs="Arial" w:eastAsia="Arial" w:hAnsi="Arial"/>
          <w:sz w:val="20"/>
          <w:szCs w:val="20"/>
          <w:color w:val="auto"/>
        </w:rPr>
        <w:t xml:space="preserve">Section 2.05 </w:t>
      </w:r>
      <w:r>
        <w:rPr>
          <w:rFonts w:ascii="Arial" w:cs="Arial" w:eastAsia="Arial" w:hAnsi="Arial"/>
          <w:sz w:val="20"/>
          <w:szCs w:val="20"/>
          <w:u w:val="single" w:color="auto"/>
          <w:color w:val="auto"/>
        </w:rPr>
        <w:t>Prepayments</w:t>
      </w:r>
      <w:r>
        <w:rPr>
          <w:rFonts w:ascii="Arial" w:cs="Arial" w:eastAsia="Arial" w:hAnsi="Arial"/>
          <w:sz w:val="20"/>
          <w:szCs w:val="20"/>
          <w:color w:val="auto"/>
        </w:rPr>
        <w:t xml:space="preserve">. (a) The Borrower may, by hand delivery, fax or e-mail of a Prepayment Notice, appropriately completed and signed by a Responsible Officer of the Borrower, to the Administrative Agent, at any time or from time to time voluntarily prepay any Committed Borrowing in whole or in part, without premium or penalty;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such Prepayment Notice must be received by the Administrative Agent not later than 11:00 a.m., Local Time, (A) three (3) Business Days prior to any date of prepayment of any </w:t>
      </w:r>
      <w:r>
        <w:rPr>
          <w:rFonts w:ascii="Arial" w:cs="Arial" w:eastAsia="Arial" w:hAnsi="Arial"/>
          <w:sz w:val="20"/>
          <w:szCs w:val="20"/>
          <w:b w:val="1"/>
          <w:bCs w:val="1"/>
          <w:color w:val="FF0000"/>
          <w:strike w:val="1"/>
        </w:rPr>
        <w:t>Eurocurrency Rate</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0000FF"/>
        </w:rPr>
        <w:t>Term Benchmark</w:t>
      </w:r>
      <w:r>
        <w:rPr>
          <w:rFonts w:ascii="Arial" w:cs="Arial" w:eastAsia="Arial" w:hAnsi="Arial"/>
          <w:sz w:val="20"/>
          <w:szCs w:val="20"/>
          <w:color w:val="auto"/>
        </w:rPr>
        <w:t xml:space="preserve"> Committed Borrowing denominated in US Dollars (or such shorter period of time as may be agreed to by the Administrative Agent), (B) </w:t>
      </w:r>
      <w:r>
        <w:rPr>
          <w:rFonts w:ascii="Arial" w:cs="Arial" w:eastAsia="Arial" w:hAnsi="Arial"/>
          <w:sz w:val="20"/>
          <w:szCs w:val="20"/>
          <w:b w:val="1"/>
          <w:bCs w:val="1"/>
          <w:u w:val="single" w:color="auto"/>
          <w:color w:val="0000FF"/>
        </w:rPr>
        <w:t>five (5) Business Days prior to any</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0000FF"/>
        </w:rPr>
        <w:t>date of prepayment of any RFR Committed Borrowing denominated in US Dollars, (C)</w:t>
      </w:r>
      <w:r>
        <w:rPr>
          <w:rFonts w:ascii="Arial" w:cs="Arial" w:eastAsia="Arial" w:hAnsi="Arial"/>
          <w:sz w:val="20"/>
          <w:szCs w:val="20"/>
          <w:b w:val="1"/>
          <w:bCs w:val="1"/>
          <w:color w:val="0000FF"/>
        </w:rPr>
        <w:t xml:space="preserve"> </w:t>
      </w:r>
      <w:r>
        <w:rPr>
          <w:rFonts w:ascii="Arial" w:cs="Arial" w:eastAsia="Arial" w:hAnsi="Arial"/>
          <w:sz w:val="20"/>
          <w:szCs w:val="20"/>
          <w:color w:val="000000"/>
        </w:rPr>
        <w:t>four (4) Business Days (or five (5)</w:t>
      </w:r>
      <w:r>
        <w:rPr>
          <w:rFonts w:ascii="Arial" w:cs="Arial" w:eastAsia="Arial" w:hAnsi="Arial"/>
          <w:sz w:val="20"/>
          <w:szCs w:val="20"/>
          <w:b w:val="1"/>
          <w:bCs w:val="1"/>
          <w:color w:val="0000FF"/>
        </w:rPr>
        <w:t xml:space="preserve"> </w:t>
      </w:r>
      <w:r>
        <w:rPr>
          <w:rFonts w:ascii="Arial" w:cs="Arial" w:eastAsia="Arial" w:hAnsi="Arial"/>
          <w:sz w:val="20"/>
          <w:szCs w:val="20"/>
          <w:color w:val="000000"/>
        </w:rPr>
        <w:t xml:space="preserve">Business Days, in the case of prepayment of any </w:t>
      </w:r>
      <w:r>
        <w:rPr>
          <w:rFonts w:ascii="Arial" w:cs="Arial" w:eastAsia="Arial" w:hAnsi="Arial"/>
          <w:sz w:val="20"/>
          <w:szCs w:val="20"/>
          <w:b w:val="1"/>
          <w:bCs w:val="1"/>
          <w:color w:val="FF0000"/>
          <w:strike w:val="1"/>
        </w:rPr>
        <w:t>Eurocurrency Rate</w:t>
      </w:r>
      <w:r>
        <w:rPr>
          <w:rFonts w:ascii="Arial" w:cs="Arial" w:eastAsia="Arial" w:hAnsi="Arial"/>
          <w:sz w:val="20"/>
          <w:szCs w:val="20"/>
          <w:b w:val="1"/>
          <w:bCs w:val="1"/>
          <w:u w:val="single" w:color="auto"/>
          <w:color w:val="0000FF"/>
        </w:rPr>
        <w:t>Term Benchmark</w:t>
      </w:r>
      <w:r>
        <w:rPr>
          <w:rFonts w:ascii="Arial" w:cs="Arial" w:eastAsia="Arial" w:hAnsi="Arial"/>
          <w:sz w:val="20"/>
          <w:szCs w:val="20"/>
          <w:color w:val="000000"/>
        </w:rPr>
        <w:t xml:space="preserve"> Committed Borrowing denominated in Special Notice Currencies) (or such shorter period of time as may be agreed to by the Administrative Agent) prior to the date of prepayment of any </w:t>
      </w:r>
      <w:r>
        <w:rPr>
          <w:rFonts w:ascii="Arial" w:cs="Arial" w:eastAsia="Arial" w:hAnsi="Arial"/>
          <w:sz w:val="20"/>
          <w:szCs w:val="20"/>
          <w:b w:val="1"/>
          <w:bCs w:val="1"/>
          <w:color w:val="FF0000"/>
          <w:strike w:val="1"/>
        </w:rPr>
        <w:t>Eurocurrency Rate</w:t>
      </w:r>
      <w:r>
        <w:rPr>
          <w:rFonts w:ascii="Arial" w:cs="Arial" w:eastAsia="Arial" w:hAnsi="Arial"/>
          <w:sz w:val="20"/>
          <w:szCs w:val="20"/>
          <w:b w:val="1"/>
          <w:bCs w:val="1"/>
          <w:u w:val="single" w:color="auto"/>
          <w:color w:val="0000FF"/>
        </w:rPr>
        <w:t>Term Benchmark</w:t>
      </w:r>
      <w:r>
        <w:rPr>
          <w:rFonts w:ascii="Arial" w:cs="Arial" w:eastAsia="Arial" w:hAnsi="Arial"/>
          <w:sz w:val="20"/>
          <w:szCs w:val="20"/>
          <w:color w:val="000000"/>
        </w:rPr>
        <w:t xml:space="preserve"> Committed Borrowing denominated in Alternative Currencies, and (C) on the date of prepayment of any Base Rate Committed Borrowing and (ii) any prepayment of Committed Loans must be in an aggregate amount that is an integral multiple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58</w:t>
      </w:r>
    </w:p>
    <w:p>
      <w:pPr>
        <w:sectPr>
          <w:pgSz w:w="11900" w:h="16838" w:orient="portrait"/>
          <w:cols w:equalWidth="0" w:num="1">
            <w:col w:w="11200"/>
          </w:cols>
          <w:pgMar w:left="320" w:top="1152" w:right="379" w:bottom="1440" w:gutter="0" w:footer="0" w:header="0"/>
        </w:sectPr>
      </w:pPr>
    </w:p>
    <w:bookmarkStart w:id="197" w:name="page198"/>
    <w:bookmarkEnd w:id="197"/>
    <w:p>
      <w:pPr>
        <w:ind w:right="40"/>
        <w:spacing w:after="0" w:line="239" w:lineRule="auto"/>
        <w:rPr>
          <w:sz w:val="20"/>
          <w:szCs w:val="20"/>
          <w:color w:val="auto"/>
        </w:rPr>
      </w:pPr>
      <w:r>
        <w:rPr>
          <w:rFonts w:ascii="Arial" w:cs="Arial" w:eastAsia="Arial" w:hAnsi="Arial"/>
          <w:sz w:val="21"/>
          <w:szCs w:val="21"/>
          <w:color w:val="auto"/>
        </w:rPr>
        <w:t>Borrowing Multiple and not less than the Borrowing Minimum for the applicable currency or, in each case, if less, the entire principal amount thereof then outstanding.</w:t>
      </w:r>
    </w:p>
    <w:p>
      <w:pPr>
        <w:spacing w:after="0" w:line="155" w:lineRule="exact"/>
        <w:rPr>
          <w:sz w:val="20"/>
          <w:szCs w:val="20"/>
          <w:color w:val="auto"/>
        </w:rPr>
      </w:pPr>
    </w:p>
    <w:p>
      <w:pPr>
        <w:jc w:val="both"/>
        <w:ind w:firstLine="624"/>
        <w:spacing w:after="0" w:line="237" w:lineRule="auto"/>
        <w:rPr>
          <w:sz w:val="20"/>
          <w:szCs w:val="20"/>
          <w:color w:val="auto"/>
        </w:rPr>
      </w:pPr>
      <w:r>
        <w:rPr>
          <w:rFonts w:ascii="Arial" w:cs="Arial" w:eastAsia="Arial" w:hAnsi="Arial"/>
          <w:sz w:val="19"/>
          <w:szCs w:val="19"/>
          <w:color w:val="auto"/>
        </w:rPr>
        <w:t xml:space="preserve">Each Prepayment Notice shall specify the prepayment date, the Committed Borrowing or Committed Borrowings to be prepaid and the principal amount of each Committed Borrowing or portion thereof to be prepaid. The Administrative Agent will promptly notify each Lender of its receipt of each Prepayment Notice, and of the amount of such Lender’s Applicable Percentage of such prepayment of any Committed Borrowing. If a Prepayment Notice is given by the Borrower, it will make such prepayment and the payment amount specified in such notice will be due and payable on the date specified therein;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subject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3.05</w:t>
      </w:r>
      <w:r>
        <w:rPr>
          <w:rFonts w:ascii="Arial" w:cs="Arial" w:eastAsia="Arial" w:hAnsi="Arial"/>
          <w:sz w:val="19"/>
          <w:szCs w:val="19"/>
          <w:color w:val="auto"/>
        </w:rPr>
        <w:t xml:space="preserve">, such Prepayment Notice may state that it is conditioned upon the occurrence of one or more events specified therein, in which case such Prepayment Notice may be revoked by the Borrower (by notice to the Administrative Agent on or prior to the specified date of prepayment) if such condition is not satisfied and, in the case of such revocation, the Borrower shall not be required to make such prepayment and such prepayment amount shall cease to be due and payable. Any prepayment of a Committed Loan shall, to the extent required by </w:t>
      </w:r>
      <w:r>
        <w:rPr>
          <w:rFonts w:ascii="Arial" w:cs="Arial" w:eastAsia="Arial" w:hAnsi="Arial"/>
          <w:sz w:val="19"/>
          <w:szCs w:val="19"/>
          <w:u w:val="single" w:color="auto"/>
          <w:color w:val="auto"/>
        </w:rPr>
        <w:t>Section 2.08(d)</w:t>
      </w:r>
      <w:r>
        <w:rPr>
          <w:rFonts w:ascii="Arial" w:cs="Arial" w:eastAsia="Arial" w:hAnsi="Arial"/>
          <w:sz w:val="19"/>
          <w:szCs w:val="19"/>
          <w:color w:val="auto"/>
        </w:rPr>
        <w:t xml:space="preserve">, be accompanied by all accrued interest on the amount prepaid and, in the case of any prepayment of </w:t>
      </w:r>
      <w:r>
        <w:rPr>
          <w:rFonts w:ascii="Arial" w:cs="Arial" w:eastAsia="Arial" w:hAnsi="Arial"/>
          <w:sz w:val="19"/>
          <w:szCs w:val="19"/>
          <w:b w:val="1"/>
          <w:bCs w:val="1"/>
          <w:color w:val="FF0000"/>
          <w:strike w:val="1"/>
        </w:rPr>
        <w:t>Eurocurrency Rate</w:t>
      </w:r>
      <w:r>
        <w:rPr>
          <w:rFonts w:ascii="Arial" w:cs="Arial" w:eastAsia="Arial" w:hAnsi="Arial"/>
          <w:sz w:val="19"/>
          <w:szCs w:val="19"/>
          <w:b w:val="1"/>
          <w:bCs w:val="1"/>
          <w:u w:val="single" w:color="auto"/>
          <w:color w:val="0000FF"/>
        </w:rPr>
        <w:t>Term Benchmark</w:t>
      </w:r>
      <w:r>
        <w:rPr>
          <w:rFonts w:ascii="Arial" w:cs="Arial" w:eastAsia="Arial" w:hAnsi="Arial"/>
          <w:sz w:val="19"/>
          <w:szCs w:val="19"/>
          <w:color w:val="auto"/>
        </w:rPr>
        <w:t xml:space="preserve"> Committed Loans on any day other than on the last day of the Interest Period applicable thereto, shall be subject to </w:t>
      </w:r>
      <w:r>
        <w:rPr>
          <w:rFonts w:ascii="Arial" w:cs="Arial" w:eastAsia="Arial" w:hAnsi="Arial"/>
          <w:sz w:val="19"/>
          <w:szCs w:val="19"/>
          <w:u w:val="single" w:color="auto"/>
          <w:color w:val="auto"/>
        </w:rPr>
        <w:t>Section 3.05</w:t>
      </w:r>
      <w:r>
        <w:rPr>
          <w:rFonts w:ascii="Arial" w:cs="Arial" w:eastAsia="Arial" w:hAnsi="Arial"/>
          <w:sz w:val="19"/>
          <w:szCs w:val="19"/>
          <w:color w:val="auto"/>
        </w:rPr>
        <w:t>. Each prepayment of a Committed Borrowing shall be applied ratably to the Committed Loans comprising the prepaid Committed Borrowing.</w:t>
      </w:r>
    </w:p>
    <w:p>
      <w:pPr>
        <w:spacing w:after="0" w:line="163" w:lineRule="exact"/>
        <w:rPr>
          <w:sz w:val="20"/>
          <w:szCs w:val="20"/>
          <w:color w:val="auto"/>
        </w:rPr>
      </w:pPr>
    </w:p>
    <w:p>
      <w:pPr>
        <w:ind w:left="1040"/>
        <w:spacing w:after="0"/>
        <w:tabs>
          <w:tab w:leader="none" w:pos="1480" w:val="left"/>
        </w:tabs>
        <w:rPr>
          <w:sz w:val="20"/>
          <w:szCs w:val="20"/>
          <w:color w:val="auto"/>
        </w:rPr>
      </w:pPr>
      <w:r>
        <w:rPr>
          <w:rFonts w:ascii="Arial" w:cs="Arial" w:eastAsia="Arial" w:hAnsi="Arial"/>
          <w:sz w:val="21"/>
          <w:szCs w:val="21"/>
          <w:color w:val="auto"/>
        </w:rPr>
        <w:t>(b)</w:t>
      </w:r>
      <w:r>
        <w:rPr>
          <w:sz w:val="20"/>
          <w:szCs w:val="20"/>
          <w:color w:val="auto"/>
        </w:rPr>
        <w:tab/>
      </w:r>
      <w:r>
        <w:rPr>
          <w:rFonts w:ascii="Arial" w:cs="Arial" w:eastAsia="Arial" w:hAnsi="Arial"/>
          <w:sz w:val="19"/>
          <w:szCs w:val="19"/>
          <w:color w:val="auto"/>
        </w:rPr>
        <w:t>No Bid Loan may be prepaid without the prior consent of the applicable Bid Loan Lender.</w:t>
      </w:r>
    </w:p>
    <w:p>
      <w:pPr>
        <w:spacing w:after="0" w:line="183" w:lineRule="exact"/>
        <w:rPr>
          <w:sz w:val="20"/>
          <w:szCs w:val="20"/>
          <w:color w:val="auto"/>
        </w:rPr>
      </w:pPr>
    </w:p>
    <w:p>
      <w:pPr>
        <w:jc w:val="both"/>
        <w:ind w:right="40" w:firstLine="1030"/>
        <w:spacing w:after="0" w:line="233" w:lineRule="auto"/>
        <w:rPr>
          <w:sz w:val="20"/>
          <w:szCs w:val="20"/>
          <w:color w:val="auto"/>
        </w:rPr>
      </w:pPr>
      <w:r>
        <w:rPr>
          <w:rFonts w:ascii="Arial" w:cs="Arial" w:eastAsia="Arial" w:hAnsi="Arial"/>
          <w:sz w:val="20"/>
          <w:szCs w:val="20"/>
          <w:color w:val="auto"/>
        </w:rPr>
        <w:t>(c ) If the Administrative Agent notifies the Borrower at any time that the Total Outstandings at such time exceed the Aggregate Commitments then in effect, then, no later than the next Business Day after receipt of such notice, the Borrower shall prepay Committed Borrowings (and, if no Committed Borrowings are outstanding, shall deposit Cash Collateral in respect of L/C Obligations) in an aggregate amount equal to the lesser of (i) the amount necessary to eliminate such excess and (ii) the Total Outstandings (less the US Dollar Equivalent of Bid Loans then outstanding).</w:t>
      </w:r>
    </w:p>
    <w:p>
      <w:pPr>
        <w:spacing w:after="0" w:line="156" w:lineRule="exact"/>
        <w:rPr>
          <w:sz w:val="20"/>
          <w:szCs w:val="20"/>
          <w:color w:val="auto"/>
        </w:rPr>
      </w:pPr>
    </w:p>
    <w:p>
      <w:pPr>
        <w:jc w:val="both"/>
        <w:ind w:right="40" w:firstLine="1036"/>
        <w:spacing w:after="0" w:line="218" w:lineRule="auto"/>
        <w:tabs>
          <w:tab w:leader="none" w:pos="1601" w:val="left"/>
        </w:tabs>
        <w:numPr>
          <w:ilvl w:val="0"/>
          <w:numId w:val="142"/>
        </w:numPr>
        <w:rPr>
          <w:rFonts w:ascii="Arial" w:cs="Arial" w:eastAsia="Arial" w:hAnsi="Arial"/>
          <w:sz w:val="21"/>
          <w:szCs w:val="21"/>
          <w:color w:val="auto"/>
        </w:rPr>
      </w:pPr>
      <w:r>
        <w:rPr>
          <w:rFonts w:ascii="Arial" w:cs="Arial" w:eastAsia="Arial" w:hAnsi="Arial"/>
          <w:sz w:val="21"/>
          <w:szCs w:val="21"/>
          <w:color w:val="auto"/>
        </w:rPr>
        <w:t>If the Administrative Agent notifies the Borrower at any time that the Outstanding Amount of all Loans and all Letters of Credit denominated in an Alternative Currency or a Discretionary Alternative Currency at such time exceeds an amount equal to 105% of the Alternative Currency Sublimit then in effect, then, within two (2) Business Days after receipt of such notice, the Borrower shall prepay Committed Borrowings denominated in an Alternative Currency (and, if no Committed Borrowings denominated in an Alternative Currency are outstanding, shall deposit Cash Collateral in respect of Letters of Credit denominated in an Alternative Currency) in an aggregate amount equal to the lesser of (i) the amount necessary to eliminate such excess and (ii) the sum of the Outstanding Amount of such Committed Borrowings and the Outstanding Amount of the L/C Obligations in respect of such Letters of Credit.</w:t>
      </w:r>
    </w:p>
    <w:p>
      <w:pPr>
        <w:spacing w:after="0" w:line="153" w:lineRule="exact"/>
        <w:rPr>
          <w:sz w:val="20"/>
          <w:szCs w:val="20"/>
          <w:color w:val="auto"/>
        </w:rPr>
      </w:pPr>
    </w:p>
    <w:p>
      <w:pPr>
        <w:jc w:val="both"/>
        <w:ind w:right="40" w:firstLine="954"/>
        <w:spacing w:after="0" w:line="233" w:lineRule="auto"/>
        <w:rPr>
          <w:sz w:val="20"/>
          <w:szCs w:val="20"/>
          <w:color w:val="auto"/>
        </w:rPr>
      </w:pPr>
      <w:r>
        <w:rPr>
          <w:rFonts w:ascii="Arial" w:cs="Arial" w:eastAsia="Arial" w:hAnsi="Arial"/>
          <w:sz w:val="20"/>
          <w:szCs w:val="20"/>
          <w:color w:val="auto"/>
        </w:rPr>
        <w:t xml:space="preserve">Section 2.06 </w:t>
      </w:r>
      <w:r>
        <w:rPr>
          <w:rFonts w:ascii="Arial" w:cs="Arial" w:eastAsia="Arial" w:hAnsi="Arial"/>
          <w:sz w:val="20"/>
          <w:szCs w:val="20"/>
          <w:u w:val="single" w:color="auto"/>
          <w:color w:val="auto"/>
        </w:rPr>
        <w:t>Termination or Reduction of Commitments</w:t>
      </w:r>
      <w:r>
        <w:rPr>
          <w:rFonts w:ascii="Arial" w:cs="Arial" w:eastAsia="Arial" w:hAnsi="Arial"/>
          <w:sz w:val="20"/>
          <w:szCs w:val="20"/>
          <w:color w:val="auto"/>
        </w:rPr>
        <w:t xml:space="preserve">. Unless previously terminated, the Commitments shall terminate on the Maturity Date. The Borrower may, upon written notice to the Administrative Agent, terminate the Aggregate Commitments, or from time to time permanently reduce the Aggregate Commitments;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any such notice must be received by the Administrative Agent not later than 11:00 a.m., New York City time, three (3) Business Days prior to the date of termination or reduction (or such shorter period of time as may be agreed to by the Administrative Agent), (b)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59</w:t>
      </w:r>
    </w:p>
    <w:p>
      <w:pPr>
        <w:sectPr>
          <w:pgSz w:w="11900" w:h="16838" w:orient="portrait"/>
          <w:cols w:equalWidth="0" w:num="1">
            <w:col w:w="11240"/>
          </w:cols>
          <w:pgMar w:left="320" w:top="1152" w:right="339" w:bottom="1440" w:gutter="0" w:footer="0" w:header="0"/>
        </w:sectPr>
      </w:pPr>
    </w:p>
    <w:bookmarkStart w:id="198" w:name="page199"/>
    <w:bookmarkEnd w:id="198"/>
    <w:p>
      <w:pPr>
        <w:jc w:val="both"/>
        <w:spacing w:after="0" w:line="224" w:lineRule="auto"/>
        <w:rPr>
          <w:sz w:val="20"/>
          <w:szCs w:val="20"/>
          <w:color w:val="auto"/>
        </w:rPr>
      </w:pPr>
      <w:r>
        <w:rPr>
          <w:rFonts w:ascii="Arial" w:cs="Arial" w:eastAsia="Arial" w:hAnsi="Arial"/>
          <w:sz w:val="20"/>
          <w:szCs w:val="20"/>
          <w:color w:val="auto"/>
        </w:rPr>
        <w:t xml:space="preserve">such partial reduction will be in an aggregate amount of $5,000,000 or any whole multiple of $1,000,000 in excess thereof, (c) the Borrower will not terminate or reduce the Aggregate Commitments if, after giving effect thereto and to any concurrent prepayments hereunder, (A) the Outstanding Amount of the Committed Loans of any Lender, plus the Outstanding Amount of such Lender’s Bid Loans plus such Lender’s Applicable Percentage of the Outstanding Amount of all L/C Obligations would exceed its Commitment or (B) the Total Outstandings would exceed the Aggregate Commitments, unless, in each of cases (A) and (B), the Total Outstandings consist solely of the Outstanding Amount of L/C Obligations and the Borrower has concurrently Cash Collateralized the Outstanding Amount of L/C Obligations and (d) if, after giving effect to any reduction of the Aggregate Commitments, the Alternative Currency Sublimit or the Letter of Credit Sublimit exceeds the amount of the Aggregate Commitments, such sublimit shall automatically be reduced by the amount of such excess. Each notice delivered by the Borrower pursuant to this </w:t>
      </w:r>
      <w:r>
        <w:rPr>
          <w:rFonts w:ascii="Arial" w:cs="Arial" w:eastAsia="Arial" w:hAnsi="Arial"/>
          <w:sz w:val="20"/>
          <w:szCs w:val="20"/>
          <w:u w:val="single" w:color="auto"/>
          <w:color w:val="auto"/>
        </w:rPr>
        <w:t>Section 2.06</w:t>
      </w:r>
      <w:r>
        <w:rPr>
          <w:rFonts w:ascii="Arial" w:cs="Arial" w:eastAsia="Arial" w:hAnsi="Arial"/>
          <w:sz w:val="20"/>
          <w:szCs w:val="20"/>
          <w:color w:val="auto"/>
        </w:rPr>
        <w:t xml:space="preserve"> shall be irrevocable;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notice of termination of the Aggregate Commitments delivered by the Borrower may state that such notice is conditioned upon the occurrence of one or more events specified therein, in which case such notice may be revoked by the Borrower (by notice to the Administrative Agent prior to the specified date of termination) if such condition is not satisfied and, in the case of such revocation, such termination will not be effective. Promptly following receipt of any notice pursuant to </w:t>
      </w:r>
      <w:r>
        <w:rPr>
          <w:rFonts w:ascii="Arial" w:cs="Arial" w:eastAsia="Arial" w:hAnsi="Arial"/>
          <w:sz w:val="20"/>
          <w:szCs w:val="20"/>
          <w:u w:val="single" w:color="auto"/>
          <w:color w:val="auto"/>
        </w:rPr>
        <w:t>Section 2.06</w:t>
      </w:r>
      <w:r>
        <w:rPr>
          <w:rFonts w:ascii="Arial" w:cs="Arial" w:eastAsia="Arial" w:hAnsi="Arial"/>
          <w:sz w:val="20"/>
          <w:szCs w:val="20"/>
          <w:color w:val="auto"/>
        </w:rPr>
        <w:t>, the Administrative Agent will notify the Lenders of the details thereof. Any partial reduction of the Aggregate Commitments will be applied to the Commitment of each Lender according to its Applicable Percentage. Any termination or reduction of the Commitments shall be permanent. All Unused Commitment Fees accrued through the date of any termination or reduction of the Commitments (in the case of any reduction, in respect of the aggregate amount of the Commitments subject to such reduction) shall be payable on the date of such termination or reduction. Except as otherwise set forth above, the amount of any such Aggregate Commitment reduction will not be applied to the Alternative Currency Sublimit or the Letter of Credit Sublimit unless otherwise specified by the Borrower.</w:t>
      </w:r>
    </w:p>
    <w:p>
      <w:pPr>
        <w:spacing w:after="0" w:line="159" w:lineRule="exact"/>
        <w:rPr>
          <w:sz w:val="20"/>
          <w:szCs w:val="20"/>
          <w:color w:val="auto"/>
        </w:rPr>
      </w:pPr>
    </w:p>
    <w:p>
      <w:pPr>
        <w:jc w:val="both"/>
        <w:ind w:firstLine="954"/>
        <w:spacing w:after="0" w:line="239" w:lineRule="auto"/>
        <w:rPr>
          <w:sz w:val="20"/>
          <w:szCs w:val="20"/>
          <w:color w:val="auto"/>
        </w:rPr>
      </w:pPr>
      <w:r>
        <w:rPr>
          <w:rFonts w:ascii="Arial" w:cs="Arial" w:eastAsia="Arial" w:hAnsi="Arial"/>
          <w:sz w:val="21"/>
          <w:szCs w:val="21"/>
          <w:color w:val="auto"/>
        </w:rPr>
        <w:t xml:space="preserve">Section 2.07 </w:t>
      </w:r>
      <w:r>
        <w:rPr>
          <w:rFonts w:ascii="Arial" w:cs="Arial" w:eastAsia="Arial" w:hAnsi="Arial"/>
          <w:sz w:val="21"/>
          <w:szCs w:val="21"/>
          <w:u w:val="single" w:color="auto"/>
          <w:color w:val="auto"/>
        </w:rPr>
        <w:t>Repayment of Loans</w:t>
      </w:r>
      <w:r>
        <w:rPr>
          <w:rFonts w:ascii="Arial" w:cs="Arial" w:eastAsia="Arial" w:hAnsi="Arial"/>
          <w:sz w:val="21"/>
          <w:szCs w:val="21"/>
          <w:color w:val="auto"/>
        </w:rPr>
        <w:t>. (a) The Borrower will repay to the Administrative Agent, for the account of the Lenders, on the Maturity Date the aggregate principal amount of Committed Loans outstanding on such date.</w:t>
      </w:r>
    </w:p>
    <w:p>
      <w:pPr>
        <w:spacing w:after="0" w:line="155" w:lineRule="exact"/>
        <w:rPr>
          <w:sz w:val="20"/>
          <w:szCs w:val="20"/>
          <w:color w:val="auto"/>
        </w:rPr>
      </w:pPr>
    </w:p>
    <w:p>
      <w:pPr>
        <w:ind w:firstLine="1036"/>
        <w:spacing w:after="0" w:line="239" w:lineRule="auto"/>
        <w:tabs>
          <w:tab w:leader="none" w:pos="1547" w:val="left"/>
        </w:tabs>
        <w:numPr>
          <w:ilvl w:val="0"/>
          <w:numId w:val="143"/>
        </w:numPr>
        <w:rPr>
          <w:rFonts w:ascii="Arial" w:cs="Arial" w:eastAsia="Arial" w:hAnsi="Arial"/>
          <w:sz w:val="21"/>
          <w:szCs w:val="21"/>
          <w:color w:val="auto"/>
        </w:rPr>
      </w:pPr>
      <w:r>
        <w:rPr>
          <w:rFonts w:ascii="Arial" w:cs="Arial" w:eastAsia="Arial" w:hAnsi="Arial"/>
          <w:sz w:val="21"/>
          <w:szCs w:val="21"/>
          <w:color w:val="auto"/>
        </w:rPr>
        <w:t>The Borrower shall repay to the Administrative Agent, for the account of the applicable Bid Loan Lender, each Bid Loan on the last day of the Interest Period in respect thereof.</w:t>
      </w:r>
    </w:p>
    <w:p>
      <w:pPr>
        <w:spacing w:after="0" w:line="149" w:lineRule="exact"/>
        <w:rPr>
          <w:sz w:val="20"/>
          <w:szCs w:val="20"/>
          <w:color w:val="auto"/>
        </w:rPr>
      </w:pPr>
    </w:p>
    <w:p>
      <w:pPr>
        <w:jc w:val="both"/>
        <w:ind w:firstLine="954"/>
        <w:spacing w:after="0" w:line="228" w:lineRule="auto"/>
        <w:rPr>
          <w:sz w:val="20"/>
          <w:szCs w:val="20"/>
          <w:color w:val="auto"/>
        </w:rPr>
      </w:pPr>
      <w:r>
        <w:rPr>
          <w:rFonts w:ascii="Arial" w:cs="Arial" w:eastAsia="Arial" w:hAnsi="Arial"/>
          <w:sz w:val="20"/>
          <w:szCs w:val="20"/>
          <w:color w:val="auto"/>
        </w:rPr>
        <w:t xml:space="preserve">Section 2.08 </w:t>
      </w:r>
      <w:r>
        <w:rPr>
          <w:rFonts w:ascii="Arial" w:cs="Arial" w:eastAsia="Arial" w:hAnsi="Arial"/>
          <w:sz w:val="20"/>
          <w:szCs w:val="20"/>
          <w:u w:val="single" w:color="auto"/>
          <w:color w:val="auto"/>
        </w:rPr>
        <w:t>Interest</w:t>
      </w:r>
      <w:r>
        <w:rPr>
          <w:rFonts w:ascii="Arial" w:cs="Arial" w:eastAsia="Arial" w:hAnsi="Arial"/>
          <w:sz w:val="20"/>
          <w:szCs w:val="20"/>
          <w:color w:val="auto"/>
        </w:rPr>
        <w:t xml:space="preserve">. (a) Subject to the provisions of </w:t>
      </w:r>
      <w:r>
        <w:rPr>
          <w:rFonts w:ascii="Arial" w:cs="Arial" w:eastAsia="Arial" w:hAnsi="Arial"/>
          <w:sz w:val="20"/>
          <w:szCs w:val="20"/>
          <w:u w:val="single" w:color="auto"/>
          <w:color w:val="auto"/>
        </w:rPr>
        <w:t>Section 2.08(b)</w:t>
      </w:r>
      <w:r>
        <w:rPr>
          <w:rFonts w:ascii="Arial" w:cs="Arial" w:eastAsia="Arial" w:hAnsi="Arial"/>
          <w:sz w:val="20"/>
          <w:szCs w:val="20"/>
          <w:color w:val="auto"/>
        </w:rPr>
        <w:t xml:space="preserve">, (i) each </w:t>
      </w:r>
      <w:r>
        <w:rPr>
          <w:rFonts w:ascii="Arial" w:cs="Arial" w:eastAsia="Arial" w:hAnsi="Arial"/>
          <w:sz w:val="20"/>
          <w:szCs w:val="20"/>
          <w:b w:val="1"/>
          <w:bCs w:val="1"/>
          <w:color w:val="FF0000"/>
          <w:strike w:val="1"/>
        </w:rPr>
        <w:t>Eurocurrency Rate</w:t>
      </w:r>
      <w:r>
        <w:rPr>
          <w:rFonts w:ascii="Arial" w:cs="Arial" w:eastAsia="Arial" w:hAnsi="Arial"/>
          <w:sz w:val="20"/>
          <w:szCs w:val="20"/>
          <w:b w:val="1"/>
          <w:bCs w:val="1"/>
          <w:u w:val="single" w:color="auto"/>
          <w:color w:val="0000FF"/>
        </w:rPr>
        <w:t>Term Benchmark</w:t>
      </w:r>
      <w:r>
        <w:rPr>
          <w:rFonts w:ascii="Arial" w:cs="Arial" w:eastAsia="Arial" w:hAnsi="Arial"/>
          <w:sz w:val="20"/>
          <w:szCs w:val="20"/>
          <w:color w:val="auto"/>
        </w:rPr>
        <w:t xml:space="preserve"> Committed Loan denominated in US Dollars will bear interest on the outstanding principal amount thereof for each Interest Period at a rate per annum equal to the Adjusted </w:t>
      </w:r>
      <w:r>
        <w:rPr>
          <w:rFonts w:ascii="Arial" w:cs="Arial" w:eastAsia="Arial" w:hAnsi="Arial"/>
          <w:sz w:val="20"/>
          <w:szCs w:val="20"/>
          <w:b w:val="1"/>
          <w:bCs w:val="1"/>
          <w:color w:val="FF0000"/>
          <w:strike w:val="1"/>
        </w:rPr>
        <w:t>Eurocurrency</w:t>
      </w:r>
      <w:r>
        <w:rPr>
          <w:rFonts w:ascii="Arial" w:cs="Arial" w:eastAsia="Arial" w:hAnsi="Arial"/>
          <w:sz w:val="20"/>
          <w:szCs w:val="20"/>
          <w:b w:val="1"/>
          <w:bCs w:val="1"/>
          <w:u w:val="single" w:color="auto"/>
          <w:color w:val="0000FF"/>
        </w:rPr>
        <w:t>Term SOFR</w:t>
      </w:r>
      <w:r>
        <w:rPr>
          <w:rFonts w:ascii="Arial" w:cs="Arial" w:eastAsia="Arial" w:hAnsi="Arial"/>
          <w:sz w:val="20"/>
          <w:szCs w:val="20"/>
          <w:color w:val="auto"/>
        </w:rPr>
        <w:t xml:space="preserve"> Rate for such Interest Period plus the Applicable Rate, (ii) each </w:t>
      </w:r>
      <w:r>
        <w:rPr>
          <w:rFonts w:ascii="Arial" w:cs="Arial" w:eastAsia="Arial" w:hAnsi="Arial"/>
          <w:sz w:val="20"/>
          <w:szCs w:val="20"/>
          <w:b w:val="1"/>
          <w:bCs w:val="1"/>
          <w:color w:val="FF0000"/>
          <w:strike w:val="1"/>
        </w:rPr>
        <w:t>Eurocurrency Rate Committed Loan denominated in an Alternative Currency will</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0000FF"/>
        </w:rPr>
        <w:t>RFR Loan shall</w:t>
      </w:r>
      <w:r>
        <w:rPr>
          <w:rFonts w:ascii="Arial" w:cs="Arial" w:eastAsia="Arial" w:hAnsi="Arial"/>
          <w:sz w:val="20"/>
          <w:szCs w:val="20"/>
          <w:color w:val="auto"/>
        </w:rPr>
        <w:t xml:space="preserve"> bear interest </w:t>
      </w:r>
      <w:r>
        <w:rPr>
          <w:rFonts w:ascii="Arial" w:cs="Arial" w:eastAsia="Arial" w:hAnsi="Arial"/>
          <w:sz w:val="20"/>
          <w:szCs w:val="20"/>
          <w:b w:val="1"/>
          <w:bCs w:val="1"/>
          <w:color w:val="FF0000"/>
          <w:strike w:val="1"/>
        </w:rPr>
        <w:t>on the</w:t>
      </w:r>
      <w:r>
        <w:rPr>
          <w:rFonts w:ascii="Arial" w:cs="Arial" w:eastAsia="Arial" w:hAnsi="Arial"/>
          <w:sz w:val="20"/>
          <w:szCs w:val="20"/>
          <w:color w:val="auto"/>
        </w:rPr>
        <w:t xml:space="preserve"> </w:t>
      </w:r>
      <w:r>
        <w:rPr>
          <w:rFonts w:ascii="Arial" w:cs="Arial" w:eastAsia="Arial" w:hAnsi="Arial"/>
          <w:sz w:val="20"/>
          <w:szCs w:val="20"/>
          <w:b w:val="1"/>
          <w:bCs w:val="1"/>
          <w:color w:val="FF0000"/>
          <w:strike w:val="1"/>
        </w:rPr>
        <w:t>outstanding principal amount thereof for each Interest Period</w:t>
      </w:r>
      <w:r>
        <w:rPr>
          <w:rFonts w:ascii="Arial" w:cs="Arial" w:eastAsia="Arial" w:hAnsi="Arial"/>
          <w:sz w:val="20"/>
          <w:szCs w:val="20"/>
          <w:b w:val="1"/>
          <w:bCs w:val="1"/>
          <w:color w:val="FF0000"/>
        </w:rPr>
        <w:t xml:space="preserve"> </w:t>
      </w:r>
      <w:r>
        <w:rPr>
          <w:rFonts w:ascii="Arial" w:cs="Arial" w:eastAsia="Arial" w:hAnsi="Arial"/>
          <w:sz w:val="20"/>
          <w:szCs w:val="20"/>
          <w:color w:val="000000"/>
        </w:rPr>
        <w:t>at a rate per annum equal to the</w:t>
      </w:r>
      <w:r>
        <w:rPr>
          <w:rFonts w:ascii="Arial" w:cs="Arial" w:eastAsia="Arial" w:hAnsi="Arial"/>
          <w:sz w:val="20"/>
          <w:szCs w:val="20"/>
          <w:b w:val="1"/>
          <w:bCs w:val="1"/>
          <w:color w:val="FF0000"/>
        </w:rPr>
        <w:t xml:space="preserve"> </w:t>
      </w:r>
      <w:r>
        <w:rPr>
          <w:rFonts w:ascii="Arial" w:cs="Arial" w:eastAsia="Arial" w:hAnsi="Arial"/>
          <w:sz w:val="20"/>
          <w:szCs w:val="20"/>
          <w:b w:val="1"/>
          <w:bCs w:val="1"/>
          <w:color w:val="FF0000"/>
          <w:strike w:val="1"/>
        </w:rPr>
        <w:t>Eurocurrency Rate for such</w:t>
      </w:r>
      <w:r>
        <w:rPr>
          <w:rFonts w:ascii="Arial" w:cs="Arial" w:eastAsia="Arial" w:hAnsi="Arial"/>
          <w:sz w:val="20"/>
          <w:szCs w:val="20"/>
          <w:b w:val="1"/>
          <w:bCs w:val="1"/>
          <w:color w:val="FF0000"/>
        </w:rPr>
        <w:t xml:space="preserve"> </w:t>
      </w:r>
      <w:r>
        <w:rPr>
          <w:rFonts w:ascii="Arial" w:cs="Arial" w:eastAsia="Arial" w:hAnsi="Arial"/>
          <w:sz w:val="20"/>
          <w:szCs w:val="20"/>
          <w:b w:val="1"/>
          <w:bCs w:val="1"/>
          <w:color w:val="FF0000"/>
          <w:strike w:val="1"/>
        </w:rPr>
        <w:t>Interest Period</w:t>
      </w:r>
      <w:r>
        <w:rPr>
          <w:rFonts w:ascii="Arial" w:cs="Arial" w:eastAsia="Arial" w:hAnsi="Arial"/>
          <w:sz w:val="20"/>
          <w:szCs w:val="20"/>
          <w:b w:val="1"/>
          <w:bCs w:val="1"/>
          <w:color w:val="FF0000"/>
        </w:rPr>
        <w:t xml:space="preserve"> </w:t>
      </w:r>
      <w:r>
        <w:rPr>
          <w:rFonts w:ascii="Arial" w:cs="Arial" w:eastAsia="Arial" w:hAnsi="Arial"/>
          <w:sz w:val="20"/>
          <w:szCs w:val="20"/>
          <w:b w:val="1"/>
          <w:bCs w:val="1"/>
          <w:u w:val="single" w:color="auto"/>
          <w:color w:val="0000FF"/>
        </w:rPr>
        <w:t>Adjusted Daily Simple SOFR</w:t>
      </w:r>
      <w:r>
        <w:rPr>
          <w:rFonts w:ascii="Arial" w:cs="Arial" w:eastAsia="Arial" w:hAnsi="Arial"/>
          <w:sz w:val="20"/>
          <w:szCs w:val="20"/>
          <w:b w:val="1"/>
          <w:bCs w:val="1"/>
          <w:color w:val="FF0000"/>
        </w:rPr>
        <w:t xml:space="preserve"> </w:t>
      </w:r>
      <w:r>
        <w:rPr>
          <w:rFonts w:ascii="Arial" w:cs="Arial" w:eastAsia="Arial" w:hAnsi="Arial"/>
          <w:sz w:val="20"/>
          <w:szCs w:val="20"/>
          <w:color w:val="000000"/>
        </w:rPr>
        <w:t>plus the Applicable Rate, (iii) each Base Rate Committed Loan will bear interest on</w:t>
      </w:r>
      <w:r>
        <w:rPr>
          <w:rFonts w:ascii="Arial" w:cs="Arial" w:eastAsia="Arial" w:hAnsi="Arial"/>
          <w:sz w:val="20"/>
          <w:szCs w:val="20"/>
          <w:b w:val="1"/>
          <w:bCs w:val="1"/>
          <w:color w:val="FF0000"/>
        </w:rPr>
        <w:t xml:space="preserve"> </w:t>
      </w:r>
      <w:r>
        <w:rPr>
          <w:rFonts w:ascii="Arial" w:cs="Arial" w:eastAsia="Arial" w:hAnsi="Arial"/>
          <w:sz w:val="20"/>
          <w:szCs w:val="20"/>
          <w:color w:val="000000"/>
        </w:rPr>
        <w:t xml:space="preserve">the outstanding principal amount thereof at a rate per annum equal to the Base Rate plus the Applicable Rate and (iv) each Bid Loan shall bear interest on the outstanding principal amount thereof for the Interest Period therefor at a rate per annum determined in accordance with </w:t>
      </w:r>
      <w:r>
        <w:rPr>
          <w:rFonts w:ascii="Arial" w:cs="Arial" w:eastAsia="Arial" w:hAnsi="Arial"/>
          <w:sz w:val="20"/>
          <w:szCs w:val="20"/>
          <w:u w:val="single" w:color="auto"/>
          <w:color w:val="000000"/>
        </w:rPr>
        <w:t>Section 2.03</w:t>
      </w:r>
      <w:r>
        <w:rPr>
          <w:rFonts w:ascii="Arial" w:cs="Arial" w:eastAsia="Arial" w:hAnsi="Arial"/>
          <w:sz w:val="20"/>
          <w:szCs w:val="2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60</w:t>
      </w:r>
    </w:p>
    <w:p>
      <w:pPr>
        <w:sectPr>
          <w:pgSz w:w="11900" w:h="16838" w:orient="portrait"/>
          <w:cols w:equalWidth="0" w:num="1">
            <w:col w:w="11200"/>
          </w:cols>
          <w:pgMar w:left="320" w:top="1152" w:right="379" w:bottom="1440" w:gutter="0" w:footer="0" w:header="0"/>
        </w:sectPr>
      </w:pPr>
    </w:p>
    <w:bookmarkStart w:id="199" w:name="page200"/>
    <w:bookmarkEnd w:id="199"/>
    <w:p>
      <w:pPr>
        <w:jc w:val="both"/>
        <w:ind w:firstLine="1036"/>
        <w:spacing w:after="0" w:line="228" w:lineRule="auto"/>
        <w:tabs>
          <w:tab w:leader="none" w:pos="153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 xml:space="preserve">Notwithstanding the foregoing, if any principal of or interest on any Loan or any fee or other amount (including any Unreimbursed Amount) payable by the Borrower hereunder is not paid when due, whether at stated maturity, upon acceleration or otherwise, such overdue amount shall bear interest, after as well as before judgment, at a rate per annum equal to (i) in the case of overdue principal of any Loan, 2.00% per annum plus the rate otherwise applicable to such Loan as provided in </w:t>
      </w:r>
      <w:r>
        <w:rPr>
          <w:rFonts w:ascii="Arial" w:cs="Arial" w:eastAsia="Arial" w:hAnsi="Arial"/>
          <w:sz w:val="20"/>
          <w:szCs w:val="20"/>
          <w:u w:val="single" w:color="auto"/>
          <w:color w:val="auto"/>
        </w:rPr>
        <w:t>Section 2.08(a)</w:t>
      </w:r>
      <w:r>
        <w:rPr>
          <w:rFonts w:ascii="Arial" w:cs="Arial" w:eastAsia="Arial" w:hAnsi="Arial"/>
          <w:sz w:val="20"/>
          <w:szCs w:val="20"/>
          <w:color w:val="auto"/>
        </w:rPr>
        <w:t xml:space="preserve"> or (ii) in the case of any other amount, (A) in the case of any such amount denominated in US Dollars, 2.00% per annum plus the rate applicable to Base Rate Committed Loans as provided in </w:t>
      </w:r>
      <w:r>
        <w:rPr>
          <w:rFonts w:ascii="Arial" w:cs="Arial" w:eastAsia="Arial" w:hAnsi="Arial"/>
          <w:sz w:val="20"/>
          <w:szCs w:val="20"/>
          <w:u w:val="single" w:color="auto"/>
          <w:color w:val="auto"/>
        </w:rPr>
        <w:t>Section 2.08(a)</w:t>
      </w:r>
      <w:r>
        <w:rPr>
          <w:rFonts w:ascii="Arial" w:cs="Arial" w:eastAsia="Arial" w:hAnsi="Arial"/>
          <w:sz w:val="20"/>
          <w:szCs w:val="20"/>
          <w:color w:val="auto"/>
        </w:rPr>
        <w:t xml:space="preserve"> and (B) in the case of any such amount denominated in any other currency, 2.00% per annum plus the Overnight Rate for such currency plus the Applicable Rate for </w:t>
      </w:r>
      <w:r>
        <w:rPr>
          <w:rFonts w:ascii="Arial" w:cs="Arial" w:eastAsia="Arial" w:hAnsi="Arial"/>
          <w:sz w:val="20"/>
          <w:szCs w:val="20"/>
          <w:b w:val="1"/>
          <w:bCs w:val="1"/>
          <w:color w:val="FF0000"/>
          <w:strike w:val="1"/>
        </w:rPr>
        <w:t>Eurocurrency</w:t>
      </w:r>
      <w:r>
        <w:rPr>
          <w:rFonts w:ascii="Arial" w:cs="Arial" w:eastAsia="Arial" w:hAnsi="Arial"/>
          <w:sz w:val="20"/>
          <w:szCs w:val="20"/>
          <w:color w:val="auto"/>
        </w:rPr>
        <w:t xml:space="preserve"> </w:t>
      </w:r>
      <w:r>
        <w:rPr>
          <w:rFonts w:ascii="Arial" w:cs="Arial" w:eastAsia="Arial" w:hAnsi="Arial"/>
          <w:sz w:val="20"/>
          <w:szCs w:val="20"/>
          <w:b w:val="1"/>
          <w:bCs w:val="1"/>
          <w:color w:val="FF0000"/>
          <w:strike w:val="1"/>
        </w:rPr>
        <w:t>Rate</w:t>
      </w:r>
      <w:r>
        <w:rPr>
          <w:rFonts w:ascii="Arial" w:cs="Arial" w:eastAsia="Arial" w:hAnsi="Arial"/>
          <w:sz w:val="20"/>
          <w:szCs w:val="20"/>
          <w:b w:val="1"/>
          <w:bCs w:val="1"/>
          <w:u w:val="single" w:color="auto"/>
          <w:color w:val="0000FF"/>
        </w:rPr>
        <w:t>Term Benchmark</w:t>
      </w:r>
      <w:r>
        <w:rPr>
          <w:rFonts w:ascii="Arial" w:cs="Arial" w:eastAsia="Arial" w:hAnsi="Arial"/>
          <w:sz w:val="20"/>
          <w:szCs w:val="20"/>
          <w:b w:val="1"/>
          <w:bCs w:val="1"/>
          <w:color w:val="FF0000"/>
        </w:rPr>
        <w:t xml:space="preserve"> </w:t>
      </w:r>
      <w:r>
        <w:rPr>
          <w:rFonts w:ascii="Arial" w:cs="Arial" w:eastAsia="Arial" w:hAnsi="Arial"/>
          <w:sz w:val="20"/>
          <w:szCs w:val="20"/>
          <w:color w:val="000000"/>
        </w:rPr>
        <w:t>Committed Loans.</w:t>
      </w:r>
    </w:p>
    <w:p>
      <w:pPr>
        <w:spacing w:after="0" w:line="160" w:lineRule="exact"/>
        <w:rPr>
          <w:rFonts w:ascii="Arial" w:cs="Arial" w:eastAsia="Arial" w:hAnsi="Arial"/>
          <w:sz w:val="20"/>
          <w:szCs w:val="20"/>
          <w:color w:val="auto"/>
        </w:rPr>
      </w:pPr>
    </w:p>
    <w:p>
      <w:pPr>
        <w:ind w:left="1500" w:hanging="464"/>
        <w:spacing w:after="0"/>
        <w:tabs>
          <w:tab w:leader="none" w:pos="150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Accrued and unpaid interest on past due amounts (including interest on past due interest) shall be due and payable</w:t>
      </w:r>
    </w:p>
    <w:p>
      <w:pPr>
        <w:spacing w:after="0" w:line="1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upon demand.</w:t>
      </w:r>
    </w:p>
    <w:p>
      <w:pPr>
        <w:spacing w:after="0" w:line="164" w:lineRule="exact"/>
        <w:rPr>
          <w:rFonts w:ascii="Arial" w:cs="Arial" w:eastAsia="Arial" w:hAnsi="Arial"/>
          <w:sz w:val="19"/>
          <w:szCs w:val="19"/>
          <w:color w:val="auto"/>
        </w:rPr>
      </w:pPr>
    </w:p>
    <w:p>
      <w:pPr>
        <w:jc w:val="both"/>
        <w:ind w:firstLine="1036"/>
        <w:spacing w:after="0" w:line="217" w:lineRule="auto"/>
        <w:tabs>
          <w:tab w:leader="none" w:pos="1499" w:val="left"/>
        </w:tabs>
        <w:numPr>
          <w:ilvl w:val="0"/>
          <w:numId w:val="144"/>
        </w:numPr>
        <w:rPr>
          <w:rFonts w:ascii="Arial" w:cs="Arial" w:eastAsia="Arial" w:hAnsi="Arial"/>
          <w:sz w:val="21"/>
          <w:szCs w:val="21"/>
          <w:color w:val="auto"/>
        </w:rPr>
      </w:pPr>
      <w:r>
        <w:rPr>
          <w:rFonts w:ascii="Arial" w:cs="Arial" w:eastAsia="Arial" w:hAnsi="Arial"/>
          <w:sz w:val="21"/>
          <w:szCs w:val="21"/>
          <w:color w:val="auto"/>
        </w:rPr>
        <w:t xml:space="preserve">Interest on each Loan will be due and payable in arrears on each Interest Payment Date applicable thereto, at such other times as may be specified herein and upon termination of the Aggregate Commitments;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in the event of any repayment or prepayment of any Loan (other than a prepayment of a Base Rate Committed Loan prior to the end of the Availability Period), accrued interest on the principal amount repaid or prepaid shall be payable on the date of such repayment or prepayment and (ii) in the event of any conversion of any </w:t>
      </w:r>
      <w:r>
        <w:rPr>
          <w:rFonts w:ascii="Arial" w:cs="Arial" w:eastAsia="Arial" w:hAnsi="Arial"/>
          <w:sz w:val="21"/>
          <w:szCs w:val="21"/>
          <w:b w:val="1"/>
          <w:bCs w:val="1"/>
          <w:color w:val="FF0000"/>
          <w:strike w:val="1"/>
        </w:rPr>
        <w:t>Eurocurrency Rate</w:t>
      </w:r>
      <w:r>
        <w:rPr>
          <w:rFonts w:ascii="Arial" w:cs="Arial" w:eastAsia="Arial" w:hAnsi="Arial"/>
          <w:sz w:val="21"/>
          <w:szCs w:val="21"/>
          <w:b w:val="1"/>
          <w:bCs w:val="1"/>
          <w:u w:val="single" w:color="auto"/>
          <w:color w:val="0000FF"/>
        </w:rPr>
        <w:t>Term Benchmark</w:t>
      </w:r>
      <w:r>
        <w:rPr>
          <w:rFonts w:ascii="Arial" w:cs="Arial" w:eastAsia="Arial" w:hAnsi="Arial"/>
          <w:sz w:val="21"/>
          <w:szCs w:val="21"/>
          <w:color w:val="auto"/>
        </w:rPr>
        <w:t xml:space="preserve"> Loan prior to the end of the current Interest Period therefor, accrued interest on such Loan shall be payable on the effective date of such conversion. All interest shall be payable in the currency in which the applicable Loan is denominated. Interest hereunder will be due and payable in accordance with the terms hereof before and after judgment, and before and after the commencement of any proceeding under any Debtor Relief Law.</w:t>
      </w:r>
    </w:p>
    <w:p>
      <w:pPr>
        <w:spacing w:after="0" w:line="148" w:lineRule="exact"/>
        <w:rPr>
          <w:rFonts w:ascii="Arial" w:cs="Arial" w:eastAsia="Arial" w:hAnsi="Arial"/>
          <w:sz w:val="21"/>
          <w:szCs w:val="21"/>
          <w:color w:val="auto"/>
        </w:rPr>
      </w:pPr>
    </w:p>
    <w:p>
      <w:pPr>
        <w:jc w:val="both"/>
        <w:ind w:firstLine="1036"/>
        <w:spacing w:after="0" w:line="242" w:lineRule="auto"/>
        <w:tabs>
          <w:tab w:leader="none" w:pos="1519" w:val="left"/>
        </w:tabs>
        <w:numPr>
          <w:ilvl w:val="0"/>
          <w:numId w:val="144"/>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 xml:space="preserve">Notwithstanding the foregoing, all “Eurocurrency Rate Loans” (as defined in this Agreement immediately prior to giving effect to Amendment No. 1 to this Agreement on the Amendment No. 1 Effective Date) outstanding as of the Amendment No. 1 Effective Date shall remain Eurocurrency Rate Loans outstanding under this Agreement (upon giving effect to Amendment No. 1 to this Agreement on the Amendment No. 1 Effective Date) until the end of the current Interest Period applicable thereto and, upon the expiration of such current Interest Period, shall be converted to Term Benchmark Loans with an Interest Period of one (1) month (the “SOFR Conversion”). Subject to the SOFR Conversion, all other terms and conditions set forth in this Agreement with respect to Term Benchmark Loans shall apply to such “Eurocurrency Rate Loans” referred to in the first sentence of this clause (e), </w:t>
      </w:r>
      <w:r>
        <w:rPr>
          <w:rFonts w:ascii="Arial" w:cs="Arial" w:eastAsia="Arial" w:hAnsi="Arial"/>
          <w:sz w:val="19"/>
          <w:szCs w:val="19"/>
          <w:b w:val="1"/>
          <w:bCs w:val="1"/>
          <w:i w:val="1"/>
          <w:iCs w:val="1"/>
          <w:u w:val="single" w:color="auto"/>
          <w:color w:val="0000FF"/>
        </w:rPr>
        <w:t>mutatis mutandis</w:t>
      </w:r>
      <w:r>
        <w:rPr>
          <w:rFonts w:ascii="Arial" w:cs="Arial" w:eastAsia="Arial" w:hAnsi="Arial"/>
          <w:sz w:val="19"/>
          <w:szCs w:val="19"/>
          <w:b w:val="1"/>
          <w:bCs w:val="1"/>
          <w:u w:val="single" w:color="auto"/>
          <w:color w:val="0000FF"/>
        </w:rPr>
        <w:t>.</w:t>
      </w:r>
    </w:p>
    <w:p>
      <w:pPr>
        <w:spacing w:after="0" w:line="152" w:lineRule="exact"/>
        <w:rPr>
          <w:sz w:val="20"/>
          <w:szCs w:val="20"/>
          <w:color w:val="auto"/>
        </w:rPr>
      </w:pPr>
    </w:p>
    <w:p>
      <w:pPr>
        <w:ind w:left="960"/>
        <w:spacing w:after="0"/>
        <w:tabs>
          <w:tab w:leader="none" w:pos="2220" w:val="left"/>
        </w:tabs>
        <w:rPr>
          <w:sz w:val="20"/>
          <w:szCs w:val="20"/>
          <w:color w:val="auto"/>
        </w:rPr>
      </w:pPr>
      <w:r>
        <w:rPr>
          <w:rFonts w:ascii="Arial" w:cs="Arial" w:eastAsia="Arial" w:hAnsi="Arial"/>
          <w:sz w:val="21"/>
          <w:szCs w:val="21"/>
          <w:color w:val="auto"/>
        </w:rPr>
        <w:t>Section 2.09</w:t>
      </w:r>
      <w:r>
        <w:rPr>
          <w:sz w:val="20"/>
          <w:szCs w:val="20"/>
          <w:color w:val="auto"/>
        </w:rPr>
        <w:tab/>
      </w:r>
      <w:r>
        <w:rPr>
          <w:rFonts w:ascii="Arial" w:cs="Arial" w:eastAsia="Arial" w:hAnsi="Arial"/>
          <w:sz w:val="19"/>
          <w:szCs w:val="19"/>
          <w:u w:val="single" w:color="auto"/>
          <w:color w:val="auto"/>
        </w:rPr>
        <w:t>Fees</w:t>
      </w:r>
      <w:r>
        <w:rPr>
          <w:rFonts w:ascii="Arial" w:cs="Arial" w:eastAsia="Arial" w:hAnsi="Arial"/>
          <w:sz w:val="19"/>
          <w:szCs w:val="19"/>
          <w:color w:val="auto"/>
        </w:rPr>
        <w:t>. In addition to certain fees described in</w:t>
      </w:r>
      <w:r>
        <w:rPr>
          <w:rFonts w:ascii="Arial" w:cs="Arial" w:eastAsia="Arial" w:hAnsi="Arial"/>
          <w:sz w:val="19"/>
          <w:szCs w:val="19"/>
          <w:u w:val="single" w:color="auto"/>
          <w:color w:val="auto"/>
        </w:rPr>
        <w:t xml:space="preserve"> Sections 2.04(h) </w:t>
      </w:r>
      <w:r>
        <w:rPr>
          <w:rFonts w:ascii="Arial" w:cs="Arial" w:eastAsia="Arial" w:hAnsi="Arial"/>
          <w:sz w:val="19"/>
          <w:szCs w:val="19"/>
          <w:color w:val="auto"/>
        </w:rPr>
        <w:t>and</w:t>
      </w:r>
      <w:r>
        <w:rPr>
          <w:rFonts w:ascii="Arial" w:cs="Arial" w:eastAsia="Arial" w:hAnsi="Arial"/>
          <w:sz w:val="19"/>
          <w:szCs w:val="19"/>
          <w:u w:val="single" w:color="auto"/>
          <w:color w:val="auto"/>
        </w:rPr>
        <w:t xml:space="preserve"> 2.04(i)</w:t>
      </w:r>
      <w:r>
        <w:rPr>
          <w:rFonts w:ascii="Arial" w:cs="Arial" w:eastAsia="Arial" w:hAnsi="Arial"/>
          <w:sz w:val="19"/>
          <w:szCs w:val="19"/>
          <w:color w:val="auto"/>
        </w:rPr>
        <w:t>:</w:t>
      </w:r>
    </w:p>
    <w:p>
      <w:pPr>
        <w:spacing w:after="0" w:line="183" w:lineRule="exact"/>
        <w:rPr>
          <w:sz w:val="20"/>
          <w:szCs w:val="20"/>
          <w:color w:val="auto"/>
        </w:rPr>
      </w:pPr>
    </w:p>
    <w:p>
      <w:pPr>
        <w:jc w:val="both"/>
        <w:ind w:firstLine="1036"/>
        <w:spacing w:after="0" w:line="220" w:lineRule="auto"/>
        <w:tabs>
          <w:tab w:leader="none" w:pos="1543" w:val="left"/>
        </w:tabs>
        <w:numPr>
          <w:ilvl w:val="0"/>
          <w:numId w:val="145"/>
        </w:numPr>
        <w:rPr>
          <w:rFonts w:ascii="Arial" w:cs="Arial" w:eastAsia="Arial" w:hAnsi="Arial"/>
          <w:sz w:val="21"/>
          <w:szCs w:val="21"/>
          <w:color w:val="auto"/>
        </w:rPr>
      </w:pPr>
      <w:r>
        <w:rPr>
          <w:rFonts w:ascii="Arial" w:cs="Arial" w:eastAsia="Arial" w:hAnsi="Arial"/>
          <w:sz w:val="21"/>
          <w:szCs w:val="21"/>
          <w:u w:val="single" w:color="auto"/>
          <w:color w:val="auto"/>
        </w:rPr>
        <w:t>Unused Commitment Fee</w:t>
      </w:r>
      <w:r>
        <w:rPr>
          <w:rFonts w:ascii="Arial" w:cs="Arial" w:eastAsia="Arial" w:hAnsi="Arial"/>
          <w:sz w:val="21"/>
          <w:szCs w:val="21"/>
          <w:color w:val="auto"/>
        </w:rPr>
        <w:t xml:space="preserve">. The Borrower shall pay to the Administrative Agent, for the account of each Lender (subject to </w:t>
      </w:r>
      <w:r>
        <w:rPr>
          <w:rFonts w:ascii="Arial" w:cs="Arial" w:eastAsia="Arial" w:hAnsi="Arial"/>
          <w:sz w:val="21"/>
          <w:szCs w:val="21"/>
          <w:u w:val="single" w:color="auto"/>
          <w:color w:val="auto"/>
        </w:rPr>
        <w:t>Section 2.16</w:t>
      </w:r>
      <w:r>
        <w:rPr>
          <w:rFonts w:ascii="Arial" w:cs="Arial" w:eastAsia="Arial" w:hAnsi="Arial"/>
          <w:sz w:val="21"/>
          <w:szCs w:val="21"/>
          <w:color w:val="auto"/>
        </w:rPr>
        <w:t>, in the case of any Defaulting Lender), an unused commitment fee (collectively, the “</w:t>
      </w:r>
      <w:r>
        <w:rPr>
          <w:rFonts w:ascii="Arial" w:cs="Arial" w:eastAsia="Arial" w:hAnsi="Arial"/>
          <w:sz w:val="21"/>
          <w:szCs w:val="21"/>
          <w:u w:val="single" w:color="auto"/>
          <w:color w:val="auto"/>
        </w:rPr>
        <w:t>Unused Commitment</w:t>
      </w:r>
      <w:r>
        <w:rPr>
          <w:rFonts w:ascii="Arial" w:cs="Arial" w:eastAsia="Arial" w:hAnsi="Arial"/>
          <w:sz w:val="21"/>
          <w:szCs w:val="21"/>
          <w:color w:val="auto"/>
        </w:rPr>
        <w:t xml:space="preserve"> </w:t>
      </w:r>
      <w:r>
        <w:rPr>
          <w:rFonts w:ascii="Arial" w:cs="Arial" w:eastAsia="Arial" w:hAnsi="Arial"/>
          <w:sz w:val="21"/>
          <w:szCs w:val="21"/>
          <w:u w:val="single" w:color="auto"/>
          <w:color w:val="auto"/>
        </w:rPr>
        <w:t>Fees</w:t>
      </w:r>
      <w:r>
        <w:rPr>
          <w:rFonts w:ascii="Arial" w:cs="Arial" w:eastAsia="Arial" w:hAnsi="Arial"/>
          <w:sz w:val="21"/>
          <w:szCs w:val="21"/>
          <w:color w:val="auto"/>
        </w:rPr>
        <w:t>”) in US Dollars equal to the Applicable Rate times the actual daily amount by which the Commitment of such Lender exceeds the sum of the Outstanding Amount of all the Committed Loans of such Lender and its Applicable Percentage of the Outstanding Amount of all the L/C Obligations. The Unused Commitment Fee shall accrue at all times during the Availability Period, including at any time during which 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61</w:t>
      </w:r>
    </w:p>
    <w:p>
      <w:pPr>
        <w:sectPr>
          <w:pgSz w:w="11900" w:h="16838" w:orient="portrait"/>
          <w:cols w:equalWidth="0" w:num="1">
            <w:col w:w="11200"/>
          </w:cols>
          <w:pgMar w:left="320" w:top="1152" w:right="379" w:bottom="1440" w:gutter="0" w:footer="0" w:header="0"/>
        </w:sectPr>
      </w:pPr>
    </w:p>
    <w:bookmarkStart w:id="200" w:name="page201"/>
    <w:bookmarkEnd w:id="200"/>
    <w:p>
      <w:pPr>
        <w:jc w:val="both"/>
        <w:spacing w:after="0" w:line="233" w:lineRule="auto"/>
        <w:rPr>
          <w:sz w:val="20"/>
          <w:szCs w:val="20"/>
          <w:color w:val="auto"/>
        </w:rPr>
      </w:pPr>
      <w:r>
        <w:rPr>
          <w:rFonts w:ascii="Arial" w:cs="Arial" w:eastAsia="Arial" w:hAnsi="Arial"/>
          <w:sz w:val="20"/>
          <w:szCs w:val="20"/>
          <w:color w:val="auto"/>
        </w:rPr>
        <w:t xml:space="preserve">or more of the conditions in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is not met, and shall be due and payable quarterly in arrears on the fifteenth day following the last day of each March, June, September and December, commencing with the first such date to occur after the Effective Date, and on the last day of the Availability Period. The Unused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156" w:lineRule="exact"/>
        <w:rPr>
          <w:sz w:val="20"/>
          <w:szCs w:val="20"/>
          <w:color w:val="auto"/>
        </w:rPr>
      </w:pPr>
    </w:p>
    <w:p>
      <w:pPr>
        <w:jc w:val="both"/>
        <w:ind w:firstLine="1036"/>
        <w:spacing w:after="0" w:line="230" w:lineRule="auto"/>
        <w:tabs>
          <w:tab w:leader="none" w:pos="1378" w:val="left"/>
        </w:tabs>
        <w:numPr>
          <w:ilvl w:val="0"/>
          <w:numId w:val="146"/>
        </w:numPr>
        <w:rPr>
          <w:rFonts w:ascii="Arial" w:cs="Arial" w:eastAsia="Arial" w:hAnsi="Arial"/>
          <w:sz w:val="21"/>
          <w:szCs w:val="21"/>
          <w:color w:val="auto"/>
        </w:rPr>
      </w:pPr>
      <w:r>
        <w:rPr>
          <w:rFonts w:ascii="Arial" w:cs="Arial" w:eastAsia="Arial" w:hAnsi="Arial"/>
          <w:sz w:val="21"/>
          <w:szCs w:val="21"/>
          <w:u w:val="single" w:color="auto"/>
          <w:color w:val="auto"/>
        </w:rPr>
        <w:t>Other Fees</w:t>
      </w:r>
      <w:r>
        <w:rPr>
          <w:rFonts w:ascii="Arial" w:cs="Arial" w:eastAsia="Arial" w:hAnsi="Arial"/>
          <w:sz w:val="21"/>
          <w:szCs w:val="21"/>
          <w:color w:val="auto"/>
        </w:rPr>
        <w:t>. The Borrower will pay to the Arrangers and the Administrative Agent, for their own respective accounts, in US Dollars, fees in the amounts and at the times separately agreed in writing by the Borrower and the Arrangers or the Administrative Agent, as the case may be.</w:t>
      </w:r>
    </w:p>
    <w:p>
      <w:pPr>
        <w:spacing w:after="0" w:line="153" w:lineRule="exact"/>
        <w:rPr>
          <w:rFonts w:ascii="Arial" w:cs="Arial" w:eastAsia="Arial" w:hAnsi="Arial"/>
          <w:sz w:val="21"/>
          <w:szCs w:val="21"/>
          <w:color w:val="auto"/>
        </w:rPr>
      </w:pPr>
    </w:p>
    <w:p>
      <w:pPr>
        <w:jc w:val="both"/>
        <w:ind w:firstLine="1036"/>
        <w:spacing w:after="0" w:line="225" w:lineRule="auto"/>
        <w:tabs>
          <w:tab w:leader="none" w:pos="1501" w:val="left"/>
        </w:tabs>
        <w:numPr>
          <w:ilvl w:val="0"/>
          <w:numId w:val="146"/>
        </w:numPr>
        <w:rPr>
          <w:rFonts w:ascii="Arial" w:cs="Arial" w:eastAsia="Arial" w:hAnsi="Arial"/>
          <w:sz w:val="21"/>
          <w:szCs w:val="21"/>
          <w:color w:val="auto"/>
        </w:rPr>
      </w:pPr>
      <w:r>
        <w:rPr>
          <w:rFonts w:ascii="Arial" w:cs="Arial" w:eastAsia="Arial" w:hAnsi="Arial"/>
          <w:sz w:val="21"/>
          <w:szCs w:val="21"/>
          <w:u w:val="single" w:color="auto"/>
          <w:color w:val="auto"/>
        </w:rPr>
        <w:t>General</w:t>
      </w:r>
      <w:r>
        <w:rPr>
          <w:rFonts w:ascii="Arial" w:cs="Arial" w:eastAsia="Arial" w:hAnsi="Arial"/>
          <w:sz w:val="21"/>
          <w:szCs w:val="21"/>
          <w:color w:val="auto"/>
        </w:rPr>
        <w:t>. All fees payable hereunder shall be paid on the dates due, in US Dollars in immediately available funds, to the Administrative Agent (or to the Arrangers or the applicable L/C Issuer, in the case of fees payable to it) for distribution, in the case of Unused Commitment Fees and Letter of Credit Fees, to the Lenders entitled thereto. All fees will be fully earned when paid and will not be refundable for any reason whatsoever.</w:t>
      </w:r>
    </w:p>
    <w:p>
      <w:pPr>
        <w:spacing w:after="0" w:line="148" w:lineRule="exact"/>
        <w:rPr>
          <w:sz w:val="20"/>
          <w:szCs w:val="20"/>
          <w:color w:val="auto"/>
        </w:rPr>
      </w:pPr>
    </w:p>
    <w:p>
      <w:pPr>
        <w:jc w:val="both"/>
        <w:ind w:firstLine="954"/>
        <w:spacing w:after="0" w:line="237" w:lineRule="auto"/>
        <w:rPr>
          <w:sz w:val="20"/>
          <w:szCs w:val="20"/>
          <w:color w:val="auto"/>
        </w:rPr>
      </w:pPr>
      <w:r>
        <w:rPr>
          <w:rFonts w:ascii="Arial" w:cs="Arial" w:eastAsia="Arial" w:hAnsi="Arial"/>
          <w:sz w:val="19"/>
          <w:szCs w:val="19"/>
          <w:color w:val="auto"/>
        </w:rPr>
        <w:t xml:space="preserve">Section 2.10 </w:t>
      </w:r>
      <w:r>
        <w:rPr>
          <w:rFonts w:ascii="Arial" w:cs="Arial" w:eastAsia="Arial" w:hAnsi="Arial"/>
          <w:sz w:val="19"/>
          <w:szCs w:val="19"/>
          <w:u w:val="single" w:color="auto"/>
          <w:color w:val="auto"/>
        </w:rPr>
        <w:t>Computation of Interest and Fees</w:t>
      </w:r>
      <w:r>
        <w:rPr>
          <w:rFonts w:ascii="Arial" w:cs="Arial" w:eastAsia="Arial" w:hAnsi="Arial"/>
          <w:sz w:val="19"/>
          <w:szCs w:val="19"/>
          <w:color w:val="auto"/>
        </w:rPr>
        <w:t xml:space="preserve">. All computations of interest for Base Rate Loans </w:t>
      </w:r>
      <w:r>
        <w:rPr>
          <w:rFonts w:ascii="Arial" w:cs="Arial" w:eastAsia="Arial" w:hAnsi="Arial"/>
          <w:sz w:val="19"/>
          <w:szCs w:val="19"/>
          <w:b w:val="1"/>
          <w:bCs w:val="1"/>
          <w:u w:val="single" w:color="auto"/>
          <w:color w:val="0000FF"/>
        </w:rPr>
        <w:t>only at times</w:t>
      </w:r>
      <w:r>
        <w:rPr>
          <w:rFonts w:ascii="Arial" w:cs="Arial" w:eastAsia="Arial" w:hAnsi="Arial"/>
          <w:sz w:val="19"/>
          <w:szCs w:val="19"/>
          <w:color w:val="auto"/>
        </w:rPr>
        <w:t xml:space="preserve"> when the Base Rate is determined by reference to the Prime Rate and </w:t>
      </w:r>
      <w:r>
        <w:rPr>
          <w:rFonts w:ascii="Arial" w:cs="Arial" w:eastAsia="Arial" w:hAnsi="Arial"/>
          <w:sz w:val="19"/>
          <w:szCs w:val="19"/>
          <w:b w:val="1"/>
          <w:bCs w:val="1"/>
          <w:u w:val="single" w:color="auto"/>
          <w:color w:val="0000FF"/>
        </w:rPr>
        <w:t>for</w:t>
      </w:r>
      <w:r>
        <w:rPr>
          <w:rFonts w:ascii="Arial" w:cs="Arial" w:eastAsia="Arial" w:hAnsi="Arial"/>
          <w:sz w:val="19"/>
          <w:szCs w:val="19"/>
          <w:color w:val="auto"/>
        </w:rPr>
        <w:t xml:space="preserve"> any Alternative Currency Loan </w:t>
      </w:r>
      <w:r>
        <w:rPr>
          <w:rFonts w:ascii="Arial" w:cs="Arial" w:eastAsia="Arial" w:hAnsi="Arial"/>
          <w:sz w:val="19"/>
          <w:szCs w:val="19"/>
          <w:b w:val="1"/>
          <w:bCs w:val="1"/>
          <w:color w:val="FF0000"/>
          <w:strike w:val="1"/>
        </w:rPr>
        <w:t>(or any other</w:t>
      </w:r>
      <w:r>
        <w:rPr>
          <w:rFonts w:ascii="Arial" w:cs="Arial" w:eastAsia="Arial" w:hAnsi="Arial"/>
          <w:sz w:val="19"/>
          <w:szCs w:val="19"/>
          <w:b w:val="1"/>
          <w:bCs w:val="1"/>
          <w:u w:val="single" w:color="auto"/>
          <w:color w:val="0000FF"/>
        </w:rPr>
        <w:t>denominated in a</w:t>
      </w:r>
      <w:r>
        <w:rPr>
          <w:rFonts w:ascii="Arial" w:cs="Arial" w:eastAsia="Arial" w:hAnsi="Arial"/>
          <w:sz w:val="19"/>
          <w:szCs w:val="19"/>
          <w:color w:val="auto"/>
        </w:rPr>
        <w:t xml:space="preserve"> currency with respect to which it is customary to compute interest on the basis of a year of 365 </w:t>
      </w:r>
      <w:r>
        <w:rPr>
          <w:rFonts w:ascii="Arial" w:cs="Arial" w:eastAsia="Arial" w:hAnsi="Arial"/>
          <w:sz w:val="19"/>
          <w:szCs w:val="19"/>
          <w:b w:val="1"/>
          <w:bCs w:val="1"/>
          <w:u w:val="single" w:color="auto"/>
          <w:color w:val="0000FF"/>
        </w:rPr>
        <w:t>(</w:t>
      </w:r>
      <w:r>
        <w:rPr>
          <w:rFonts w:ascii="Arial" w:cs="Arial" w:eastAsia="Arial" w:hAnsi="Arial"/>
          <w:sz w:val="19"/>
          <w:szCs w:val="19"/>
          <w:color w:val="auto"/>
        </w:rPr>
        <w:t>or 366 days</w:t>
      </w:r>
      <w:r>
        <w:rPr>
          <w:rFonts w:ascii="Arial" w:cs="Arial" w:eastAsia="Arial" w:hAnsi="Arial"/>
          <w:sz w:val="19"/>
          <w:szCs w:val="19"/>
          <w:b w:val="1"/>
          <w:bCs w:val="1"/>
          <w:color w:val="FF0000"/>
          <w:strike w:val="1"/>
        </w:rPr>
        <w:t>, as the case may be</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in</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a leap year</w:t>
      </w:r>
      <w:r>
        <w:rPr>
          <w:rFonts w:ascii="Arial" w:cs="Arial" w:eastAsia="Arial" w:hAnsi="Arial"/>
          <w:sz w:val="19"/>
          <w:szCs w:val="19"/>
          <w:color w:val="000000"/>
        </w:rPr>
        <w:t>) will be made on the basis of a year of 365</w:t>
      </w:r>
      <w:r>
        <w:rPr>
          <w:rFonts w:ascii="Arial" w:cs="Arial" w:eastAsia="Arial" w:hAnsi="Arial"/>
          <w:sz w:val="19"/>
          <w:szCs w:val="19"/>
          <w:b w:val="1"/>
          <w:bCs w:val="1"/>
          <w:color w:val="0000FF"/>
        </w:rPr>
        <w:t xml:space="preserve"> </w:t>
      </w:r>
      <w:r>
        <w:rPr>
          <w:rFonts w:ascii="Arial" w:cs="Arial" w:eastAsia="Arial" w:hAnsi="Arial"/>
          <w:sz w:val="19"/>
          <w:szCs w:val="19"/>
          <w:b w:val="1"/>
          <w:bCs w:val="1"/>
          <w:color w:val="FF0000"/>
          <w:strike w:val="1"/>
        </w:rPr>
        <w:t>or, solely in the case of such Base Rate Loans (or any such other</w:t>
      </w:r>
      <w:r>
        <w:rPr>
          <w:rFonts w:ascii="Arial" w:cs="Arial" w:eastAsia="Arial" w:hAnsi="Arial"/>
          <w:sz w:val="19"/>
          <w:szCs w:val="19"/>
          <w:b w:val="1"/>
          <w:bCs w:val="1"/>
          <w:color w:val="0000FF"/>
        </w:rPr>
        <w:t xml:space="preserve"> </w:t>
      </w:r>
      <w:r>
        <w:rPr>
          <w:rFonts w:ascii="Arial" w:cs="Arial" w:eastAsia="Arial" w:hAnsi="Arial"/>
          <w:sz w:val="19"/>
          <w:szCs w:val="19"/>
          <w:b w:val="1"/>
          <w:bCs w:val="1"/>
          <w:color w:val="FF0000"/>
          <w:strike w:val="1"/>
        </w:rPr>
        <w:t>currency),</w:t>
      </w:r>
      <w:r>
        <w:rPr>
          <w:rFonts w:ascii="Arial" w:cs="Arial" w:eastAsia="Arial" w:hAnsi="Arial"/>
          <w:sz w:val="19"/>
          <w:szCs w:val="19"/>
          <w:b w:val="1"/>
          <w:bCs w:val="1"/>
          <w:u w:val="single" w:color="auto"/>
          <w:color w:val="0000FF"/>
        </w:rPr>
        <w:t>(or</w:t>
      </w:r>
      <w:r>
        <w:rPr>
          <w:rFonts w:ascii="Arial" w:cs="Arial" w:eastAsia="Arial" w:hAnsi="Arial"/>
          <w:sz w:val="19"/>
          <w:szCs w:val="19"/>
          <w:b w:val="1"/>
          <w:bCs w:val="1"/>
          <w:color w:val="FF0000"/>
        </w:rPr>
        <w:t xml:space="preserve"> </w:t>
      </w:r>
      <w:r>
        <w:rPr>
          <w:rFonts w:ascii="Arial" w:cs="Arial" w:eastAsia="Arial" w:hAnsi="Arial"/>
          <w:sz w:val="19"/>
          <w:szCs w:val="19"/>
          <w:color w:val="000000"/>
        </w:rPr>
        <w:t>366 days</w:t>
      </w:r>
      <w:r>
        <w:rPr>
          <w:rFonts w:ascii="Arial" w:cs="Arial" w:eastAsia="Arial" w:hAnsi="Arial"/>
          <w:sz w:val="19"/>
          <w:szCs w:val="19"/>
          <w:b w:val="1"/>
          <w:bCs w:val="1"/>
          <w:color w:val="FF0000"/>
          <w:strike w:val="1"/>
        </w:rPr>
        <w:t>, as the case may be, and actual days elapsed</w:t>
      </w:r>
      <w:r>
        <w:rPr>
          <w:rFonts w:ascii="Arial" w:cs="Arial" w:eastAsia="Arial" w:hAnsi="Arial"/>
          <w:sz w:val="19"/>
          <w:szCs w:val="19"/>
          <w:b w:val="1"/>
          <w:bCs w:val="1"/>
          <w:color w:val="FF0000"/>
        </w:rPr>
        <w:t xml:space="preserve"> </w:t>
      </w:r>
      <w:r>
        <w:rPr>
          <w:rFonts w:ascii="Arial" w:cs="Arial" w:eastAsia="Arial" w:hAnsi="Arial"/>
          <w:sz w:val="19"/>
          <w:szCs w:val="19"/>
          <w:b w:val="1"/>
          <w:bCs w:val="1"/>
          <w:u w:val="single" w:color="auto"/>
          <w:color w:val="0000FF"/>
        </w:rPr>
        <w:t>in a leap year)</w:t>
      </w:r>
      <w:r>
        <w:rPr>
          <w:rFonts w:ascii="Arial" w:cs="Arial" w:eastAsia="Arial" w:hAnsi="Arial"/>
          <w:sz w:val="19"/>
          <w:szCs w:val="19"/>
          <w:color w:val="000000"/>
        </w:rPr>
        <w:t>. All other computations of fees and interest</w:t>
      </w:r>
      <w:r>
        <w:rPr>
          <w:rFonts w:ascii="Arial" w:cs="Arial" w:eastAsia="Arial" w:hAnsi="Arial"/>
          <w:sz w:val="19"/>
          <w:szCs w:val="19"/>
          <w:b w:val="1"/>
          <w:bCs w:val="1"/>
          <w:color w:val="FF0000"/>
        </w:rPr>
        <w:t xml:space="preserve"> </w:t>
      </w:r>
      <w:r>
        <w:rPr>
          <w:rFonts w:ascii="Arial" w:cs="Arial" w:eastAsia="Arial" w:hAnsi="Arial"/>
          <w:sz w:val="19"/>
          <w:szCs w:val="19"/>
          <w:color w:val="000000"/>
        </w:rPr>
        <w:t xml:space="preserve">will be made on the basis of a 360-day year </w:t>
      </w:r>
      <w:r>
        <w:rPr>
          <w:rFonts w:ascii="Arial" w:cs="Arial" w:eastAsia="Arial" w:hAnsi="Arial"/>
          <w:sz w:val="19"/>
          <w:szCs w:val="19"/>
          <w:b w:val="1"/>
          <w:bCs w:val="1"/>
          <w:color w:val="FF0000"/>
          <w:strike w:val="1"/>
        </w:rPr>
        <w:t>and actual days elapsed</w:t>
      </w:r>
      <w:r>
        <w:rPr>
          <w:rFonts w:ascii="Arial" w:cs="Arial" w:eastAsia="Arial" w:hAnsi="Arial"/>
          <w:sz w:val="19"/>
          <w:szCs w:val="19"/>
          <w:color w:val="000000"/>
        </w:rPr>
        <w:t xml:space="preserve"> (which results in more fees or interest, as applicable, being paid than if computed on the basis of a 365-day year), or, in the case of interest in respect of Loans denominated in Alternative Currencies and Discretionary Alternative Currencies as to which market practice differs from the foregoing, in accordance with such market practice, as expressly agreed by the Borrower and the Administrative Agent. </w:t>
      </w:r>
      <w:r>
        <w:rPr>
          <w:rFonts w:ascii="Arial" w:cs="Arial" w:eastAsia="Arial" w:hAnsi="Arial"/>
          <w:sz w:val="19"/>
          <w:szCs w:val="19"/>
          <w:b w:val="1"/>
          <w:bCs w:val="1"/>
          <w:u w:val="single" w:color="auto"/>
          <w:color w:val="0000FF"/>
        </w:rPr>
        <w:t>In each case interest shall be payable</w:t>
      </w:r>
      <w:r>
        <w:rPr>
          <w:rFonts w:ascii="Arial" w:cs="Arial" w:eastAsia="Arial" w:hAnsi="Arial"/>
          <w:sz w:val="19"/>
          <w:szCs w:val="19"/>
          <w:color w:val="000000"/>
        </w:rPr>
        <w:t xml:space="preserve"> </w:t>
      </w:r>
      <w:r>
        <w:rPr>
          <w:rFonts w:ascii="Arial" w:cs="Arial" w:eastAsia="Arial" w:hAnsi="Arial"/>
          <w:sz w:val="19"/>
          <w:szCs w:val="19"/>
          <w:b w:val="1"/>
          <w:bCs w:val="1"/>
          <w:u w:val="single" w:color="auto"/>
          <w:color w:val="0000FF"/>
        </w:rPr>
        <w:t>for the actual number of days elapsed.</w:t>
      </w:r>
      <w:r>
        <w:rPr>
          <w:rFonts w:ascii="Arial" w:cs="Arial" w:eastAsia="Arial" w:hAnsi="Arial"/>
          <w:sz w:val="19"/>
          <w:szCs w:val="19"/>
          <w:b w:val="1"/>
          <w:bCs w:val="1"/>
          <w:color w:val="0000FF"/>
        </w:rPr>
        <w:t xml:space="preserve"> </w:t>
      </w:r>
      <w:r>
        <w:rPr>
          <w:rFonts w:ascii="Arial" w:cs="Arial" w:eastAsia="Arial" w:hAnsi="Arial"/>
          <w:sz w:val="19"/>
          <w:szCs w:val="19"/>
          <w:color w:val="000000"/>
        </w:rPr>
        <w:t>Interest will accrue on each Loan for the day on which the Loan is made, and will not</w:t>
      </w:r>
      <w:r>
        <w:rPr>
          <w:rFonts w:ascii="Arial" w:cs="Arial" w:eastAsia="Arial" w:hAnsi="Arial"/>
          <w:sz w:val="19"/>
          <w:szCs w:val="19"/>
          <w:b w:val="1"/>
          <w:bCs w:val="1"/>
          <w:color w:val="0000FF"/>
        </w:rPr>
        <w:t xml:space="preserve"> </w:t>
      </w:r>
      <w:r>
        <w:rPr>
          <w:rFonts w:ascii="Arial" w:cs="Arial" w:eastAsia="Arial" w:hAnsi="Arial"/>
          <w:sz w:val="19"/>
          <w:szCs w:val="19"/>
          <w:color w:val="000000"/>
        </w:rPr>
        <w:t xml:space="preserve">accrue on a Loan, or any portion thereof, for the day on which the Loan or such portion is paid;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any Loan that is repaid on the same day on which it is made will, subject to </w:t>
      </w:r>
      <w:r>
        <w:rPr>
          <w:rFonts w:ascii="Arial" w:cs="Arial" w:eastAsia="Arial" w:hAnsi="Arial"/>
          <w:sz w:val="19"/>
          <w:szCs w:val="19"/>
          <w:u w:val="single" w:color="auto"/>
          <w:color w:val="000000"/>
        </w:rPr>
        <w:t>Section 2.12(a)</w:t>
      </w:r>
      <w:r>
        <w:rPr>
          <w:rFonts w:ascii="Arial" w:cs="Arial" w:eastAsia="Arial" w:hAnsi="Arial"/>
          <w:sz w:val="19"/>
          <w:szCs w:val="19"/>
          <w:color w:val="000000"/>
        </w:rPr>
        <w:t xml:space="preserve">, bear interest for one day. </w:t>
      </w:r>
      <w:r>
        <w:rPr>
          <w:rFonts w:ascii="Arial" w:cs="Arial" w:eastAsia="Arial" w:hAnsi="Arial"/>
          <w:sz w:val="19"/>
          <w:szCs w:val="19"/>
          <w:b w:val="1"/>
          <w:bCs w:val="1"/>
          <w:u w:val="single" w:color="auto"/>
          <w:color w:val="0000FF"/>
        </w:rPr>
        <w:t>All interest hereunder on</w:t>
      </w:r>
      <w:r>
        <w:rPr>
          <w:rFonts w:ascii="Arial" w:cs="Arial" w:eastAsia="Arial" w:hAnsi="Arial"/>
          <w:sz w:val="19"/>
          <w:szCs w:val="19"/>
          <w:color w:val="000000"/>
        </w:rPr>
        <w:t xml:space="preserve"> </w:t>
      </w:r>
      <w:r>
        <w:rPr>
          <w:rFonts w:ascii="Arial" w:cs="Arial" w:eastAsia="Arial" w:hAnsi="Arial"/>
          <w:sz w:val="19"/>
          <w:szCs w:val="19"/>
          <w:b w:val="1"/>
          <w:bCs w:val="1"/>
          <w:u w:val="single" w:color="auto"/>
          <w:color w:val="0000FF"/>
        </w:rPr>
        <w:t>any Loan shall be computed on a daily basis based upon the outstanding principal amount of such Loan as of the applicable date of determination.</w:t>
      </w:r>
      <w:r>
        <w:rPr>
          <w:rFonts w:ascii="Arial" w:cs="Arial" w:eastAsia="Arial" w:hAnsi="Arial"/>
          <w:sz w:val="19"/>
          <w:szCs w:val="19"/>
          <w:b w:val="1"/>
          <w:bCs w:val="1"/>
          <w:color w:val="0000FF"/>
        </w:rPr>
        <w:t xml:space="preserve"> </w:t>
      </w:r>
      <w:r>
        <w:rPr>
          <w:rFonts w:ascii="Arial" w:cs="Arial" w:eastAsia="Arial" w:hAnsi="Arial"/>
          <w:sz w:val="19"/>
          <w:szCs w:val="19"/>
          <w:color w:val="000000"/>
        </w:rPr>
        <w:t>Each determination by the Administrative Agent of an interest rate or fee hereunder will be conclusive and</w:t>
      </w:r>
      <w:r>
        <w:rPr>
          <w:rFonts w:ascii="Arial" w:cs="Arial" w:eastAsia="Arial" w:hAnsi="Arial"/>
          <w:sz w:val="19"/>
          <w:szCs w:val="19"/>
          <w:b w:val="1"/>
          <w:bCs w:val="1"/>
          <w:color w:val="0000FF"/>
        </w:rPr>
        <w:t xml:space="preserve"> </w:t>
      </w:r>
      <w:r>
        <w:rPr>
          <w:rFonts w:ascii="Arial" w:cs="Arial" w:eastAsia="Arial" w:hAnsi="Arial"/>
          <w:sz w:val="19"/>
          <w:szCs w:val="19"/>
          <w:color w:val="000000"/>
        </w:rPr>
        <w:t>binding for all purposes, absent manifest error.</w:t>
      </w:r>
    </w:p>
    <w:p>
      <w:pPr>
        <w:spacing w:after="0" w:line="162" w:lineRule="exact"/>
        <w:rPr>
          <w:sz w:val="20"/>
          <w:szCs w:val="20"/>
          <w:color w:val="auto"/>
        </w:rPr>
      </w:pPr>
    </w:p>
    <w:p>
      <w:pPr>
        <w:jc w:val="both"/>
        <w:ind w:firstLine="954"/>
        <w:spacing w:after="0" w:line="219" w:lineRule="auto"/>
        <w:rPr>
          <w:sz w:val="20"/>
          <w:szCs w:val="20"/>
          <w:color w:val="auto"/>
        </w:rPr>
      </w:pPr>
      <w:r>
        <w:rPr>
          <w:rFonts w:ascii="Arial" w:cs="Arial" w:eastAsia="Arial" w:hAnsi="Arial"/>
          <w:sz w:val="21"/>
          <w:szCs w:val="21"/>
          <w:color w:val="auto"/>
        </w:rPr>
        <w:t xml:space="preserve">Section 2.11 </w:t>
      </w:r>
      <w:r>
        <w:rPr>
          <w:rFonts w:ascii="Arial" w:cs="Arial" w:eastAsia="Arial" w:hAnsi="Arial"/>
          <w:sz w:val="21"/>
          <w:szCs w:val="21"/>
          <w:u w:val="single" w:color="auto"/>
          <w:color w:val="auto"/>
        </w:rPr>
        <w:t>Evidence of Debt</w:t>
      </w:r>
      <w:r>
        <w:rPr>
          <w:rFonts w:ascii="Arial" w:cs="Arial" w:eastAsia="Arial" w:hAnsi="Arial"/>
          <w:sz w:val="21"/>
          <w:szCs w:val="21"/>
          <w:color w:val="auto"/>
        </w:rPr>
        <w:t>. (a) The Credit Extensions made by each Lender will be evidenced by one or more accounts or records maintained by such Lender and by the Administrative Agent in the ordinary course of business. The accounts or records maintained by the Administrative Agent and each Lender will be conclusive absent manifest error of the amount of the Credit Extensions made by the Lenders to the Borrower and the interest and payments thereon. Any failure to so record or any error in doing so will not, however, limit or otherwise affect the obligation of the Borrower hereunder to pay any amount owing with respect to the Obligations. The Administrative Agent will provide to the Borrower, upon their request, a statement of Loans,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62</w:t>
      </w:r>
    </w:p>
    <w:p>
      <w:pPr>
        <w:sectPr>
          <w:pgSz w:w="11900" w:h="16838" w:orient="portrait"/>
          <w:cols w:equalWidth="0" w:num="1">
            <w:col w:w="11200"/>
          </w:cols>
          <w:pgMar w:left="320" w:top="1152" w:right="379" w:bottom="1440" w:gutter="0" w:footer="0" w:header="0"/>
        </w:sectPr>
      </w:pPr>
    </w:p>
    <w:bookmarkStart w:id="201" w:name="page202"/>
    <w:bookmarkEnd w:id="201"/>
    <w:p>
      <w:pPr>
        <w:jc w:val="both"/>
        <w:spacing w:after="0" w:line="239" w:lineRule="auto"/>
        <w:rPr>
          <w:sz w:val="20"/>
          <w:szCs w:val="20"/>
          <w:color w:val="auto"/>
        </w:rPr>
      </w:pPr>
      <w:r>
        <w:rPr>
          <w:rFonts w:ascii="Arial" w:cs="Arial" w:eastAsia="Arial" w:hAnsi="Arial"/>
          <w:sz w:val="19"/>
          <w:szCs w:val="19"/>
          <w:color w:val="auto"/>
        </w:rPr>
        <w:t>and other transactions pursuant to this Agreement. Such statement will be deemed correct, accurate, and binding on the Borrower (except for corrections and errors discovered by the Administrative Agent), unless the Borrower notifies the Administrative Agent in writing to the contrary within thirty (30) days after such statement is rendered. In the event a timely written notice of objections is given by the Borrower, only the items to which exception is expressly made will be considered to be disputed by the Borrower. In the event of any conflict between the accounts and records maintained by any Lender and the accounts and records of the Administrative Agent in respect of such matters, the accounts and records of the Administrative Agent will control in the absence of manifest error. Upon the request of any Lender to the Borrower made through the Administrative Agent, the Borrower will execute and deliver to such Lender (through the Administrative Agent) a Note, which will evidence such Lender’s Loans to the Borrower in addition to such accounts or records. Each Lender may attach schedules to a Note and endorse thereon the date, Type (if applicable), amount, currency and maturity of its Loans and payments with respect thereto.</w:t>
      </w:r>
    </w:p>
    <w:p>
      <w:pPr>
        <w:spacing w:after="0" w:line="156" w:lineRule="exact"/>
        <w:rPr>
          <w:sz w:val="20"/>
          <w:szCs w:val="20"/>
          <w:color w:val="auto"/>
        </w:rPr>
      </w:pPr>
    </w:p>
    <w:p>
      <w:pPr>
        <w:jc w:val="both"/>
        <w:ind w:firstLine="1036"/>
        <w:spacing w:after="0" w:line="222" w:lineRule="auto"/>
        <w:tabs>
          <w:tab w:leader="none" w:pos="1533" w:val="left"/>
        </w:tabs>
        <w:numPr>
          <w:ilvl w:val="0"/>
          <w:numId w:val="147"/>
        </w:numPr>
        <w:rPr>
          <w:rFonts w:ascii="Arial" w:cs="Arial" w:eastAsia="Arial" w:hAnsi="Arial"/>
          <w:sz w:val="21"/>
          <w:szCs w:val="21"/>
          <w:color w:val="auto"/>
        </w:rPr>
      </w:pPr>
      <w:r>
        <w:rPr>
          <w:rFonts w:ascii="Arial" w:cs="Arial" w:eastAsia="Arial" w:hAnsi="Arial"/>
          <w:sz w:val="21"/>
          <w:szCs w:val="21"/>
          <w:color w:val="auto"/>
        </w:rPr>
        <w:t xml:space="preserve">In addition to the accounts and records referred to in </w:t>
      </w:r>
      <w:r>
        <w:rPr>
          <w:rFonts w:ascii="Arial" w:cs="Arial" w:eastAsia="Arial" w:hAnsi="Arial"/>
          <w:sz w:val="21"/>
          <w:szCs w:val="21"/>
          <w:u w:val="single" w:color="auto"/>
          <w:color w:val="auto"/>
        </w:rPr>
        <w:t>Section 2.11(a)</w:t>
      </w:r>
      <w:r>
        <w:rPr>
          <w:rFonts w:ascii="Arial" w:cs="Arial" w:eastAsia="Arial" w:hAnsi="Arial"/>
          <w:sz w:val="21"/>
          <w:szCs w:val="21"/>
          <w:color w:val="auto"/>
        </w:rPr>
        <w:t>, each Lender and the Administrative Agent will maintain in accordance with its usual practice accounts or records evidencing the purchases and sales by such Lender of participations in Letters of Credit. In the event of any conflict between the accounts and records maintained by the Administrative Agent and the accounts and records of any Lender in respect of such matters, the accounts and records of the Administrative Agent will control in the absence of manifest error.</w:t>
      </w:r>
    </w:p>
    <w:p>
      <w:pPr>
        <w:spacing w:after="0" w:line="149" w:lineRule="exact"/>
        <w:rPr>
          <w:sz w:val="20"/>
          <w:szCs w:val="20"/>
          <w:color w:val="auto"/>
        </w:rPr>
      </w:pPr>
    </w:p>
    <w:p>
      <w:pPr>
        <w:jc w:val="both"/>
        <w:ind w:firstLine="954"/>
        <w:spacing w:after="0" w:line="236" w:lineRule="auto"/>
        <w:rPr>
          <w:sz w:val="20"/>
          <w:szCs w:val="20"/>
          <w:color w:val="auto"/>
        </w:rPr>
      </w:pPr>
      <w:r>
        <w:rPr>
          <w:rFonts w:ascii="Arial" w:cs="Arial" w:eastAsia="Arial" w:hAnsi="Arial"/>
          <w:sz w:val="19"/>
          <w:szCs w:val="19"/>
          <w:color w:val="auto"/>
        </w:rPr>
        <w:t xml:space="preserve">Section 2.12 </w:t>
      </w:r>
      <w:r>
        <w:rPr>
          <w:rFonts w:ascii="Arial" w:cs="Arial" w:eastAsia="Arial" w:hAnsi="Arial"/>
          <w:sz w:val="19"/>
          <w:szCs w:val="19"/>
          <w:u w:val="single" w:color="auto"/>
          <w:color w:val="auto"/>
        </w:rPr>
        <w:t>Payments Generally;</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FF0000"/>
          <w:strike w:val="1"/>
        </w:rPr>
        <w:t>Agent’</w:t>
      </w:r>
      <w:r>
        <w:rPr>
          <w:rFonts w:ascii="Arial" w:cs="Arial" w:eastAsia="Arial" w:hAnsi="Arial"/>
          <w:sz w:val="19"/>
          <w:szCs w:val="19"/>
          <w:b w:val="1"/>
          <w:bCs w:val="1"/>
          <w:u w:val="single" w:color="auto"/>
          <w:color w:val="0000FF"/>
        </w:rPr>
        <w:t>Agent’s</w:t>
      </w:r>
      <w:r>
        <w:rPr>
          <w:rFonts w:ascii="Arial" w:cs="Arial" w:eastAsia="Arial" w:hAnsi="Arial"/>
          <w:sz w:val="19"/>
          <w:szCs w:val="19"/>
          <w:color w:val="auto"/>
        </w:rPr>
        <w:t xml:space="preserve"> </w:t>
      </w:r>
      <w:r>
        <w:rPr>
          <w:rFonts w:ascii="Arial" w:cs="Arial" w:eastAsia="Arial" w:hAnsi="Arial"/>
          <w:sz w:val="19"/>
          <w:szCs w:val="19"/>
          <w:u w:val="single" w:color="auto"/>
          <w:color w:val="auto"/>
        </w:rPr>
        <w:t>Clawback</w:t>
      </w:r>
      <w:r>
        <w:rPr>
          <w:rFonts w:ascii="Arial" w:cs="Arial" w:eastAsia="Arial" w:hAnsi="Arial"/>
          <w:sz w:val="19"/>
          <w:szCs w:val="19"/>
          <w:color w:val="auto"/>
        </w:rPr>
        <w:t xml:space="preserve">. (a) </w:t>
      </w:r>
      <w:r>
        <w:rPr>
          <w:rFonts w:ascii="Arial" w:cs="Arial" w:eastAsia="Arial" w:hAnsi="Arial"/>
          <w:sz w:val="19"/>
          <w:szCs w:val="19"/>
          <w:u w:val="single" w:color="auto"/>
          <w:color w:val="auto"/>
        </w:rPr>
        <w:t>General</w:t>
      </w:r>
      <w:r>
        <w:rPr>
          <w:rFonts w:ascii="Arial" w:cs="Arial" w:eastAsia="Arial" w:hAnsi="Arial"/>
          <w:sz w:val="19"/>
          <w:szCs w:val="19"/>
          <w:color w:val="auto"/>
        </w:rPr>
        <w:t xml:space="preserve">. All payments to be made by the Borrower will be made without condition or deduction for any counterclaim, defense, recoupment or setoff. Except as otherwise expressly provided herein (including the next succeeding sentence), all payments by the Borrower hereunder will be made to the Administrative Agent, for the account of the Lenders to which such payments are due, except that (i) payments pursuant to </w:t>
      </w:r>
      <w:r>
        <w:rPr>
          <w:rFonts w:ascii="Arial" w:cs="Arial" w:eastAsia="Arial" w:hAnsi="Arial"/>
          <w:sz w:val="19"/>
          <w:szCs w:val="19"/>
          <w:u w:val="single" w:color="auto"/>
          <w:color w:val="auto"/>
        </w:rPr>
        <w:t>3.01</w:t>
      </w:r>
      <w:r>
        <w:rPr>
          <w:rFonts w:ascii="Arial" w:cs="Arial" w:eastAsia="Arial" w:hAnsi="Arial"/>
          <w:sz w:val="19"/>
          <w:szCs w:val="19"/>
          <w:color w:val="auto"/>
        </w:rPr>
        <w:t xml:space="preserve">,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w:t>
      </w:r>
      <w:r>
        <w:rPr>
          <w:rFonts w:ascii="Arial" w:cs="Arial" w:eastAsia="Arial" w:hAnsi="Arial"/>
          <w:sz w:val="19"/>
          <w:szCs w:val="19"/>
          <w:u w:val="single" w:color="auto"/>
          <w:color w:val="auto"/>
        </w:rPr>
        <w:t>3.05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w:t>
      </w:r>
      <w:r>
        <w:rPr>
          <w:rFonts w:ascii="Arial" w:cs="Arial" w:eastAsia="Arial" w:hAnsi="Arial"/>
          <w:sz w:val="19"/>
          <w:szCs w:val="19"/>
          <w:color w:val="auto"/>
        </w:rPr>
        <w:t>.</w:t>
      </w:r>
      <w:r>
        <w:rPr>
          <w:rFonts w:ascii="Arial" w:cs="Arial" w:eastAsia="Arial" w:hAnsi="Arial"/>
          <w:sz w:val="19"/>
          <w:szCs w:val="19"/>
          <w:u w:val="single" w:color="auto"/>
          <w:color w:val="auto"/>
        </w:rPr>
        <w:t>04</w:t>
      </w:r>
      <w:r>
        <w:rPr>
          <w:rFonts w:ascii="Arial" w:cs="Arial" w:eastAsia="Arial" w:hAnsi="Arial"/>
          <w:sz w:val="19"/>
          <w:szCs w:val="19"/>
          <w:color w:val="auto"/>
        </w:rPr>
        <w:t xml:space="preserve"> shall be made directly to the Persons entitled thereto, and payments to be made directly to an L/C Issuer as expressly provided herein shall be so made, in each case in US Dollars and in Same Day Funds not later than 1:00 p.m., Local Time, on the date specified herein and (ii) all other payments under each Loan Document (including all fees) shall be made in US Dollars. Except as otherwise expressly provided herein, all payments by the Borrower hereunder with respect to principal and interest on Loans denominated in an Alternative Currency or a Discretionary Alternative Currency or on Loans denominated in US Dollars that are </w:t>
      </w:r>
      <w:r>
        <w:rPr>
          <w:rFonts w:ascii="Arial" w:cs="Arial" w:eastAsia="Arial" w:hAnsi="Arial"/>
          <w:sz w:val="19"/>
          <w:szCs w:val="19"/>
          <w:b w:val="1"/>
          <w:bCs w:val="1"/>
          <w:color w:val="FF0000"/>
          <w:strike w:val="1"/>
        </w:rPr>
        <w:t>Eurocurrency Rate</w:t>
      </w:r>
      <w:r>
        <w:rPr>
          <w:rFonts w:ascii="Arial" w:cs="Arial" w:eastAsia="Arial" w:hAnsi="Arial"/>
          <w:sz w:val="19"/>
          <w:szCs w:val="19"/>
          <w:b w:val="1"/>
          <w:bCs w:val="1"/>
          <w:u w:val="single" w:color="auto"/>
          <w:color w:val="0000FF"/>
        </w:rPr>
        <w:t>Term Benchmark</w:t>
      </w:r>
      <w:r>
        <w:rPr>
          <w:rFonts w:ascii="Arial" w:cs="Arial" w:eastAsia="Arial" w:hAnsi="Arial"/>
          <w:sz w:val="19"/>
          <w:szCs w:val="19"/>
          <w:color w:val="auto"/>
        </w:rPr>
        <w:t xml:space="preserve"> Loans will be made to the Administrative Agent, for the account of the Lenders to which such payments are due, in the currency of the applicable Loan in Same Day Funds, not later than 1:00 p.m., Local Time (or, in the case of Loans denominated in any Discretionary Alternative Currency, not later than the Applicable Time) on the dates specified herein. All such payments to the Administrative Agent shall be made to such account as may be specified by the Administrative Agent. Without limiting the generality of the foregoing, the Administrative Agent may require that any payments due under this Agreement be made in the United States. If, for any reason, the Borrower is prohibited by any Law from making any required payment hereunder in an Alternative Currency or a Discretionary Alternative Currency, it will make such payment in US Dollars in the US Dollar Equivalent of the Alternative Currency or the Discretionary Alternative Currency payment amount. The Administrative Agent shall distribute any such payment received by it for the account of any other Person to the appropriate recipient promptly following receipt thereof. All payments received by the Administrative Agent (A) after 1:00 p.m., Local Time, in the case of payments in US Dollars or an Alternative Currency, or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63</w:t>
      </w:r>
    </w:p>
    <w:p>
      <w:pPr>
        <w:sectPr>
          <w:pgSz w:w="11900" w:h="16838" w:orient="portrait"/>
          <w:cols w:equalWidth="0" w:num="1">
            <w:col w:w="11200"/>
          </w:cols>
          <w:pgMar w:left="320" w:top="1152" w:right="379" w:bottom="1440" w:gutter="0" w:footer="0" w:header="0"/>
        </w:sectPr>
      </w:pPr>
    </w:p>
    <w:bookmarkStart w:id="202" w:name="page203"/>
    <w:bookmarkEnd w:id="202"/>
    <w:p>
      <w:pPr>
        <w:jc w:val="both"/>
        <w:spacing w:after="0" w:line="231" w:lineRule="auto"/>
        <w:rPr>
          <w:sz w:val="20"/>
          <w:szCs w:val="20"/>
          <w:color w:val="auto"/>
        </w:rPr>
      </w:pPr>
      <w:r>
        <w:rPr>
          <w:rFonts w:ascii="Arial" w:cs="Arial" w:eastAsia="Arial" w:hAnsi="Arial"/>
          <w:sz w:val="20"/>
          <w:szCs w:val="20"/>
          <w:color w:val="auto"/>
        </w:rPr>
        <w:t>after the Applicable Time in the case of payments in a Discretionary Alternative Currency will, in each case, be deemed received on the next succeeding Business Day and any applicable interest or fee will continue to accrue. If any payment to be made by the Borrower will come due on a day that is not a Business Day, payment will be made on the next following Business Day, except (x) as otherwise set forth in the definition of “Interest Period” or “Maturity Date”, (y) that no payment will extend past the end of the Availability Period or (z) as otherwise agreed between the Borrower and Bid Loan Lender with respect to a Bid Loan, and such extension of time will be reflected in computing interest or fees, as the case may be.</w:t>
      </w:r>
    </w:p>
    <w:p>
      <w:pPr>
        <w:spacing w:after="0" w:line="156" w:lineRule="exact"/>
        <w:rPr>
          <w:sz w:val="20"/>
          <w:szCs w:val="20"/>
          <w:color w:val="auto"/>
        </w:rPr>
      </w:pPr>
    </w:p>
    <w:p>
      <w:pPr>
        <w:jc w:val="both"/>
        <w:ind w:firstLine="1036"/>
        <w:spacing w:after="0" w:line="236" w:lineRule="auto"/>
        <w:tabs>
          <w:tab w:leader="none" w:pos="1580" w:val="left"/>
        </w:tabs>
        <w:numPr>
          <w:ilvl w:val="0"/>
          <w:numId w:val="148"/>
        </w:numPr>
        <w:rPr>
          <w:rFonts w:ascii="Arial" w:cs="Arial" w:eastAsia="Arial" w:hAnsi="Arial"/>
          <w:sz w:val="19"/>
          <w:szCs w:val="19"/>
          <w:color w:val="auto"/>
        </w:rPr>
      </w:pPr>
      <w:r>
        <w:rPr>
          <w:rFonts w:ascii="Arial" w:cs="Arial" w:eastAsia="Arial" w:hAnsi="Arial"/>
          <w:sz w:val="19"/>
          <w:szCs w:val="19"/>
          <w:u w:val="single" w:color="auto"/>
          <w:color w:val="auto"/>
        </w:rPr>
        <w:t>Funding by Lenders; Presumption by the Administrative Agent</w:t>
      </w:r>
      <w:r>
        <w:rPr>
          <w:rFonts w:ascii="Arial" w:cs="Arial" w:eastAsia="Arial" w:hAnsi="Arial"/>
          <w:sz w:val="19"/>
          <w:szCs w:val="19"/>
          <w:color w:val="auto"/>
        </w:rPr>
        <w:t xml:space="preserve">. (i) Unless the Administrative Agent will have received notice from a Lender prior to the proposed date of any Committed Borrowing that such Lender will not make available to the Administrative Agent such Lender’s share of such Committed Borrowing, the Administrative Agent may assume that such Lender has made such share available on such date in accordance with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and may, in reliance upon such assumption, make available to the Borrower a corresponding amount. In such event, if a Lender has not in fact made its share of the applicable Committed Borrowing available to the Administrative Agent, then the applicable Lender and the Borrower severally agree to pay to the Administrative Agent forthwith on demand such corresponding amount in Same Day Funds with interest thereon, for each day from and including the date such amount is made available to the Borrower to but excluding the date of payment to the Administrative Agent, at (A) in the case of a payment to be made by such Lender, the Overnight Rate, plus any administrative, processing or similar fees customarily charged by the Administrative Agent in connection with the foregoing, and (B) in the case of a payment to be made by the Borrower, (x) if denominated in US Dollars, the interest rate applicable to Base Rate Committed Loans and (y) if denominated in an Alternative Currency, the interest rate applicable to the subject Loan. If the Borrower and such Lender shall pay such interest to the Administrative Agent for the same or an overlapping period, the Administrative Agent will promptly remit to the Borrower the amount of such interest paid by the Borrower for such period. If such Lender pays its share of the applicable Committed Borrowing to the Administrative Agent, then the amount so paid will constitute such Lender’s Committed Loan included in such Committed Borrowing. Any payment by the Borrower will be without prejudice to any claim the Borrower may have against a Lender that shall have failed to make such payment to the Administrative Agent.</w:t>
      </w:r>
    </w:p>
    <w:p>
      <w:pPr>
        <w:spacing w:after="0" w:line="163" w:lineRule="exact"/>
        <w:rPr>
          <w:rFonts w:ascii="Arial" w:cs="Arial" w:eastAsia="Arial" w:hAnsi="Arial"/>
          <w:sz w:val="19"/>
          <w:szCs w:val="19"/>
          <w:color w:val="auto"/>
        </w:rPr>
      </w:pPr>
    </w:p>
    <w:p>
      <w:pPr>
        <w:jc w:val="both"/>
        <w:ind w:left="640" w:firstLine="956"/>
        <w:spacing w:after="0" w:line="239" w:lineRule="auto"/>
        <w:tabs>
          <w:tab w:leader="none" w:pos="2137" w:val="left"/>
        </w:tabs>
        <w:numPr>
          <w:ilvl w:val="1"/>
          <w:numId w:val="148"/>
        </w:numPr>
        <w:rPr>
          <w:rFonts w:ascii="Arial" w:cs="Arial" w:eastAsia="Arial" w:hAnsi="Arial"/>
          <w:sz w:val="19"/>
          <w:szCs w:val="19"/>
          <w:color w:val="auto"/>
        </w:rPr>
      </w:pPr>
      <w:r>
        <w:rPr>
          <w:rFonts w:ascii="Arial" w:cs="Arial" w:eastAsia="Arial" w:hAnsi="Arial"/>
          <w:sz w:val="19"/>
          <w:szCs w:val="19"/>
          <w:u w:val="single" w:color="auto"/>
          <w:color w:val="auto"/>
        </w:rPr>
        <w:t>Payments by the Borrower; Presumptions by the Administrative Agent</w:t>
      </w:r>
      <w:r>
        <w:rPr>
          <w:rFonts w:ascii="Arial" w:cs="Arial" w:eastAsia="Arial" w:hAnsi="Arial"/>
          <w:sz w:val="19"/>
          <w:szCs w:val="19"/>
          <w:color w:val="auto"/>
        </w:rPr>
        <w:t>. Unless the Administrative Agent will have received notice from the Borrower prior to the date on which any payment is due to the Administrative Agent for the account of the Lenders or an L/C Issuer hereunder that the Borrower will not make such payment, the Administrative Agent may assume that the Borrower has made such payment on such date in accordance herewith and may, in reliance upon such assumption, distribute to the Lenders or such L/C Issuer, as the case may be, the amount due. In such event, if the Borrower has not in fact made such payment, then each of the Lenders or such L/C Issuer, as the case may be, severally agrees to repay to the Administrative Agent forthwith on demand the amount so distributed to such Lender or such L/C Issuer, in Same Day Funds with interest thereon, for each day from and including the date such amount is distributed to it to but excluding the date of payment to the Administrative Agent, at the Overnight Rate, plus any administrative, processing or similar fees customarily charged by the Administrative Agent in connection with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64</w:t>
      </w:r>
    </w:p>
    <w:p>
      <w:pPr>
        <w:sectPr>
          <w:pgSz w:w="11900" w:h="16838" w:orient="portrait"/>
          <w:cols w:equalWidth="0" w:num="1">
            <w:col w:w="11200"/>
          </w:cols>
          <w:pgMar w:left="320" w:top="1152" w:right="379" w:bottom="1440" w:gutter="0" w:footer="0" w:header="0"/>
        </w:sectPr>
      </w:pPr>
    </w:p>
    <w:bookmarkStart w:id="203" w:name="page204"/>
    <w:bookmarkEnd w:id="203"/>
    <w:p>
      <w:pPr>
        <w:ind w:left="640" w:firstLine="956"/>
        <w:spacing w:after="0" w:line="239" w:lineRule="auto"/>
        <w:tabs>
          <w:tab w:leader="none" w:pos="2197" w:val="left"/>
        </w:tabs>
        <w:numPr>
          <w:ilvl w:val="1"/>
          <w:numId w:val="149"/>
        </w:numPr>
        <w:rPr>
          <w:rFonts w:ascii="Arial" w:cs="Arial" w:eastAsia="Arial" w:hAnsi="Arial"/>
          <w:sz w:val="21"/>
          <w:szCs w:val="21"/>
          <w:color w:val="auto"/>
        </w:rPr>
      </w:pPr>
      <w:r>
        <w:rPr>
          <w:rFonts w:ascii="Arial" w:cs="Arial" w:eastAsia="Arial" w:hAnsi="Arial"/>
          <w:sz w:val="21"/>
          <w:szCs w:val="21"/>
          <w:color w:val="auto"/>
        </w:rPr>
        <w:t xml:space="preserve">A notice of the Administrative Agent to any Lender or the Borrower with respect to any amount owing under this </w:t>
      </w:r>
      <w:r>
        <w:rPr>
          <w:rFonts w:ascii="Arial" w:cs="Arial" w:eastAsia="Arial" w:hAnsi="Arial"/>
          <w:sz w:val="21"/>
          <w:szCs w:val="21"/>
          <w:u w:val="single" w:color="auto"/>
          <w:color w:val="auto"/>
        </w:rPr>
        <w:t>Section 2.12(b)</w:t>
      </w:r>
      <w:r>
        <w:rPr>
          <w:rFonts w:ascii="Arial" w:cs="Arial" w:eastAsia="Arial" w:hAnsi="Arial"/>
          <w:sz w:val="21"/>
          <w:szCs w:val="21"/>
          <w:color w:val="auto"/>
        </w:rPr>
        <w:t xml:space="preserve"> will be conclusive, absent manifest error.</w:t>
      </w:r>
    </w:p>
    <w:p>
      <w:pPr>
        <w:spacing w:after="0" w:line="155" w:lineRule="exact"/>
        <w:rPr>
          <w:rFonts w:ascii="Arial" w:cs="Arial" w:eastAsia="Arial" w:hAnsi="Arial"/>
          <w:sz w:val="21"/>
          <w:szCs w:val="21"/>
          <w:color w:val="auto"/>
        </w:rPr>
      </w:pPr>
    </w:p>
    <w:p>
      <w:pPr>
        <w:jc w:val="both"/>
        <w:ind w:firstLine="1036"/>
        <w:spacing w:after="0" w:line="233" w:lineRule="auto"/>
        <w:tabs>
          <w:tab w:leader="none" w:pos="1510" w:val="left"/>
        </w:tabs>
        <w:numPr>
          <w:ilvl w:val="0"/>
          <w:numId w:val="150"/>
        </w:numPr>
        <w:rPr>
          <w:rFonts w:ascii="Arial" w:cs="Arial" w:eastAsia="Arial" w:hAnsi="Arial"/>
          <w:sz w:val="20"/>
          <w:szCs w:val="20"/>
          <w:color w:val="auto"/>
        </w:rPr>
      </w:pPr>
      <w:r>
        <w:rPr>
          <w:rFonts w:ascii="Arial" w:cs="Arial" w:eastAsia="Arial" w:hAnsi="Arial"/>
          <w:sz w:val="20"/>
          <w:szCs w:val="20"/>
          <w:u w:val="single" w:color="auto"/>
          <w:color w:val="auto"/>
        </w:rPr>
        <w:t>Failure to Satisfy Conditions Precedent</w:t>
      </w:r>
      <w:r>
        <w:rPr>
          <w:rFonts w:ascii="Arial" w:cs="Arial" w:eastAsia="Arial" w:hAnsi="Arial"/>
          <w:sz w:val="20"/>
          <w:szCs w:val="20"/>
          <w:color w:val="auto"/>
        </w:rPr>
        <w:t xml:space="preserve">. In the event that any Lender made available to the Administrative Agent funds for any Loan to be made by such Lender to the Borrower as provided in the foregoing provisions of this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and such funds are not made available to the Borrower by the Administrative Agent because the conditions to the applicable Credit Extension set forth in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are not satisfied (or waived in accordance with </w:t>
      </w:r>
      <w:r>
        <w:rPr>
          <w:rFonts w:ascii="Arial" w:cs="Arial" w:eastAsia="Arial" w:hAnsi="Arial"/>
          <w:sz w:val="20"/>
          <w:szCs w:val="20"/>
          <w:u w:val="single" w:color="auto"/>
          <w:color w:val="auto"/>
        </w:rPr>
        <w:t>Section 11.01</w:t>
      </w:r>
      <w:r>
        <w:rPr>
          <w:rFonts w:ascii="Arial" w:cs="Arial" w:eastAsia="Arial" w:hAnsi="Arial"/>
          <w:sz w:val="20"/>
          <w:szCs w:val="20"/>
          <w:color w:val="auto"/>
        </w:rPr>
        <w:t>), the Administrative Agent shall return such funds (in like funds as received from such Lender) to such Lender, without interest.</w:t>
      </w:r>
    </w:p>
    <w:p>
      <w:pPr>
        <w:spacing w:after="0" w:line="155" w:lineRule="exact"/>
        <w:rPr>
          <w:rFonts w:ascii="Arial" w:cs="Arial" w:eastAsia="Arial" w:hAnsi="Arial"/>
          <w:sz w:val="20"/>
          <w:szCs w:val="20"/>
          <w:color w:val="auto"/>
        </w:rPr>
      </w:pPr>
    </w:p>
    <w:p>
      <w:pPr>
        <w:jc w:val="both"/>
        <w:ind w:firstLine="1036"/>
        <w:spacing w:after="0" w:line="247" w:lineRule="auto"/>
        <w:tabs>
          <w:tab w:leader="none" w:pos="1589" w:val="left"/>
        </w:tabs>
        <w:numPr>
          <w:ilvl w:val="0"/>
          <w:numId w:val="150"/>
        </w:numPr>
        <w:rPr>
          <w:rFonts w:ascii="Arial" w:cs="Arial" w:eastAsia="Arial" w:hAnsi="Arial"/>
          <w:sz w:val="19"/>
          <w:szCs w:val="19"/>
          <w:color w:val="auto"/>
        </w:rPr>
      </w:pPr>
      <w:r>
        <w:rPr>
          <w:rFonts w:ascii="Arial" w:cs="Arial" w:eastAsia="Arial" w:hAnsi="Arial"/>
          <w:sz w:val="19"/>
          <w:szCs w:val="19"/>
          <w:u w:val="single" w:color="auto"/>
          <w:color w:val="auto"/>
        </w:rPr>
        <w:t>Obligations of Lenders Several</w:t>
      </w:r>
      <w:r>
        <w:rPr>
          <w:rFonts w:ascii="Arial" w:cs="Arial" w:eastAsia="Arial" w:hAnsi="Arial"/>
          <w:sz w:val="19"/>
          <w:szCs w:val="19"/>
          <w:color w:val="auto"/>
        </w:rPr>
        <w:t xml:space="preserve">. The obligations of the Lenders hereunder to make Loans, to fund participations in Letters of Credit and to make payments pursuant to </w:t>
      </w:r>
      <w:r>
        <w:rPr>
          <w:rFonts w:ascii="Arial" w:cs="Arial" w:eastAsia="Arial" w:hAnsi="Arial"/>
          <w:sz w:val="19"/>
          <w:szCs w:val="19"/>
          <w:u w:val="single" w:color="auto"/>
          <w:color w:val="auto"/>
        </w:rPr>
        <w:t>Section 11.04(c)</w:t>
      </w:r>
      <w:r>
        <w:rPr>
          <w:rFonts w:ascii="Arial" w:cs="Arial" w:eastAsia="Arial" w:hAnsi="Arial"/>
          <w:sz w:val="19"/>
          <w:szCs w:val="19"/>
          <w:color w:val="auto"/>
        </w:rPr>
        <w:t xml:space="preserve"> are several and not joint. The failure of any Lender to make any Loan, to fund any such participation or to make any payment under </w:t>
      </w:r>
      <w:r>
        <w:rPr>
          <w:rFonts w:ascii="Arial" w:cs="Arial" w:eastAsia="Arial" w:hAnsi="Arial"/>
          <w:sz w:val="19"/>
          <w:szCs w:val="19"/>
          <w:u w:val="single" w:color="auto"/>
          <w:color w:val="auto"/>
        </w:rPr>
        <w:t>Section 11.04(c)</w:t>
      </w:r>
      <w:r>
        <w:rPr>
          <w:rFonts w:ascii="Arial" w:cs="Arial" w:eastAsia="Arial" w:hAnsi="Arial"/>
          <w:sz w:val="19"/>
          <w:szCs w:val="19"/>
          <w:color w:val="auto"/>
        </w:rPr>
        <w:t xml:space="preserve"> on any date required hereunder will not relieve any other Lender of its corresponding obligation to do so on such date, and no Lender will be responsible for the failure of any other Lender to so make its Loan, to purchase its participation or to make its payment under </w:t>
      </w:r>
      <w:r>
        <w:rPr>
          <w:rFonts w:ascii="Arial" w:cs="Arial" w:eastAsia="Arial" w:hAnsi="Arial"/>
          <w:sz w:val="19"/>
          <w:szCs w:val="19"/>
          <w:u w:val="single" w:color="auto"/>
          <w:color w:val="auto"/>
        </w:rPr>
        <w:t>Section 11.04(c)</w:t>
      </w:r>
      <w:r>
        <w:rPr>
          <w:rFonts w:ascii="Arial" w:cs="Arial" w:eastAsia="Arial" w:hAnsi="Arial"/>
          <w:sz w:val="19"/>
          <w:szCs w:val="19"/>
          <w:color w:val="auto"/>
        </w:rPr>
        <w:t>.</w:t>
      </w:r>
    </w:p>
    <w:p>
      <w:pPr>
        <w:spacing w:after="0" w:line="147" w:lineRule="exact"/>
        <w:rPr>
          <w:rFonts w:ascii="Arial" w:cs="Arial" w:eastAsia="Arial" w:hAnsi="Arial"/>
          <w:sz w:val="19"/>
          <w:szCs w:val="19"/>
          <w:color w:val="auto"/>
        </w:rPr>
      </w:pPr>
    </w:p>
    <w:p>
      <w:pPr>
        <w:jc w:val="both"/>
        <w:ind w:firstLine="1036"/>
        <w:spacing w:after="0" w:line="222" w:lineRule="auto"/>
        <w:tabs>
          <w:tab w:leader="none" w:pos="1584" w:val="left"/>
        </w:tabs>
        <w:numPr>
          <w:ilvl w:val="0"/>
          <w:numId w:val="150"/>
        </w:numPr>
        <w:rPr>
          <w:rFonts w:ascii="Arial" w:cs="Arial" w:eastAsia="Arial" w:hAnsi="Arial"/>
          <w:sz w:val="21"/>
          <w:szCs w:val="21"/>
          <w:color w:val="auto"/>
        </w:rPr>
      </w:pPr>
      <w:r>
        <w:rPr>
          <w:rFonts w:ascii="Arial" w:cs="Arial" w:eastAsia="Arial" w:hAnsi="Arial"/>
          <w:sz w:val="21"/>
          <w:szCs w:val="21"/>
          <w:u w:val="single" w:color="auto"/>
          <w:color w:val="auto"/>
        </w:rPr>
        <w:t>Funding Source</w:t>
      </w:r>
      <w:r>
        <w:rPr>
          <w:rFonts w:ascii="Arial" w:cs="Arial" w:eastAsia="Arial" w:hAnsi="Arial"/>
          <w:sz w:val="21"/>
          <w:szCs w:val="21"/>
          <w:color w:val="auto"/>
        </w:rPr>
        <w:t xml:space="preserve">. Nothing herein will be deemed to obligate any Lender to obtain the funds for any Loan in any particular place or manner or to constitute a representation by any Lender that it has obtained or will obtain the funds for any Loan in any particular place or manner. Each Lender at its option may make any Loan by causing any domestic or foreign branch or Affiliate of such Lender to make such Loan;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exercise of such option shall not affect the obligation of the Borrower to repay such Loan in accordance with the terms of this Agreement.</w:t>
      </w:r>
    </w:p>
    <w:p>
      <w:pPr>
        <w:spacing w:after="0" w:line="155" w:lineRule="exact"/>
        <w:rPr>
          <w:sz w:val="20"/>
          <w:szCs w:val="20"/>
          <w:color w:val="auto"/>
        </w:rPr>
      </w:pPr>
    </w:p>
    <w:p>
      <w:pPr>
        <w:jc w:val="both"/>
        <w:ind w:firstLine="954"/>
        <w:spacing w:after="0" w:line="217" w:lineRule="auto"/>
        <w:rPr>
          <w:sz w:val="20"/>
          <w:szCs w:val="20"/>
          <w:color w:val="auto"/>
        </w:rPr>
      </w:pPr>
      <w:r>
        <w:rPr>
          <w:rFonts w:ascii="Arial" w:cs="Arial" w:eastAsia="Arial" w:hAnsi="Arial"/>
          <w:sz w:val="21"/>
          <w:szCs w:val="21"/>
          <w:color w:val="auto"/>
        </w:rPr>
        <w:t xml:space="preserve">Section 2.13 </w:t>
      </w:r>
      <w:r>
        <w:rPr>
          <w:rFonts w:ascii="Arial" w:cs="Arial" w:eastAsia="Arial" w:hAnsi="Arial"/>
          <w:sz w:val="21"/>
          <w:szCs w:val="21"/>
          <w:u w:val="single" w:color="auto"/>
          <w:color w:val="auto"/>
        </w:rPr>
        <w:t>Sharing of Payments by Lenders</w:t>
      </w:r>
      <w:r>
        <w:rPr>
          <w:rFonts w:ascii="Arial" w:cs="Arial" w:eastAsia="Arial" w:hAnsi="Arial"/>
          <w:sz w:val="21"/>
          <w:szCs w:val="21"/>
          <w:color w:val="auto"/>
        </w:rPr>
        <w:t xml:space="preserve"> . If any Lender shall, by exercising any right of setoff or counterclaim or otherwise, obtain payment in respect of any principal of or interest on any of the Committed Loans made by it, or the participations in L/C Obligations held by it, resulting in such Lender’s receiving payment of a proportion of the aggregate amount of such Committed Loans or such participations and accrued interest thereon greater than its </w:t>
      </w:r>
      <w:r>
        <w:rPr>
          <w:rFonts w:ascii="Arial" w:cs="Arial" w:eastAsia="Arial" w:hAnsi="Arial"/>
          <w:sz w:val="21"/>
          <w:szCs w:val="21"/>
          <w:u w:val="single" w:color="auto"/>
          <w:color w:val="auto"/>
        </w:rPr>
        <w:t>pro rata</w:t>
      </w:r>
      <w:r>
        <w:rPr>
          <w:rFonts w:ascii="Arial" w:cs="Arial" w:eastAsia="Arial" w:hAnsi="Arial"/>
          <w:sz w:val="21"/>
          <w:szCs w:val="21"/>
          <w:color w:val="auto"/>
        </w:rPr>
        <w:t xml:space="preserve"> share thereof as provided herein, then the Lender receiving such greater proportion will (a) notify the Administrative Agent of such fact and (b) purchase (for cash at face value) participations in the Committed Loans and subparticipations in L/C Obligations of the other Lenders, or make such other adjustments as will be equitable, so that the benefit of all such payments will be shared by the Lenders ratably in accordance with the aggregate amounts of principal of and accrued interest on their respective Committed Loans and such participations held by them;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w:t>
      </w:r>
    </w:p>
    <w:p>
      <w:pPr>
        <w:spacing w:after="0" w:line="155" w:lineRule="exact"/>
        <w:rPr>
          <w:sz w:val="20"/>
          <w:szCs w:val="20"/>
          <w:color w:val="auto"/>
        </w:rPr>
      </w:pPr>
    </w:p>
    <w:p>
      <w:pPr>
        <w:jc w:val="both"/>
        <w:ind w:left="640" w:firstLine="638"/>
        <w:spacing w:after="0" w:line="230" w:lineRule="auto"/>
        <w:tabs>
          <w:tab w:leader="none" w:pos="1912" w:val="left"/>
        </w:tabs>
        <w:numPr>
          <w:ilvl w:val="0"/>
          <w:numId w:val="151"/>
        </w:numPr>
        <w:rPr>
          <w:rFonts w:ascii="Arial" w:cs="Arial" w:eastAsia="Arial" w:hAnsi="Arial"/>
          <w:sz w:val="21"/>
          <w:szCs w:val="21"/>
          <w:color w:val="auto"/>
        </w:rPr>
      </w:pPr>
      <w:r>
        <w:rPr>
          <w:rFonts w:ascii="Arial" w:cs="Arial" w:eastAsia="Arial" w:hAnsi="Arial"/>
          <w:sz w:val="21"/>
          <w:szCs w:val="21"/>
          <w:color w:val="auto"/>
        </w:rPr>
        <w:t>if any such participations or subparticipations are purchased and all or any portion of the payment giving rise thereto is recovered, such participations or subparticipations will be rescinded and the purchase price restored to the extent of such recovery, without interest; and</w:t>
      </w:r>
    </w:p>
    <w:p>
      <w:pPr>
        <w:spacing w:after="0" w:line="153" w:lineRule="exact"/>
        <w:rPr>
          <w:rFonts w:ascii="Arial" w:cs="Arial" w:eastAsia="Arial" w:hAnsi="Arial"/>
          <w:sz w:val="21"/>
          <w:szCs w:val="21"/>
          <w:color w:val="auto"/>
        </w:rPr>
      </w:pPr>
    </w:p>
    <w:p>
      <w:pPr>
        <w:jc w:val="both"/>
        <w:ind w:left="640" w:firstLine="638"/>
        <w:spacing w:after="0" w:line="225" w:lineRule="auto"/>
        <w:tabs>
          <w:tab w:leader="none" w:pos="1912" w:val="left"/>
        </w:tabs>
        <w:numPr>
          <w:ilvl w:val="0"/>
          <w:numId w:val="151"/>
        </w:numPr>
        <w:rPr>
          <w:rFonts w:ascii="Arial" w:cs="Arial" w:eastAsia="Arial" w:hAnsi="Arial"/>
          <w:sz w:val="21"/>
          <w:szCs w:val="21"/>
          <w:color w:val="auto"/>
        </w:rPr>
      </w:pPr>
      <w:r>
        <w:rPr>
          <w:rFonts w:ascii="Arial" w:cs="Arial" w:eastAsia="Arial" w:hAnsi="Arial"/>
          <w:sz w:val="21"/>
          <w:szCs w:val="21"/>
          <w:color w:val="auto"/>
        </w:rPr>
        <w:t xml:space="preserve">the provisions of this </w:t>
      </w:r>
      <w:r>
        <w:rPr>
          <w:rFonts w:ascii="Arial" w:cs="Arial" w:eastAsia="Arial" w:hAnsi="Arial"/>
          <w:sz w:val="21"/>
          <w:szCs w:val="21"/>
          <w:u w:val="single" w:color="auto"/>
          <w:color w:val="auto"/>
        </w:rPr>
        <w:t>Section 2.13</w:t>
      </w:r>
      <w:r>
        <w:rPr>
          <w:rFonts w:ascii="Arial" w:cs="Arial" w:eastAsia="Arial" w:hAnsi="Arial"/>
          <w:sz w:val="21"/>
          <w:szCs w:val="21"/>
          <w:color w:val="auto"/>
        </w:rPr>
        <w:t xml:space="preserve"> will not be construed to apply to (A) any payment made by the Borrower pursuant to and in accordance with the express terms of this Agreement (for the avoidance of doubt, as in effect from time to time), including the application of funds arising from the existence of a Defaulting Lender, (B) the application of Cash Collateral provided for in </w:t>
      </w:r>
      <w:r>
        <w:rPr>
          <w:rFonts w:ascii="Arial" w:cs="Arial" w:eastAsia="Arial" w:hAnsi="Arial"/>
          <w:sz w:val="21"/>
          <w:szCs w:val="21"/>
          <w:u w:val="single" w:color="auto"/>
          <w:color w:val="auto"/>
        </w:rPr>
        <w:t>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65</w:t>
      </w:r>
    </w:p>
    <w:p>
      <w:pPr>
        <w:sectPr>
          <w:pgSz w:w="11900" w:h="16838" w:orient="portrait"/>
          <w:cols w:equalWidth="0" w:num="1">
            <w:col w:w="11200"/>
          </w:cols>
          <w:pgMar w:left="320" w:top="1152" w:right="379" w:bottom="1440" w:gutter="0" w:footer="0" w:header="0"/>
        </w:sectPr>
      </w:pPr>
    </w:p>
    <w:bookmarkStart w:id="204" w:name="page205"/>
    <w:bookmarkEnd w:id="204"/>
    <w:p>
      <w:pPr>
        <w:ind w:left="640" w:right="40"/>
        <w:spacing w:after="0" w:line="239" w:lineRule="auto"/>
        <w:rPr>
          <w:sz w:val="20"/>
          <w:szCs w:val="20"/>
          <w:color w:val="auto"/>
        </w:rPr>
      </w:pPr>
      <w:r>
        <w:rPr>
          <w:rFonts w:ascii="Arial" w:cs="Arial" w:eastAsia="Arial" w:hAnsi="Arial"/>
          <w:sz w:val="21"/>
          <w:szCs w:val="21"/>
          <w:u w:val="single" w:color="auto"/>
          <w:color w:val="auto"/>
        </w:rPr>
        <w:t>2.15</w:t>
      </w:r>
      <w:r>
        <w:rPr>
          <w:rFonts w:ascii="Arial" w:cs="Arial" w:eastAsia="Arial" w:hAnsi="Arial"/>
          <w:sz w:val="21"/>
          <w:szCs w:val="21"/>
          <w:color w:val="auto"/>
        </w:rPr>
        <w:t xml:space="preserve"> or (C) any payment obtained by a Lender as consideration for the assignment of or sale of a participation in any of its Committed Loans or subparticipations in L/C Obligations to any Eligible Assignee or Participant.</w:t>
      </w:r>
    </w:p>
    <w:p>
      <w:pPr>
        <w:spacing w:after="0" w:line="155" w:lineRule="exact"/>
        <w:rPr>
          <w:sz w:val="20"/>
          <w:szCs w:val="20"/>
          <w:color w:val="auto"/>
        </w:rPr>
      </w:pPr>
    </w:p>
    <w:p>
      <w:pPr>
        <w:jc w:val="both"/>
        <w:ind w:firstLine="624"/>
        <w:spacing w:after="0" w:line="225" w:lineRule="auto"/>
        <w:rPr>
          <w:sz w:val="20"/>
          <w:szCs w:val="20"/>
          <w:color w:val="auto"/>
        </w:rPr>
      </w:pPr>
      <w:r>
        <w:rPr>
          <w:rFonts w:ascii="Arial" w:cs="Arial" w:eastAsia="Arial" w:hAnsi="Arial"/>
          <w:sz w:val="21"/>
          <w:szCs w:val="21"/>
          <w:color w:val="auto"/>
        </w:rPr>
        <w:t>Each Loan Party consents to the foregoing and agrees, to the extent it may effectively do so under applicable Laws, that any Lender acquiring a participation or subparticipation pursuant to the foregoing arrangements may exercise against such Loan Party rights of setoff and counterclaim with respect to such participation or subparticipation as fully as if such Lender were a direct creditor of such Loan Party in the amount of such participation or subparticipation.</w:t>
      </w:r>
    </w:p>
    <w:p>
      <w:pPr>
        <w:spacing w:after="0" w:line="154" w:lineRule="exact"/>
        <w:rPr>
          <w:sz w:val="20"/>
          <w:szCs w:val="20"/>
          <w:color w:val="auto"/>
        </w:rPr>
      </w:pPr>
    </w:p>
    <w:p>
      <w:pPr>
        <w:jc w:val="both"/>
        <w:ind w:right="40" w:firstLine="954"/>
        <w:spacing w:after="0" w:line="238" w:lineRule="auto"/>
        <w:rPr>
          <w:sz w:val="20"/>
          <w:szCs w:val="20"/>
          <w:color w:val="auto"/>
        </w:rPr>
      </w:pPr>
      <w:r>
        <w:rPr>
          <w:rFonts w:ascii="Arial" w:cs="Arial" w:eastAsia="Arial" w:hAnsi="Arial"/>
          <w:sz w:val="19"/>
          <w:szCs w:val="19"/>
          <w:color w:val="auto"/>
        </w:rPr>
        <w:t xml:space="preserve">Section 2.14 </w:t>
      </w:r>
      <w:r>
        <w:rPr>
          <w:rFonts w:ascii="Arial" w:cs="Arial" w:eastAsia="Arial" w:hAnsi="Arial"/>
          <w:sz w:val="19"/>
          <w:szCs w:val="19"/>
          <w:u w:val="single" w:color="auto"/>
          <w:color w:val="auto"/>
        </w:rPr>
        <w:t>Expansion Option</w:t>
      </w:r>
      <w:r>
        <w:rPr>
          <w:rFonts w:ascii="Arial" w:cs="Arial" w:eastAsia="Arial" w:hAnsi="Arial"/>
          <w:sz w:val="19"/>
          <w:szCs w:val="19"/>
          <w:color w:val="auto"/>
        </w:rPr>
        <w:t xml:space="preserve">. (a) </w:t>
      </w:r>
      <w:r>
        <w:rPr>
          <w:rFonts w:ascii="Arial" w:cs="Arial" w:eastAsia="Arial" w:hAnsi="Arial"/>
          <w:sz w:val="19"/>
          <w:szCs w:val="19"/>
          <w:u w:val="single" w:color="auto"/>
          <w:color w:val="auto"/>
        </w:rPr>
        <w:t>Request for Increase</w:t>
      </w:r>
      <w:r>
        <w:rPr>
          <w:rFonts w:ascii="Arial" w:cs="Arial" w:eastAsia="Arial" w:hAnsi="Arial"/>
          <w:sz w:val="19"/>
          <w:szCs w:val="19"/>
          <w:color w:val="auto"/>
        </w:rPr>
        <w:t>. Upon written notice to the Administrative Agent (which will promptly notify the Lenders), the Borrower may from time to time request an increase in the Aggregate Commitments or enter into one or more tranches of term loans (each an “</w:t>
      </w:r>
      <w:r>
        <w:rPr>
          <w:rFonts w:ascii="Arial" w:cs="Arial" w:eastAsia="Arial" w:hAnsi="Arial"/>
          <w:sz w:val="19"/>
          <w:szCs w:val="19"/>
          <w:u w:val="single" w:color="auto"/>
          <w:color w:val="auto"/>
        </w:rPr>
        <w:t>Incremental Term Loan</w:t>
      </w:r>
      <w:r>
        <w:rPr>
          <w:rFonts w:ascii="Arial" w:cs="Arial" w:eastAsia="Arial" w:hAnsi="Arial"/>
          <w:sz w:val="19"/>
          <w:szCs w:val="19"/>
          <w:color w:val="auto"/>
        </w:rPr>
        <w:t xml:space="preserve">”), in each case by an amount (in the aggregate for all such requests) not exceeding the sum of (i) $250,000,000, plus (ii) an unlimited amount so long as the Consolidated Leverage Ratio (calculated on a pro forma basis and assuming any such increased commitment is fully drawn and excluding the cash proceeds of any borrowing under any such increase not applied promptly for the specified transaction in connection with such incurrence upon receipt thereof) is not greater than 0.25:1.00 above the Consolidated Leverage Ratio in effect immediately prior to giving effect to such increase;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request for an increase or Incremental Term Loan will be in a minimum amount of $25,000,000. At the time of sending such notice, the Borrower (in consultation with the Administrative Agent) will specify the time period within which each Lender is requested to respond (which will in no event be less than ten (10) Business Days from the date of delivery of such notice to the Lenders). Nothing contained in this Section 2.14 shall constitute, or otherwise be deemed to be, a commitment on the part of any Lender to increase its Commitment hereunder, or provide Incremental Term Loans, at any time.</w:t>
      </w:r>
    </w:p>
    <w:p>
      <w:pPr>
        <w:spacing w:after="0" w:line="156" w:lineRule="exact"/>
        <w:rPr>
          <w:sz w:val="20"/>
          <w:szCs w:val="20"/>
          <w:color w:val="auto"/>
        </w:rPr>
      </w:pPr>
    </w:p>
    <w:p>
      <w:pPr>
        <w:jc w:val="both"/>
        <w:ind w:right="40" w:firstLine="1036"/>
        <w:spacing w:after="0" w:line="222" w:lineRule="auto"/>
        <w:tabs>
          <w:tab w:leader="none" w:pos="1576" w:val="left"/>
        </w:tabs>
        <w:numPr>
          <w:ilvl w:val="0"/>
          <w:numId w:val="152"/>
        </w:numPr>
        <w:rPr>
          <w:rFonts w:ascii="Arial" w:cs="Arial" w:eastAsia="Arial" w:hAnsi="Arial"/>
          <w:sz w:val="21"/>
          <w:szCs w:val="21"/>
          <w:color w:val="auto"/>
        </w:rPr>
      </w:pPr>
      <w:r>
        <w:rPr>
          <w:rFonts w:ascii="Arial" w:cs="Arial" w:eastAsia="Arial" w:hAnsi="Arial"/>
          <w:sz w:val="21"/>
          <w:szCs w:val="21"/>
          <w:u w:val="single" w:color="auto"/>
          <w:color w:val="auto"/>
        </w:rPr>
        <w:t>Lender Elections</w:t>
      </w:r>
      <w:r>
        <w:rPr>
          <w:rFonts w:ascii="Arial" w:cs="Arial" w:eastAsia="Arial" w:hAnsi="Arial"/>
          <w:sz w:val="21"/>
          <w:szCs w:val="21"/>
          <w:color w:val="auto"/>
        </w:rPr>
        <w:t>. Each Lender will notify the Administrative Agent within such time period whether or not it agrees to increase its Commitment or participate in such Incremental Term Loans, which decision shall be in such Lender’s sole discretion, and, if so, whether by an amount equal to, greater than, or less than its Applicable Percentage of such requested increase or tranche. Any Lender not responding within such time period will be deemed to have declined to increase its Commitment or participate in the Incremental Term Loans.</w:t>
      </w:r>
    </w:p>
    <w:p>
      <w:pPr>
        <w:spacing w:after="0" w:line="155" w:lineRule="exact"/>
        <w:rPr>
          <w:sz w:val="20"/>
          <w:szCs w:val="20"/>
          <w:color w:val="auto"/>
        </w:rPr>
      </w:pPr>
    </w:p>
    <w:p>
      <w:pPr>
        <w:jc w:val="both"/>
        <w:ind w:right="40" w:firstLine="1030"/>
        <w:spacing w:after="0" w:line="225" w:lineRule="auto"/>
        <w:rPr>
          <w:sz w:val="20"/>
          <w:szCs w:val="20"/>
          <w:color w:val="auto"/>
        </w:rPr>
      </w:pPr>
      <w:r>
        <w:rPr>
          <w:rFonts w:ascii="Arial" w:cs="Arial" w:eastAsia="Arial" w:hAnsi="Arial"/>
          <w:sz w:val="21"/>
          <w:szCs w:val="21"/>
          <w:color w:val="auto"/>
        </w:rPr>
        <w:t xml:space="preserve">(c ) </w:t>
      </w:r>
      <w:r>
        <w:rPr>
          <w:rFonts w:ascii="Arial" w:cs="Arial" w:eastAsia="Arial" w:hAnsi="Arial"/>
          <w:sz w:val="21"/>
          <w:szCs w:val="21"/>
          <w:u w:val="single" w:color="auto"/>
          <w:color w:val="auto"/>
        </w:rPr>
        <w:t>Notification by Administrative Agent; Additional Lenders</w:t>
      </w:r>
      <w:r>
        <w:rPr>
          <w:rFonts w:ascii="Arial" w:cs="Arial" w:eastAsia="Arial" w:hAnsi="Arial"/>
          <w:sz w:val="21"/>
          <w:szCs w:val="21"/>
          <w:color w:val="auto"/>
        </w:rPr>
        <w:t>. The Administrative Agent will notify the Borrower and each Lender of the Lenders’ responses to each request made hereunder. To achieve the full amount of a requested increase or tranche, the Borrower may also invite additional Eligible Assignees to become Lenders pursuant to an Incremental Joinder Agreement.</w:t>
      </w:r>
    </w:p>
    <w:p>
      <w:pPr>
        <w:spacing w:after="0" w:line="154" w:lineRule="exact"/>
        <w:rPr>
          <w:sz w:val="20"/>
          <w:szCs w:val="20"/>
          <w:color w:val="auto"/>
        </w:rPr>
      </w:pPr>
    </w:p>
    <w:p>
      <w:pPr>
        <w:jc w:val="both"/>
        <w:ind w:right="40" w:firstLine="1036"/>
        <w:spacing w:after="0" w:line="252" w:lineRule="auto"/>
        <w:tabs>
          <w:tab w:leader="none" w:pos="1565" w:val="left"/>
        </w:tabs>
        <w:numPr>
          <w:ilvl w:val="0"/>
          <w:numId w:val="153"/>
        </w:numPr>
        <w:rPr>
          <w:rFonts w:ascii="Arial" w:cs="Arial" w:eastAsia="Arial" w:hAnsi="Arial"/>
          <w:sz w:val="19"/>
          <w:szCs w:val="19"/>
          <w:color w:val="auto"/>
        </w:rPr>
      </w:pPr>
      <w:r>
        <w:rPr>
          <w:rFonts w:ascii="Arial" w:cs="Arial" w:eastAsia="Arial" w:hAnsi="Arial"/>
          <w:sz w:val="19"/>
          <w:szCs w:val="19"/>
          <w:u w:val="single" w:color="auto"/>
          <w:color w:val="auto"/>
        </w:rPr>
        <w:t>Effective Date and Allocations</w:t>
      </w:r>
      <w:r>
        <w:rPr>
          <w:rFonts w:ascii="Arial" w:cs="Arial" w:eastAsia="Arial" w:hAnsi="Arial"/>
          <w:sz w:val="19"/>
          <w:szCs w:val="19"/>
          <w:color w:val="auto"/>
        </w:rPr>
        <w:t xml:space="preserve">. If the Aggregate Commitments are increased or a tranche of Incremental Term Loans are established in accordance with this </w:t>
      </w:r>
      <w:r>
        <w:rPr>
          <w:rFonts w:ascii="Arial" w:cs="Arial" w:eastAsia="Arial" w:hAnsi="Arial"/>
          <w:sz w:val="19"/>
          <w:szCs w:val="19"/>
          <w:u w:val="single" w:color="auto"/>
          <w:color w:val="auto"/>
        </w:rPr>
        <w:t>Section 2.14</w:t>
      </w:r>
      <w:r>
        <w:rPr>
          <w:rFonts w:ascii="Arial" w:cs="Arial" w:eastAsia="Arial" w:hAnsi="Arial"/>
          <w:sz w:val="19"/>
          <w:szCs w:val="19"/>
          <w:color w:val="auto"/>
        </w:rPr>
        <w:t>, the Administrative Agent and the Borrower will determine the effective date (the “</w:t>
      </w:r>
      <w:r>
        <w:rPr>
          <w:rFonts w:ascii="Arial" w:cs="Arial" w:eastAsia="Arial" w:hAnsi="Arial"/>
          <w:sz w:val="19"/>
          <w:szCs w:val="19"/>
          <w:u w:val="single" w:color="auto"/>
          <w:color w:val="auto"/>
        </w:rPr>
        <w:t>Incremental Effective Date</w:t>
      </w:r>
      <w:r>
        <w:rPr>
          <w:rFonts w:ascii="Arial" w:cs="Arial" w:eastAsia="Arial" w:hAnsi="Arial"/>
          <w:sz w:val="19"/>
          <w:szCs w:val="19"/>
          <w:color w:val="auto"/>
        </w:rPr>
        <w:t>”) and the final allocation of such increase or tranche. The Administrative Agent will promptly notify the Borrower and the Lenders of the final allocation of such increase or tranche and the Incremental Effective Date.</w:t>
      </w:r>
    </w:p>
    <w:p>
      <w:pPr>
        <w:spacing w:after="0" w:line="142" w:lineRule="exact"/>
        <w:rPr>
          <w:rFonts w:ascii="Arial" w:cs="Arial" w:eastAsia="Arial" w:hAnsi="Arial"/>
          <w:sz w:val="19"/>
          <w:szCs w:val="19"/>
          <w:color w:val="auto"/>
        </w:rPr>
      </w:pPr>
    </w:p>
    <w:p>
      <w:pPr>
        <w:ind w:right="40" w:firstLine="1036"/>
        <w:spacing w:after="0" w:line="239" w:lineRule="auto"/>
        <w:tabs>
          <w:tab w:leader="none" w:pos="1535" w:val="left"/>
        </w:tabs>
        <w:numPr>
          <w:ilvl w:val="0"/>
          <w:numId w:val="153"/>
        </w:numPr>
        <w:rPr>
          <w:rFonts w:ascii="Arial" w:cs="Arial" w:eastAsia="Arial" w:hAnsi="Arial"/>
          <w:sz w:val="21"/>
          <w:szCs w:val="21"/>
          <w:color w:val="auto"/>
        </w:rPr>
      </w:pPr>
      <w:r>
        <w:rPr>
          <w:rFonts w:ascii="Arial" w:cs="Arial" w:eastAsia="Arial" w:hAnsi="Arial"/>
          <w:sz w:val="21"/>
          <w:szCs w:val="21"/>
          <w:u w:val="single" w:color="auto"/>
          <w:color w:val="auto"/>
        </w:rPr>
        <w:t>Conditions to Effectiveness</w:t>
      </w:r>
      <w:r>
        <w:rPr>
          <w:rFonts w:ascii="Arial" w:cs="Arial" w:eastAsia="Arial" w:hAnsi="Arial"/>
          <w:sz w:val="21"/>
          <w:szCs w:val="21"/>
          <w:color w:val="auto"/>
        </w:rPr>
        <w:t>. As a condition precedent to such increase or tranche, the Borrower will deliver to the Administrative Agent (i) a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66</w:t>
      </w:r>
    </w:p>
    <w:p>
      <w:pPr>
        <w:sectPr>
          <w:pgSz w:w="11900" w:h="16838" w:orient="portrait"/>
          <w:cols w:equalWidth="0" w:num="1">
            <w:col w:w="11240"/>
          </w:cols>
          <w:pgMar w:left="320" w:top="1152" w:right="339" w:bottom="1440" w:gutter="0" w:footer="0" w:header="0"/>
        </w:sectPr>
      </w:pPr>
    </w:p>
    <w:bookmarkStart w:id="205" w:name="page206"/>
    <w:bookmarkEnd w:id="205"/>
    <w:p>
      <w:pPr>
        <w:jc w:val="both"/>
        <w:spacing w:after="0" w:line="235" w:lineRule="auto"/>
        <w:rPr>
          <w:sz w:val="20"/>
          <w:szCs w:val="20"/>
          <w:color w:val="auto"/>
        </w:rPr>
      </w:pPr>
      <w:r>
        <w:rPr>
          <w:rFonts w:ascii="Arial" w:cs="Arial" w:eastAsia="Arial" w:hAnsi="Arial"/>
          <w:sz w:val="19"/>
          <w:szCs w:val="19"/>
          <w:color w:val="auto"/>
        </w:rPr>
        <w:t xml:space="preserve">dated as of the Incremental Effective Date signed by a Responsible Officer of the Borrower certifying that, before and after giving effect to such increase or tranche, (A) the representations and warranties contained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and the other Loan Documents are true and correct in all material respects on and as of the Incremental Effective Date, except to the extent that such representations and warranties are already qualified by materiality, in which case such representations and warranties shall be true and correct in all respects, and except to the extent that such representations and warranties specifically refer to an earlier date, in which case they are true and correct as of such earlier date, and except that for purposes of this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the representations and warranties contained in clause (a) of </w:t>
      </w:r>
      <w:r>
        <w:rPr>
          <w:rFonts w:ascii="Arial" w:cs="Arial" w:eastAsia="Arial" w:hAnsi="Arial"/>
          <w:sz w:val="19"/>
          <w:szCs w:val="19"/>
          <w:u w:val="single" w:color="auto"/>
          <w:color w:val="auto"/>
        </w:rPr>
        <w:t>Section 5.05</w:t>
      </w:r>
      <w:r>
        <w:rPr>
          <w:rFonts w:ascii="Arial" w:cs="Arial" w:eastAsia="Arial" w:hAnsi="Arial"/>
          <w:sz w:val="19"/>
          <w:szCs w:val="19"/>
          <w:color w:val="auto"/>
        </w:rPr>
        <w:t xml:space="preserve"> will be deemed to refer to the most recent statements furnished pursuant to clauses (a) and</w:t>
      </w:r>
    </w:p>
    <w:p>
      <w:pPr>
        <w:spacing w:after="0" w:line="4" w:lineRule="exact"/>
        <w:rPr>
          <w:sz w:val="20"/>
          <w:szCs w:val="20"/>
          <w:color w:val="auto"/>
        </w:rPr>
      </w:pPr>
    </w:p>
    <w:p>
      <w:pPr>
        <w:jc w:val="both"/>
        <w:ind w:firstLine="6"/>
        <w:spacing w:after="0" w:line="234" w:lineRule="auto"/>
        <w:tabs>
          <w:tab w:leader="none" w:pos="348" w:val="left"/>
        </w:tabs>
        <w:numPr>
          <w:ilvl w:val="0"/>
          <w:numId w:val="154"/>
        </w:numPr>
        <w:rPr>
          <w:rFonts w:ascii="Arial" w:cs="Arial" w:eastAsia="Arial" w:hAnsi="Arial"/>
          <w:sz w:val="19"/>
          <w:szCs w:val="19"/>
          <w:color w:val="auto"/>
        </w:rPr>
      </w:pPr>
      <w:r>
        <w:rPr>
          <w:rFonts w:ascii="Arial" w:cs="Arial" w:eastAsia="Arial" w:hAnsi="Arial"/>
          <w:sz w:val="19"/>
          <w:szCs w:val="19"/>
          <w:color w:val="auto"/>
        </w:rPr>
        <w:t xml:space="preserve">of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and (B) no Default exists and (ii) to the extent reasonably requested by the Administrative Agent, the documents and opinions of the types referred to in </w:t>
      </w:r>
      <w:r>
        <w:rPr>
          <w:rFonts w:ascii="Arial" w:cs="Arial" w:eastAsia="Arial" w:hAnsi="Arial"/>
          <w:sz w:val="19"/>
          <w:szCs w:val="19"/>
          <w:u w:val="single" w:color="auto"/>
          <w:color w:val="auto"/>
        </w:rPr>
        <w:t>Sections 4.01(b)(i)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4.01(b)(iii)</w:t>
      </w:r>
      <w:r>
        <w:rPr>
          <w:rFonts w:ascii="Arial" w:cs="Arial" w:eastAsia="Arial" w:hAnsi="Arial"/>
          <w:sz w:val="19"/>
          <w:szCs w:val="19"/>
          <w:color w:val="auto"/>
        </w:rPr>
        <w:t xml:space="preserve"> and customary reaffirmations by the Guarantors;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any Incremental Term Loans incurred for the purpose of financing an acquisition or investment for which the Borrower has determined, in good faith, that limited conditionality is reasonably necessary (any such acquisition, a “</w:t>
      </w:r>
      <w:r>
        <w:rPr>
          <w:rFonts w:ascii="Arial" w:cs="Arial" w:eastAsia="Arial" w:hAnsi="Arial"/>
          <w:sz w:val="19"/>
          <w:szCs w:val="19"/>
          <w:u w:val="single" w:color="auto"/>
          <w:color w:val="auto"/>
        </w:rPr>
        <w:t>Limited Conditionality Acquisition</w:t>
      </w:r>
      <w:r>
        <w:rPr>
          <w:rFonts w:ascii="Arial" w:cs="Arial" w:eastAsia="Arial" w:hAnsi="Arial"/>
          <w:sz w:val="19"/>
          <w:szCs w:val="19"/>
          <w:color w:val="auto"/>
        </w:rPr>
        <w:t>” and such Incremental Term Loans, “</w:t>
      </w:r>
      <w:r>
        <w:rPr>
          <w:rFonts w:ascii="Arial" w:cs="Arial" w:eastAsia="Arial" w:hAnsi="Arial"/>
          <w:sz w:val="19"/>
          <w:szCs w:val="19"/>
          <w:u w:val="single" w:color="auto"/>
          <w:color w:val="auto"/>
        </w:rPr>
        <w:t>Acquisition-Related Incremental Term</w:t>
      </w:r>
      <w:r>
        <w:rPr>
          <w:rFonts w:ascii="Arial" w:cs="Arial" w:eastAsia="Arial" w:hAnsi="Arial"/>
          <w:sz w:val="19"/>
          <w:szCs w:val="19"/>
          <w:color w:val="auto"/>
        </w:rPr>
        <w:t xml:space="preserve"> </w:t>
      </w:r>
      <w:r>
        <w:rPr>
          <w:rFonts w:ascii="Arial" w:cs="Arial" w:eastAsia="Arial" w:hAnsi="Arial"/>
          <w:sz w:val="19"/>
          <w:szCs w:val="19"/>
          <w:u w:val="single" w:color="auto"/>
          <w:color w:val="auto"/>
        </w:rPr>
        <w:t>Loans</w:t>
      </w:r>
      <w:r>
        <w:rPr>
          <w:rFonts w:ascii="Arial" w:cs="Arial" w:eastAsia="Arial" w:hAnsi="Arial"/>
          <w:sz w:val="19"/>
          <w:szCs w:val="19"/>
          <w:color w:val="auto"/>
        </w:rPr>
        <w:t>”), clause (i) of this sentence shall be deemed to have been satisfied so long as (1) as of the date of execution of the definitive acquisition or investment documentation in respect of a Limited Conditionality Acquisition (a “</w:t>
      </w:r>
      <w:r>
        <w:rPr>
          <w:rFonts w:ascii="Arial" w:cs="Arial" w:eastAsia="Arial" w:hAnsi="Arial"/>
          <w:sz w:val="19"/>
          <w:szCs w:val="19"/>
          <w:u w:val="single" w:color="auto"/>
          <w:color w:val="auto"/>
        </w:rPr>
        <w:t>Limited Conditionality Acquisition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xml:space="preserve">”) by the parties thereto, no Default or Event of Default shall have occurred and be continuing or would result from entry into such documentation, (2) as of the date of the borrowing of such Acquisition-Related Incremental Term Loans, no Event of Default under Sections 8.01(a), (f) or (g) is in existence immediately before or immediately after giving effect (including on a pro forma basis) to such borrowing and to any concurrent transactions and any substantially concurrent use of proceeds thereof, (3) the representations and warranties set forth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shall be true and correct in all material respects (except that any representation and warranty that is qualified by materiality or Material Adverse Effect shall be true and correct in all respects) as of the date of execution of the applicable Limited Conditionality Acquisition Agreement by the parties thereto, except to the extent any such representation and warranty specifically refers to an earlier date, in which case such representation and warranty shall be true and correct in all material respects (except that any representation and warranty that is qualified by materiality or Material Adverse Effect shall be true and correct in all respects) as of such earlier date and (4) as of the date of the borrowing of such Acquisition-Related Incremental Term Loans, customary “Sungard” representations and warranties (with such representations and warranties to be reasonably determined by the Lenders providing such Acquisition-Related Incremental Term Loans) shall be true and correct in all material respects (except that any representation and warranty that is qualified by materiality or Material Adverse Effect shall be true and correct in all respects) immediately prior to, and immediately after giving effect to, the incurrence of such Acquisition-Related Incremental Term Loans, except to the extent any such representation and warranty specifically refers to an earlier date, in which case such representation and warranty shall be true and correct in all material respects (except that any representation and warranty that is qualified by materiality or Material Adverse Effect shall be true and correct in all respects) as of such earlier date. With respect to any increase in the Aggregate Commitments, the Borrower will prepay any Committed Loans outstanding on the Incremental Effective Date (and pay any additional amounts required pursuant to </w:t>
      </w:r>
      <w:r>
        <w:rPr>
          <w:rFonts w:ascii="Arial" w:cs="Arial" w:eastAsia="Arial" w:hAnsi="Arial"/>
          <w:sz w:val="19"/>
          <w:szCs w:val="19"/>
          <w:u w:val="single" w:color="auto"/>
          <w:color w:val="auto"/>
        </w:rPr>
        <w:t>Section 3.05</w:t>
      </w:r>
      <w:r>
        <w:rPr>
          <w:rFonts w:ascii="Arial" w:cs="Arial" w:eastAsia="Arial" w:hAnsi="Arial"/>
          <w:sz w:val="19"/>
          <w:szCs w:val="19"/>
          <w:color w:val="auto"/>
        </w:rPr>
        <w:t xml:space="preserve">) to the extent necessary to keep the outstanding Committed Loans ratable with any revised Applicable Percentages arising from any nonratable increase in the Aggregate Commitments under this </w:t>
      </w:r>
      <w:r>
        <w:rPr>
          <w:rFonts w:ascii="Arial" w:cs="Arial" w:eastAsia="Arial" w:hAnsi="Arial"/>
          <w:sz w:val="19"/>
          <w:szCs w:val="19"/>
          <w:u w:val="single" w:color="auto"/>
          <w:color w:val="auto"/>
        </w:rPr>
        <w:t>Section 2.14</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67</w:t>
      </w:r>
    </w:p>
    <w:p>
      <w:pPr>
        <w:sectPr>
          <w:pgSz w:w="11900" w:h="16838" w:orient="portrait"/>
          <w:cols w:equalWidth="0" w:num="1">
            <w:col w:w="11200"/>
          </w:cols>
          <w:pgMar w:left="320" w:top="1152" w:right="379" w:bottom="1440" w:gutter="0" w:footer="0" w:header="0"/>
        </w:sectPr>
      </w:pPr>
    </w:p>
    <w:bookmarkStart w:id="206" w:name="page207"/>
    <w:bookmarkEnd w:id="206"/>
    <w:p>
      <w:pPr>
        <w:jc w:val="both"/>
        <w:ind w:firstLine="1036"/>
        <w:spacing w:after="0" w:line="226" w:lineRule="auto"/>
        <w:tabs>
          <w:tab w:leader="none" w:pos="1631" w:val="left"/>
        </w:tabs>
        <w:numPr>
          <w:ilvl w:val="1"/>
          <w:numId w:val="155"/>
        </w:numPr>
        <w:rPr>
          <w:rFonts w:ascii="Arial" w:cs="Arial" w:eastAsia="Arial" w:hAnsi="Arial"/>
          <w:sz w:val="20"/>
          <w:szCs w:val="20"/>
          <w:color w:val="auto"/>
        </w:rPr>
      </w:pPr>
      <w:r>
        <w:rPr>
          <w:rFonts w:ascii="Arial" w:cs="Arial" w:eastAsia="Arial" w:hAnsi="Arial"/>
          <w:sz w:val="20"/>
          <w:szCs w:val="20"/>
          <w:u w:val="single" w:color="auto"/>
          <w:color w:val="auto"/>
        </w:rPr>
        <w:t>Incremental Term Loans</w:t>
      </w:r>
      <w:r>
        <w:rPr>
          <w:rFonts w:ascii="Arial" w:cs="Arial" w:eastAsia="Arial" w:hAnsi="Arial"/>
          <w:sz w:val="20"/>
          <w:szCs w:val="20"/>
          <w:color w:val="auto"/>
        </w:rPr>
        <w:t xml:space="preserve">. The Incremental Term Loans (a) shall rank pari passu in right of payment with the Loans, (b) shall not mature earlier than the Maturity Date (but may have amortization prior to such date) and (c) shall be treated no more favorably than the Loans (taken as a whole);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the terms and conditions applicable to any tranche of Incremental Term Loans maturing after the Maturity Date may provide for financial or other covenants or prepayment requirements that are more favorable than the Loans to the extent applicable only during periods after the Maturity Date and (ii) the Incremental Term Loans may be priced differently than the Loans. Incremental Term Loans may be made hereunder pursuant to an amendment or restatement (an “</w:t>
      </w:r>
      <w:r>
        <w:rPr>
          <w:rFonts w:ascii="Arial" w:cs="Arial" w:eastAsia="Arial" w:hAnsi="Arial"/>
          <w:sz w:val="20"/>
          <w:szCs w:val="20"/>
          <w:u w:val="single" w:color="auto"/>
          <w:color w:val="auto"/>
        </w:rPr>
        <w:t>Incremental Term Loan Amendment</w:t>
      </w:r>
      <w:r>
        <w:rPr>
          <w:rFonts w:ascii="Arial" w:cs="Arial" w:eastAsia="Arial" w:hAnsi="Arial"/>
          <w:sz w:val="20"/>
          <w:szCs w:val="20"/>
          <w:color w:val="auto"/>
        </w:rPr>
        <w:t>”) of this Agreement and, as appropriate, the other Loan Documents, executed by the Borrower, each lender participating in such tranche and the Administrative Agent. The Incremental Term Loan Amendment may, without the consent of any other Lenders, effect such amendments to this Agreement and the other Loan Documents as may be necessary or appropriate, in the reasonable opinion of the Administrative Agent, to effect the provisions of this Section 2.14.</w:t>
      </w:r>
    </w:p>
    <w:p>
      <w:pPr>
        <w:spacing w:after="0" w:line="161" w:lineRule="exact"/>
        <w:rPr>
          <w:rFonts w:ascii="Arial" w:cs="Arial" w:eastAsia="Arial" w:hAnsi="Arial"/>
          <w:sz w:val="20"/>
          <w:szCs w:val="20"/>
          <w:color w:val="auto"/>
        </w:rPr>
      </w:pPr>
    </w:p>
    <w:p>
      <w:pPr>
        <w:ind w:left="1540" w:hanging="504"/>
        <w:spacing w:after="0"/>
        <w:tabs>
          <w:tab w:leader="none" w:pos="1540" w:val="left"/>
        </w:tabs>
        <w:numPr>
          <w:ilvl w:val="1"/>
          <w:numId w:val="155"/>
        </w:numPr>
        <w:rPr>
          <w:rFonts w:ascii="Arial" w:cs="Arial" w:eastAsia="Arial" w:hAnsi="Arial"/>
          <w:sz w:val="19"/>
          <w:szCs w:val="19"/>
          <w:color w:val="auto"/>
        </w:rPr>
      </w:pPr>
      <w:r>
        <w:rPr>
          <w:rFonts w:ascii="Arial" w:cs="Arial" w:eastAsia="Arial" w:hAnsi="Arial"/>
          <w:sz w:val="19"/>
          <w:szCs w:val="19"/>
          <w:u w:val="single" w:color="auto"/>
          <w:color w:val="auto"/>
        </w:rPr>
        <w:t>Conflicting Provisions</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will supersede any provisions in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11.01</w:t>
      </w:r>
      <w:r>
        <w:rPr>
          <w:rFonts w:ascii="Arial" w:cs="Arial" w:eastAsia="Arial" w:hAnsi="Arial"/>
          <w:sz w:val="19"/>
          <w:szCs w:val="19"/>
          <w:color w:val="auto"/>
        </w:rPr>
        <w:t xml:space="preserve"> to the contrary.</w:t>
      </w:r>
    </w:p>
    <w:p>
      <w:pPr>
        <w:spacing w:after="0" w:line="205" w:lineRule="exact"/>
        <w:rPr>
          <w:rFonts w:ascii="Arial" w:cs="Arial" w:eastAsia="Arial" w:hAnsi="Arial"/>
          <w:sz w:val="19"/>
          <w:szCs w:val="19"/>
          <w:color w:val="auto"/>
        </w:rPr>
      </w:pPr>
    </w:p>
    <w:p>
      <w:pPr>
        <w:jc w:val="both"/>
        <w:ind w:firstLine="1036"/>
        <w:spacing w:after="0" w:line="244" w:lineRule="auto"/>
        <w:tabs>
          <w:tab w:leader="none" w:pos="1560" w:val="left"/>
        </w:tabs>
        <w:numPr>
          <w:ilvl w:val="1"/>
          <w:numId w:val="155"/>
        </w:numPr>
        <w:rPr>
          <w:rFonts w:ascii="Arial" w:cs="Arial" w:eastAsia="Arial" w:hAnsi="Arial"/>
          <w:sz w:val="19"/>
          <w:szCs w:val="19"/>
          <w:color w:val="auto"/>
        </w:rPr>
      </w:pPr>
      <w:r>
        <w:rPr>
          <w:rFonts w:ascii="Arial" w:cs="Arial" w:eastAsia="Arial" w:hAnsi="Arial"/>
          <w:sz w:val="19"/>
          <w:szCs w:val="19"/>
          <w:color w:val="auto"/>
        </w:rPr>
        <w:t>For purposes of calculating the aggregate principal amount of all increased Commitments or Incremental Term Loans established pursuant to Section 2.14(a) above, the Borrower may elect to use sub-clauses (i) or (ii) of Section 2.14(a) above in any order or concurrently. If both sub-clause (i) and (ii) of Section 2.14(a) are available and the Borrower does not make an election, the Borrower will be deemed to have elected sub-clause (ii) of Section 2.14(a). If the Borrower incurs any amounts under such sub-clause (i) above concurrently with sub-clause (ii) above, any amounts incurred under sub-clause (i) above at such time will not count as Indebtedness for purposes of calculating the Consolidated Leverage Ratio at such time.</w:t>
      </w:r>
    </w:p>
    <w:p>
      <w:pPr>
        <w:spacing w:after="0" w:line="151" w:lineRule="exact"/>
        <w:rPr>
          <w:rFonts w:ascii="Arial" w:cs="Arial" w:eastAsia="Arial" w:hAnsi="Arial"/>
          <w:sz w:val="19"/>
          <w:szCs w:val="19"/>
          <w:color w:val="auto"/>
        </w:rPr>
      </w:pPr>
    </w:p>
    <w:p>
      <w:pPr>
        <w:jc w:val="both"/>
        <w:ind w:firstLine="518"/>
        <w:spacing w:after="0" w:line="231" w:lineRule="auto"/>
        <w:tabs>
          <w:tab w:leader="none" w:pos="1272" w:val="left"/>
        </w:tabs>
        <w:numPr>
          <w:ilvl w:val="0"/>
          <w:numId w:val="156"/>
        </w:numPr>
        <w:rPr>
          <w:rFonts w:ascii="Arial" w:cs="Arial" w:eastAsia="Arial" w:hAnsi="Arial"/>
          <w:sz w:val="20"/>
          <w:szCs w:val="20"/>
          <w:color w:val="auto"/>
        </w:rPr>
      </w:pPr>
      <w:r>
        <w:rPr>
          <w:rFonts w:ascii="Arial" w:cs="Arial" w:eastAsia="Arial" w:hAnsi="Arial"/>
          <w:sz w:val="20"/>
          <w:szCs w:val="20"/>
          <w:color w:val="auto"/>
        </w:rPr>
        <w:t>The Borrower may, in its sole discretion, classify and reclassify or later divide, classify or reclassify such increased Commitments or Incremental Term Loans established pursuant to Section 2.14(a) (or any portion thereof). In the event that a portion of Indebtedness incurred pursuant to Section 2.14(a)(i) could later be classified under sub-clause (ii) of Section 2.14(a) (giving pro forma effect to the incurrence of such portion of such Indebtedness or other obligations), such portion of Indebtedness (and any obligations in respect thereof) shall be deemed be automatically re-classified under sub-clause (ii) even if not elected by the Borrower (unless the Borrower otherwise notifies the Administrative Agent).</w:t>
      </w:r>
    </w:p>
    <w:p>
      <w:pPr>
        <w:spacing w:after="0" w:line="156" w:lineRule="exact"/>
        <w:rPr>
          <w:sz w:val="20"/>
          <w:szCs w:val="20"/>
          <w:color w:val="auto"/>
        </w:rPr>
      </w:pPr>
    </w:p>
    <w:p>
      <w:pPr>
        <w:jc w:val="both"/>
        <w:ind w:firstLine="954"/>
        <w:spacing w:after="0" w:line="220" w:lineRule="auto"/>
        <w:rPr>
          <w:sz w:val="20"/>
          <w:szCs w:val="20"/>
          <w:color w:val="auto"/>
        </w:rPr>
      </w:pPr>
      <w:r>
        <w:rPr>
          <w:rFonts w:ascii="Arial" w:cs="Arial" w:eastAsia="Arial" w:hAnsi="Arial"/>
          <w:sz w:val="21"/>
          <w:szCs w:val="21"/>
          <w:color w:val="auto"/>
        </w:rPr>
        <w:t xml:space="preserve">Section 2.15 </w:t>
      </w:r>
      <w:r>
        <w:rPr>
          <w:rFonts w:ascii="Arial" w:cs="Arial" w:eastAsia="Arial" w:hAnsi="Arial"/>
          <w:sz w:val="21"/>
          <w:szCs w:val="21"/>
          <w:u w:val="single" w:color="auto"/>
          <w:color w:val="auto"/>
        </w:rPr>
        <w:t>Cash Collateral</w:t>
      </w:r>
      <w:r>
        <w:rPr>
          <w:rFonts w:ascii="Arial" w:cs="Arial" w:eastAsia="Arial" w:hAnsi="Arial"/>
          <w:sz w:val="21"/>
          <w:szCs w:val="21"/>
          <w:color w:val="auto"/>
        </w:rPr>
        <w:t xml:space="preserve">. (a) </w:t>
      </w:r>
      <w:r>
        <w:rPr>
          <w:rFonts w:ascii="Arial" w:cs="Arial" w:eastAsia="Arial" w:hAnsi="Arial"/>
          <w:sz w:val="21"/>
          <w:szCs w:val="21"/>
          <w:u w:val="single" w:color="auto"/>
          <w:color w:val="auto"/>
        </w:rPr>
        <w:t>Certain Credit Support Events</w:t>
      </w:r>
      <w:r>
        <w:rPr>
          <w:rFonts w:ascii="Arial" w:cs="Arial" w:eastAsia="Arial" w:hAnsi="Arial"/>
          <w:sz w:val="21"/>
          <w:szCs w:val="21"/>
          <w:color w:val="auto"/>
        </w:rPr>
        <w:t>. (i) Upon the request of the Administrative Agent or any L/C Issuer (A) if such L/C Issuer has honored any full or partial drawing request under any Letter of Credit and such drawing has resulted in an L/C Borrowing or (B) if, as of the Letter of Credit Expiration Date, any L/C Obligation for any reason remains outstanding, the Borrower shall, in each case, promptly, but in any event, if such request is made by 1:00 p.m., Local Time, on the same Business Day and, if such request is made after 1:00 p.m., Local Time, on the next Business Day, Cash Collateralize the then Outstanding Amount of all L/C Obligations.</w:t>
      </w:r>
    </w:p>
    <w:p>
      <w:pPr>
        <w:spacing w:after="0" w:line="156" w:lineRule="exact"/>
        <w:rPr>
          <w:sz w:val="20"/>
          <w:szCs w:val="20"/>
          <w:color w:val="auto"/>
        </w:rPr>
      </w:pPr>
    </w:p>
    <w:p>
      <w:pPr>
        <w:jc w:val="both"/>
        <w:ind w:left="640" w:firstLine="956"/>
        <w:spacing w:after="0" w:line="230" w:lineRule="auto"/>
        <w:tabs>
          <w:tab w:leader="none" w:pos="2087" w:val="left"/>
        </w:tabs>
        <w:numPr>
          <w:ilvl w:val="0"/>
          <w:numId w:val="157"/>
        </w:numPr>
        <w:rPr>
          <w:rFonts w:ascii="Arial" w:cs="Arial" w:eastAsia="Arial" w:hAnsi="Arial"/>
          <w:sz w:val="21"/>
          <w:szCs w:val="21"/>
          <w:color w:val="auto"/>
        </w:rPr>
      </w:pPr>
      <w:r>
        <w:rPr>
          <w:rFonts w:ascii="Arial" w:cs="Arial" w:eastAsia="Arial" w:hAnsi="Arial"/>
          <w:sz w:val="21"/>
          <w:szCs w:val="21"/>
          <w:color w:val="auto"/>
        </w:rPr>
        <w:t>At any time that there shall exist a Defaulting Lender, upon the request of the Administrative Agent or any L/C Issuer, the Borrower shall promptly, but in any event, if such request is made by 1:00 p.m., Local Time, on the same Business Day and, if such request is made after 1:00 p.m., Local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68</w:t>
      </w:r>
    </w:p>
    <w:p>
      <w:pPr>
        <w:sectPr>
          <w:pgSz w:w="11900" w:h="16838" w:orient="portrait"/>
          <w:cols w:equalWidth="0" w:num="1">
            <w:col w:w="11200"/>
          </w:cols>
          <w:pgMar w:left="320" w:top="1152" w:right="379" w:bottom="1440" w:gutter="0" w:footer="0" w:header="0"/>
        </w:sectPr>
      </w:pPr>
    </w:p>
    <w:bookmarkStart w:id="207" w:name="page208"/>
    <w:bookmarkEnd w:id="207"/>
    <w:p>
      <w:pPr>
        <w:jc w:val="both"/>
        <w:ind w:left="640"/>
        <w:spacing w:after="0" w:line="230" w:lineRule="auto"/>
        <w:rPr>
          <w:sz w:val="20"/>
          <w:szCs w:val="20"/>
          <w:color w:val="auto"/>
        </w:rPr>
      </w:pPr>
      <w:r>
        <w:rPr>
          <w:rFonts w:ascii="Arial" w:cs="Arial" w:eastAsia="Arial" w:hAnsi="Arial"/>
          <w:sz w:val="21"/>
          <w:szCs w:val="21"/>
          <w:color w:val="auto"/>
        </w:rPr>
        <w:t xml:space="preserve">on the next Business Day, deliver to the Administrative Agent Cash Collateral in an amount sufficient to cover all Fronting Exposure relating to such Defaulting Lender (after giving effect to </w:t>
      </w:r>
      <w:r>
        <w:rPr>
          <w:rFonts w:ascii="Arial" w:cs="Arial" w:eastAsia="Arial" w:hAnsi="Arial"/>
          <w:sz w:val="21"/>
          <w:szCs w:val="21"/>
          <w:u w:val="single" w:color="auto"/>
          <w:color w:val="auto"/>
        </w:rPr>
        <w:t>Section 2.16(a)(iv)</w:t>
      </w:r>
      <w:r>
        <w:rPr>
          <w:rFonts w:ascii="Arial" w:cs="Arial" w:eastAsia="Arial" w:hAnsi="Arial"/>
          <w:sz w:val="21"/>
          <w:szCs w:val="21"/>
          <w:color w:val="auto"/>
        </w:rPr>
        <w:t xml:space="preserve"> and any Cash Collateral provided by the Defaulting Lender).</w:t>
      </w:r>
    </w:p>
    <w:p>
      <w:pPr>
        <w:spacing w:after="0" w:line="154" w:lineRule="exact"/>
        <w:rPr>
          <w:sz w:val="20"/>
          <w:szCs w:val="20"/>
          <w:color w:val="auto"/>
        </w:rPr>
      </w:pPr>
    </w:p>
    <w:p>
      <w:pPr>
        <w:jc w:val="both"/>
        <w:ind w:left="640" w:firstLine="956"/>
        <w:spacing w:after="0" w:line="236" w:lineRule="auto"/>
        <w:tabs>
          <w:tab w:leader="none" w:pos="2151" w:val="left"/>
        </w:tabs>
        <w:numPr>
          <w:ilvl w:val="1"/>
          <w:numId w:val="158"/>
        </w:numPr>
        <w:rPr>
          <w:rFonts w:ascii="Arial" w:cs="Arial" w:eastAsia="Arial" w:hAnsi="Arial"/>
          <w:sz w:val="20"/>
          <w:szCs w:val="20"/>
          <w:color w:val="auto"/>
        </w:rPr>
      </w:pPr>
      <w:r>
        <w:rPr>
          <w:rFonts w:ascii="Arial" w:cs="Arial" w:eastAsia="Arial" w:hAnsi="Arial"/>
          <w:sz w:val="20"/>
          <w:szCs w:val="20"/>
          <w:color w:val="auto"/>
        </w:rPr>
        <w:t>In addition, if the Administrative Agent notifies the Borrower at any time that the Outstanding Amount of all L/C Obligations at such time exceeds 105% of the Letter of Credit Sublimit then in effect, then, within two (2) Business Days after receipt of such notice, the Borrower shall Cash Collateralize the L/C Obligations in an amount equal to the amount by which the Outstanding Amount of all L/C Obligations exceeds the Letter of Credit Sublimit.</w:t>
      </w:r>
    </w:p>
    <w:p>
      <w:pPr>
        <w:spacing w:after="0" w:line="155" w:lineRule="exact"/>
        <w:rPr>
          <w:rFonts w:ascii="Arial" w:cs="Arial" w:eastAsia="Arial" w:hAnsi="Arial"/>
          <w:sz w:val="20"/>
          <w:szCs w:val="20"/>
          <w:color w:val="auto"/>
        </w:rPr>
      </w:pPr>
    </w:p>
    <w:p>
      <w:pPr>
        <w:jc w:val="both"/>
        <w:ind w:firstLine="1036"/>
        <w:spacing w:after="0" w:line="224" w:lineRule="auto"/>
        <w:tabs>
          <w:tab w:leader="none" w:pos="1510" w:val="left"/>
        </w:tabs>
        <w:numPr>
          <w:ilvl w:val="0"/>
          <w:numId w:val="159"/>
        </w:numPr>
        <w:rPr>
          <w:rFonts w:ascii="Arial" w:cs="Arial" w:eastAsia="Arial" w:hAnsi="Arial"/>
          <w:sz w:val="20"/>
          <w:szCs w:val="20"/>
          <w:color w:val="auto"/>
        </w:rPr>
      </w:pPr>
      <w:r>
        <w:rPr>
          <w:rFonts w:ascii="Arial" w:cs="Arial" w:eastAsia="Arial" w:hAnsi="Arial"/>
          <w:sz w:val="20"/>
          <w:szCs w:val="20"/>
          <w:u w:val="single" w:color="auto"/>
          <w:color w:val="auto"/>
        </w:rPr>
        <w:t>Grant of Security Interest</w:t>
      </w:r>
      <w:r>
        <w:rPr>
          <w:rFonts w:ascii="Arial" w:cs="Arial" w:eastAsia="Arial" w:hAnsi="Arial"/>
          <w:sz w:val="20"/>
          <w:szCs w:val="20"/>
          <w:color w:val="auto"/>
        </w:rPr>
        <w:t>. All Cash Collateral (other than credit support not constituting funds subject to deposit) will be maintained in blocked, segregated interest-bearing (such interest to be for the account of the Borrower if such Cash Collateral was provided by the Borrower) deposit accounts (“</w:t>
      </w:r>
      <w:r>
        <w:rPr>
          <w:rFonts w:ascii="Arial" w:cs="Arial" w:eastAsia="Arial" w:hAnsi="Arial"/>
          <w:sz w:val="20"/>
          <w:szCs w:val="20"/>
          <w:u w:val="single" w:color="auto"/>
          <w:color w:val="auto"/>
        </w:rPr>
        <w:t>Cash Collateral Accounts</w:t>
      </w:r>
      <w:r>
        <w:rPr>
          <w:rFonts w:ascii="Arial" w:cs="Arial" w:eastAsia="Arial" w:hAnsi="Arial"/>
          <w:sz w:val="20"/>
          <w:szCs w:val="20"/>
          <w:color w:val="auto"/>
        </w:rPr>
        <w:t xml:space="preserve">”) at the Administrative Agent or, if consented to by the Administrative Agent (such consent not to be unreasonably withheld, conditioned or delayed), another depositary institution that is a Lender;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Borrower shall cause any depositary institution other than the Administrative Agent to take any actions necessary to enable the Administrative Agent to obtain Control (within the meaning of Section 9-104 of the Uniform Commercial Code as from time to time in effect in the State of New York) of such Cash Collateral Accounts, including executing and delivering and causing the relevant depositary bank to execute and deliver an agreement in form and substance reasonably satisfactory to the Administrative Agent. The Borrower, and to the extent provided by any Lender, such Lender, hereby grants to (and subjects to the control of) the Administrative Agent, for the benefit of the Administrative Agent, each L/C Issuer and the Lenders, and agrees to maintain, a first priority security interest in all such Cash Collateral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20"/>
          <w:szCs w:val="20"/>
          <w:u w:val="single" w:color="auto"/>
          <w:color w:val="auto"/>
        </w:rPr>
        <w:t>Section 2.15(c)</w:t>
      </w:r>
      <w:r>
        <w:rPr>
          <w:rFonts w:ascii="Arial" w:cs="Arial" w:eastAsia="Arial" w:hAnsi="Arial"/>
          <w:sz w:val="20"/>
          <w:szCs w:val="20"/>
          <w:color w:val="auto"/>
        </w:rPr>
        <w:t>. If at any time the Administrative Agent reasonably determines that Cash Collateral is subject to any right or claim of any Person other than the Administrative Agent as herein provided, or that the total amount of such Cash Collateral is less than the applicable Fronting Exposure and other obligations secured thereby (including by reason of exchange rate fluctuations), the Borrower or the relevant Defaulting Lender will, promptly upon demand by the Administrative Agent, pay or provide to the Administrative Agent additional Cash Collateral in an amount sufficient to eliminate such deficiency.</w:t>
      </w:r>
    </w:p>
    <w:p>
      <w:pPr>
        <w:spacing w:after="0" w:line="164" w:lineRule="exact"/>
        <w:rPr>
          <w:sz w:val="20"/>
          <w:szCs w:val="20"/>
          <w:color w:val="auto"/>
        </w:rPr>
      </w:pPr>
    </w:p>
    <w:p>
      <w:pPr>
        <w:jc w:val="both"/>
        <w:ind w:firstLine="1030"/>
        <w:spacing w:after="0" w:line="222" w:lineRule="auto"/>
        <w:rPr>
          <w:sz w:val="20"/>
          <w:szCs w:val="20"/>
          <w:color w:val="auto"/>
        </w:rPr>
      </w:pPr>
      <w:r>
        <w:rPr>
          <w:rFonts w:ascii="Arial" w:cs="Arial" w:eastAsia="Arial" w:hAnsi="Arial"/>
          <w:sz w:val="21"/>
          <w:szCs w:val="21"/>
          <w:color w:val="auto"/>
        </w:rPr>
        <w:t xml:space="preserve">(c ) </w:t>
      </w:r>
      <w:r>
        <w:rPr>
          <w:rFonts w:ascii="Arial" w:cs="Arial" w:eastAsia="Arial" w:hAnsi="Arial"/>
          <w:sz w:val="21"/>
          <w:szCs w:val="21"/>
          <w:u w:val="single" w:color="auto"/>
          <w:color w:val="auto"/>
        </w:rPr>
        <w:t>Application</w:t>
      </w:r>
      <w:r>
        <w:rPr>
          <w:rFonts w:ascii="Arial" w:cs="Arial" w:eastAsia="Arial" w:hAnsi="Arial"/>
          <w:sz w:val="21"/>
          <w:szCs w:val="21"/>
          <w:color w:val="auto"/>
        </w:rPr>
        <w:t xml:space="preserve">. Notwithstanding anything to the contrary contained in this Agreement, Cash Collateral provided under any of this </w:t>
      </w:r>
      <w:r>
        <w:rPr>
          <w:rFonts w:ascii="Arial" w:cs="Arial" w:eastAsia="Arial" w:hAnsi="Arial"/>
          <w:sz w:val="21"/>
          <w:szCs w:val="21"/>
          <w:u w:val="single" w:color="auto"/>
          <w:color w:val="auto"/>
        </w:rPr>
        <w:t>Section 2.15</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2.04</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8.02</w:t>
      </w:r>
      <w:r>
        <w:rPr>
          <w:rFonts w:ascii="Arial" w:cs="Arial" w:eastAsia="Arial" w:hAnsi="Arial"/>
          <w:sz w:val="21"/>
          <w:szCs w:val="21"/>
          <w:color w:val="auto"/>
        </w:rPr>
        <w:t xml:space="preserve"> in respect of Letters of Credit shall be held and applied to the satisfaction of the specific L/C Obligations, obligations to fund participations therein (including, as to Cash Collateral provided by a Defaulting Lender, any interest accrued on such obligation) and other obligations for which such Cash Collateral was so provided, prior to any other application of such property as may be provided for herein.</w:t>
      </w:r>
    </w:p>
    <w:p>
      <w:pPr>
        <w:spacing w:after="0" w:line="155" w:lineRule="exact"/>
        <w:rPr>
          <w:sz w:val="20"/>
          <w:szCs w:val="20"/>
          <w:color w:val="auto"/>
        </w:rPr>
      </w:pPr>
    </w:p>
    <w:p>
      <w:pPr>
        <w:jc w:val="both"/>
        <w:ind w:firstLine="1036"/>
        <w:spacing w:after="0" w:line="222" w:lineRule="auto"/>
        <w:tabs>
          <w:tab w:leader="none" w:pos="1625" w:val="left"/>
        </w:tabs>
        <w:numPr>
          <w:ilvl w:val="0"/>
          <w:numId w:val="160"/>
        </w:numPr>
        <w:rPr>
          <w:rFonts w:ascii="Arial" w:cs="Arial" w:eastAsia="Arial" w:hAnsi="Arial"/>
          <w:sz w:val="21"/>
          <w:szCs w:val="21"/>
          <w:color w:val="auto"/>
        </w:rPr>
      </w:pPr>
      <w:r>
        <w:rPr>
          <w:rFonts w:ascii="Arial" w:cs="Arial" w:eastAsia="Arial" w:hAnsi="Arial"/>
          <w:sz w:val="21"/>
          <w:szCs w:val="21"/>
          <w:u w:val="single" w:color="auto"/>
          <w:color w:val="auto"/>
        </w:rPr>
        <w:t>Release</w:t>
      </w:r>
      <w:r>
        <w:rPr>
          <w:rFonts w:ascii="Arial" w:cs="Arial" w:eastAsia="Arial" w:hAnsi="Arial"/>
          <w:sz w:val="21"/>
          <w:szCs w:val="21"/>
          <w:color w:val="auto"/>
        </w:rPr>
        <w:t xml:space="preserve">. Cash Collateral (or the appropriate portion thereof) provided to reduce Fronting Exposure or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Arial" w:cs="Arial" w:eastAsia="Arial" w:hAnsi="Arial"/>
          <w:sz w:val="21"/>
          <w:szCs w:val="21"/>
          <w:u w:val="single" w:color="auto"/>
          <w:color w:val="auto"/>
        </w:rPr>
        <w:t>Section 10</w:t>
      </w:r>
      <w:r>
        <w:rPr>
          <w:rFonts w:ascii="Arial" w:cs="Arial" w:eastAsia="Arial" w:hAnsi="Arial"/>
          <w:sz w:val="21"/>
          <w:szCs w:val="21"/>
          <w:color w:val="auto"/>
        </w:rPr>
        <w:t>.</w:t>
      </w:r>
      <w:r>
        <w:rPr>
          <w:rFonts w:ascii="Arial" w:cs="Arial" w:eastAsia="Arial" w:hAnsi="Arial"/>
          <w:sz w:val="21"/>
          <w:szCs w:val="21"/>
          <w:u w:val="single" w:color="auto"/>
          <w:color w:val="auto"/>
        </w:rPr>
        <w:t>06(c)</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upon the Borrower’s request if there exists Cash Collateral in excess of the requirements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69</w:t>
      </w:r>
    </w:p>
    <w:p>
      <w:pPr>
        <w:sectPr>
          <w:pgSz w:w="11900" w:h="16838" w:orient="portrait"/>
          <w:cols w:equalWidth="0" w:num="1">
            <w:col w:w="11200"/>
          </w:cols>
          <w:pgMar w:left="320" w:top="1152" w:right="379" w:bottom="1440" w:gutter="0" w:footer="0" w:header="0"/>
        </w:sectPr>
      </w:pPr>
    </w:p>
    <w:bookmarkStart w:id="208" w:name="page209"/>
    <w:bookmarkEnd w:id="208"/>
    <w:p>
      <w:pPr>
        <w:jc w:val="both"/>
        <w:spacing w:after="0" w:line="230" w:lineRule="auto"/>
        <w:rPr>
          <w:sz w:val="20"/>
          <w:szCs w:val="20"/>
          <w:color w:val="auto"/>
        </w:rPr>
      </w:pPr>
      <w:r>
        <w:rPr>
          <w:rFonts w:ascii="Arial" w:cs="Arial" w:eastAsia="Arial" w:hAnsi="Arial"/>
          <w:sz w:val="21"/>
          <w:szCs w:val="21"/>
          <w:u w:val="single" w:color="auto"/>
          <w:color w:val="auto"/>
        </w:rPr>
        <w:t>Section 2.15</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Cash Collateral furnished by or on behalf of the Borrower shall not be released during the continuance of a Default or Event of Default (and following application as provided in this </w:t>
      </w:r>
      <w:r>
        <w:rPr>
          <w:rFonts w:ascii="Arial" w:cs="Arial" w:eastAsia="Arial" w:hAnsi="Arial"/>
          <w:sz w:val="21"/>
          <w:szCs w:val="21"/>
          <w:u w:val="single" w:color="auto"/>
          <w:color w:val="auto"/>
        </w:rPr>
        <w:t>Section 2.15</w:t>
      </w:r>
      <w:r>
        <w:rPr>
          <w:rFonts w:ascii="Arial" w:cs="Arial" w:eastAsia="Arial" w:hAnsi="Arial"/>
          <w:sz w:val="21"/>
          <w:szCs w:val="21"/>
          <w:color w:val="auto"/>
        </w:rPr>
        <w:t xml:space="preserve"> may be otherwise applied in accordance with </w:t>
      </w:r>
      <w:r>
        <w:rPr>
          <w:rFonts w:ascii="Arial" w:cs="Arial" w:eastAsia="Arial" w:hAnsi="Arial"/>
          <w:sz w:val="21"/>
          <w:szCs w:val="21"/>
          <w:u w:val="single" w:color="auto"/>
          <w:color w:val="auto"/>
        </w:rPr>
        <w:t>Section 8.03</w:t>
      </w:r>
      <w:r>
        <w:rPr>
          <w:rFonts w:ascii="Arial" w:cs="Arial" w:eastAsia="Arial" w:hAnsi="Arial"/>
          <w:sz w:val="21"/>
          <w:szCs w:val="21"/>
          <w:color w:val="auto"/>
        </w:rPr>
        <w:t>).</w:t>
      </w:r>
    </w:p>
    <w:p>
      <w:pPr>
        <w:spacing w:after="0" w:line="154" w:lineRule="exact"/>
        <w:rPr>
          <w:sz w:val="20"/>
          <w:szCs w:val="20"/>
          <w:color w:val="auto"/>
        </w:rPr>
      </w:pPr>
    </w:p>
    <w:p>
      <w:pPr>
        <w:jc w:val="both"/>
        <w:ind w:firstLine="954"/>
        <w:spacing w:after="0" w:line="230" w:lineRule="auto"/>
        <w:rPr>
          <w:sz w:val="20"/>
          <w:szCs w:val="20"/>
          <w:color w:val="auto"/>
        </w:rPr>
      </w:pPr>
      <w:r>
        <w:rPr>
          <w:rFonts w:ascii="Arial" w:cs="Arial" w:eastAsia="Arial" w:hAnsi="Arial"/>
          <w:sz w:val="21"/>
          <w:szCs w:val="21"/>
          <w:color w:val="auto"/>
        </w:rPr>
        <w:t xml:space="preserve">Section 2.16 </w:t>
      </w:r>
      <w:r>
        <w:rPr>
          <w:rFonts w:ascii="Arial" w:cs="Arial" w:eastAsia="Arial" w:hAnsi="Arial"/>
          <w:sz w:val="21"/>
          <w:szCs w:val="21"/>
          <w:u w:val="single" w:color="auto"/>
          <w:color w:val="auto"/>
        </w:rPr>
        <w:t>Defaulting Lenders</w:t>
      </w:r>
      <w:r>
        <w:rPr>
          <w:rFonts w:ascii="Arial" w:cs="Arial" w:eastAsia="Arial" w:hAnsi="Arial"/>
          <w:sz w:val="21"/>
          <w:szCs w:val="21"/>
          <w:color w:val="auto"/>
        </w:rPr>
        <w:t xml:space="preserve">. (a) </w:t>
      </w:r>
      <w:r>
        <w:rPr>
          <w:rFonts w:ascii="Arial" w:cs="Arial" w:eastAsia="Arial" w:hAnsi="Arial"/>
          <w:sz w:val="21"/>
          <w:szCs w:val="21"/>
          <w:u w:val="single" w:color="auto"/>
          <w:color w:val="auto"/>
        </w:rPr>
        <w:t>Adjustments</w:t>
      </w:r>
      <w:r>
        <w:rPr>
          <w:rFonts w:ascii="Arial" w:cs="Arial" w:eastAsia="Arial" w:hAnsi="Arial"/>
          <w:sz w:val="21"/>
          <w:szCs w:val="21"/>
          <w:color w:val="auto"/>
        </w:rPr>
        <w:t>. Notwithstanding anything to the contrary contained in this Agreement, if any Lender becomes a Defaulting Lender, then the following provisions shall apply until such time as such Lender is no longer a Defaulting Lender:</w:t>
      </w:r>
    </w:p>
    <w:p>
      <w:pPr>
        <w:spacing w:after="0" w:line="154" w:lineRule="exact"/>
        <w:rPr>
          <w:sz w:val="20"/>
          <w:szCs w:val="20"/>
          <w:color w:val="auto"/>
        </w:rPr>
      </w:pPr>
    </w:p>
    <w:p>
      <w:pPr>
        <w:ind w:left="640" w:firstLine="638"/>
        <w:spacing w:after="0" w:line="290" w:lineRule="auto"/>
        <w:tabs>
          <w:tab w:leader="none" w:pos="1912" w:val="left"/>
        </w:tabs>
        <w:numPr>
          <w:ilvl w:val="0"/>
          <w:numId w:val="161"/>
        </w:numPr>
        <w:rPr>
          <w:rFonts w:ascii="Arial" w:cs="Arial" w:eastAsia="Arial" w:hAnsi="Arial"/>
          <w:sz w:val="19"/>
          <w:szCs w:val="19"/>
          <w:color w:val="auto"/>
        </w:rPr>
      </w:pPr>
      <w:r>
        <w:rPr>
          <w:rFonts w:ascii="Arial" w:cs="Arial" w:eastAsia="Arial" w:hAnsi="Arial"/>
          <w:sz w:val="19"/>
          <w:szCs w:val="19"/>
          <w:u w:val="single" w:color="auto"/>
          <w:color w:val="auto"/>
        </w:rPr>
        <w:t>Waivers and Amendments</w:t>
      </w:r>
      <w:r>
        <w:rPr>
          <w:rFonts w:ascii="Arial" w:cs="Arial" w:eastAsia="Arial" w:hAnsi="Arial"/>
          <w:sz w:val="19"/>
          <w:szCs w:val="19"/>
          <w:color w:val="auto"/>
        </w:rPr>
        <w:t xml:space="preserve">. Such Defaulting Lender’s right to approve or disapprove any amendment, waiver or consent with respect to this Agreement or any other Loan Document shall be restricted as set forth in </w:t>
      </w:r>
      <w:r>
        <w:rPr>
          <w:rFonts w:ascii="Arial" w:cs="Arial" w:eastAsia="Arial" w:hAnsi="Arial"/>
          <w:sz w:val="19"/>
          <w:szCs w:val="19"/>
          <w:u w:val="single" w:color="auto"/>
          <w:color w:val="auto"/>
        </w:rPr>
        <w:t>Section 11.01</w:t>
      </w:r>
      <w:r>
        <w:rPr>
          <w:rFonts w:ascii="Arial" w:cs="Arial" w:eastAsia="Arial" w:hAnsi="Arial"/>
          <w:sz w:val="19"/>
          <w:szCs w:val="19"/>
          <w:color w:val="auto"/>
        </w:rPr>
        <w:t>.</w:t>
      </w:r>
    </w:p>
    <w:p>
      <w:pPr>
        <w:spacing w:after="0" w:line="107" w:lineRule="exact"/>
        <w:rPr>
          <w:rFonts w:ascii="Arial" w:cs="Arial" w:eastAsia="Arial" w:hAnsi="Arial"/>
          <w:sz w:val="19"/>
          <w:szCs w:val="19"/>
          <w:color w:val="auto"/>
        </w:rPr>
      </w:pPr>
    </w:p>
    <w:p>
      <w:pPr>
        <w:jc w:val="both"/>
        <w:ind w:left="640" w:firstLine="638"/>
        <w:spacing w:after="0"/>
        <w:tabs>
          <w:tab w:leader="none" w:pos="1912" w:val="left"/>
        </w:tabs>
        <w:numPr>
          <w:ilvl w:val="0"/>
          <w:numId w:val="161"/>
        </w:numPr>
        <w:rPr>
          <w:rFonts w:ascii="Arial" w:cs="Arial" w:eastAsia="Arial" w:hAnsi="Arial"/>
          <w:sz w:val="19"/>
          <w:szCs w:val="19"/>
          <w:color w:val="auto"/>
        </w:rPr>
      </w:pPr>
      <w:r>
        <w:rPr>
          <w:rFonts w:ascii="Arial" w:cs="Arial" w:eastAsia="Arial" w:hAnsi="Arial"/>
          <w:sz w:val="19"/>
          <w:szCs w:val="19"/>
          <w:u w:val="single" w:color="auto"/>
          <w:color w:val="auto"/>
        </w:rPr>
        <w:t>Reallocation of Payments</w:t>
      </w:r>
      <w:r>
        <w:rPr>
          <w:rFonts w:ascii="Arial" w:cs="Arial" w:eastAsia="Arial" w:hAnsi="Arial"/>
          <w:sz w:val="19"/>
          <w:szCs w:val="19"/>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or otherwise, and including any amounts made available to the Administrative Agent by such Defaulting Lender pursuant to </w:t>
      </w:r>
      <w:r>
        <w:rPr>
          <w:rFonts w:ascii="Arial" w:cs="Arial" w:eastAsia="Arial" w:hAnsi="Arial"/>
          <w:sz w:val="19"/>
          <w:szCs w:val="19"/>
          <w:u w:val="single" w:color="auto"/>
          <w:color w:val="auto"/>
        </w:rPr>
        <w:t>Section 11.08</w:t>
      </w:r>
      <w:r>
        <w:rPr>
          <w:rFonts w:ascii="Arial" w:cs="Arial" w:eastAsia="Arial" w:hAnsi="Arial"/>
          <w:sz w:val="19"/>
          <w:szCs w:val="19"/>
          <w:color w:val="auto"/>
        </w:rPr>
        <w:t xml:space="preserve">), shall be applied at such time or times as may be determined by the Administrative Agent as follows: </w:t>
      </w:r>
      <w:r>
        <w:rPr>
          <w:rFonts w:ascii="Arial" w:cs="Arial" w:eastAsia="Arial" w:hAnsi="Arial"/>
          <w:sz w:val="19"/>
          <w:szCs w:val="19"/>
          <w:i w:val="1"/>
          <w:iCs w:val="1"/>
          <w:color w:val="auto"/>
        </w:rPr>
        <w:t>first</w:t>
      </w:r>
      <w:r>
        <w:rPr>
          <w:rFonts w:ascii="Arial" w:cs="Arial" w:eastAsia="Arial" w:hAnsi="Arial"/>
          <w:sz w:val="19"/>
          <w:szCs w:val="19"/>
          <w:color w:val="auto"/>
        </w:rPr>
        <w:t xml:space="preserve">, to the payment of any amounts owing by such Defaulting Lender to the Administrative Agent hereunder; </w:t>
      </w:r>
      <w:r>
        <w:rPr>
          <w:rFonts w:ascii="Arial" w:cs="Arial" w:eastAsia="Arial" w:hAnsi="Arial"/>
          <w:sz w:val="19"/>
          <w:szCs w:val="19"/>
          <w:i w:val="1"/>
          <w:iCs w:val="1"/>
          <w:color w:val="auto"/>
        </w:rPr>
        <w:t>second</w:t>
      </w:r>
      <w:r>
        <w:rPr>
          <w:rFonts w:ascii="Arial" w:cs="Arial" w:eastAsia="Arial" w:hAnsi="Arial"/>
          <w:sz w:val="19"/>
          <w:szCs w:val="19"/>
          <w:color w:val="auto"/>
        </w:rPr>
        <w:t>, to the payment on a pro rata basis of any amounts owing by such Defaulting Lender to any L/C Issuer hereunder;</w:t>
      </w:r>
      <w:r>
        <w:rPr>
          <w:rFonts w:ascii="Arial" w:cs="Arial" w:eastAsia="Arial" w:hAnsi="Arial"/>
          <w:sz w:val="19"/>
          <w:szCs w:val="19"/>
          <w:i w:val="1"/>
          <w:iCs w:val="1"/>
          <w:color w:val="auto"/>
        </w:rPr>
        <w:t xml:space="preserve"> third</w:t>
      </w:r>
      <w:r>
        <w:rPr>
          <w:rFonts w:ascii="Arial" w:cs="Arial" w:eastAsia="Arial" w:hAnsi="Arial"/>
          <w:sz w:val="19"/>
          <w:szCs w:val="19"/>
          <w:color w:val="auto"/>
        </w:rPr>
        <w:t>, if so determined by the Administrative Agent or requested by any L/C Issuer, to be held as Cash Collateral for future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funding obligations of such Defaulting Lender in respect of any participation in any Letter of Credit; </w:t>
      </w:r>
      <w:r>
        <w:rPr>
          <w:rFonts w:ascii="Arial" w:cs="Arial" w:eastAsia="Arial" w:hAnsi="Arial"/>
          <w:sz w:val="19"/>
          <w:szCs w:val="19"/>
          <w:i w:val="1"/>
          <w:iCs w:val="1"/>
          <w:color w:val="auto"/>
        </w:rPr>
        <w:t>fourth</w:t>
      </w:r>
      <w:r>
        <w:rPr>
          <w:rFonts w:ascii="Arial" w:cs="Arial" w:eastAsia="Arial" w:hAnsi="Arial"/>
          <w:sz w:val="19"/>
          <w:szCs w:val="19"/>
          <w:color w:val="auto"/>
        </w:rPr>
        <w:t xml:space="preserve">, as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9"/>
          <w:szCs w:val="19"/>
          <w:i w:val="1"/>
          <w:iCs w:val="1"/>
          <w:color w:val="auto"/>
        </w:rPr>
        <w:t>fifth</w:t>
      </w:r>
      <w:r>
        <w:rPr>
          <w:rFonts w:ascii="Arial" w:cs="Arial" w:eastAsia="Arial" w:hAnsi="Arial"/>
          <w:sz w:val="19"/>
          <w:szCs w:val="19"/>
          <w:color w:val="auto"/>
        </w:rPr>
        <w:t xml:space="preserve">, if so determined by the Administrative Agent and Borrower, to be held in a non-interest bearing deposit account and released in order to satisfy obligations of such Defaulting Lender to fund Loans under this Agreement; </w:t>
      </w:r>
      <w:r>
        <w:rPr>
          <w:rFonts w:ascii="Arial" w:cs="Arial" w:eastAsia="Arial" w:hAnsi="Arial"/>
          <w:sz w:val="19"/>
          <w:szCs w:val="19"/>
          <w:i w:val="1"/>
          <w:iCs w:val="1"/>
          <w:color w:val="auto"/>
        </w:rPr>
        <w:t>sixth</w:t>
      </w:r>
      <w:r>
        <w:rPr>
          <w:rFonts w:ascii="Arial" w:cs="Arial" w:eastAsia="Arial" w:hAnsi="Arial"/>
          <w:sz w:val="19"/>
          <w:szCs w:val="19"/>
          <w:color w:val="auto"/>
        </w:rPr>
        <w:t xml:space="preserve">, to the payment of any amounts owing to the Lenders or any L/C Issuer as a result of any judgment of a court of competent jurisdiction obtained by any Lender or any L/C Issuer against such Defaulting Lender as a result of such Defaulting Lender’s breach of its obligations under this Agreement; </w:t>
      </w:r>
      <w:r>
        <w:rPr>
          <w:rFonts w:ascii="Arial" w:cs="Arial" w:eastAsia="Arial" w:hAnsi="Arial"/>
          <w:sz w:val="19"/>
          <w:szCs w:val="19"/>
          <w:i w:val="1"/>
          <w:iCs w:val="1"/>
          <w:color w:val="auto"/>
        </w:rPr>
        <w:t>seventh</w:t>
      </w:r>
      <w:r>
        <w:rPr>
          <w:rFonts w:ascii="Arial" w:cs="Arial" w:eastAsia="Arial" w:hAnsi="Arial"/>
          <w:sz w:val="19"/>
          <w:szCs w:val="19"/>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9"/>
          <w:szCs w:val="19"/>
          <w:i w:val="1"/>
          <w:iCs w:val="1"/>
          <w:color w:val="auto"/>
        </w:rPr>
        <w:t>eighth</w:t>
      </w:r>
      <w:r>
        <w:rPr>
          <w:rFonts w:ascii="Arial" w:cs="Arial" w:eastAsia="Arial" w:hAnsi="Arial"/>
          <w:sz w:val="19"/>
          <w:szCs w:val="19"/>
          <w:color w:val="auto"/>
        </w:rPr>
        <w:t xml:space="preserve">, to such Defaulting Lender or as otherwise directed by a court of competent jurisdiction;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(x) such payment is a payment of the principal amount of any Loans or L/C Borrowings in respect of which such Defaulting Lender has not fully funded its appropriate share and (y) such Loans or L/C Borrowings were made at a time when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were satisfied or waived, such payment shall be applied solely to pay the Loans of, and L/C Advances owed to, all non-Defaulting Lenders on a pro rata basis prior to being applied to the payment of any Loans of, or L/C Advances owed to, such Defaulting Lender. Any payments, prepayments or other amounts paid or payable to a Defaulting Lender that are applied (or held) to pay amounts owed by a Defaulting Lender or to post Cash Collateral pursuant to this </w:t>
      </w:r>
      <w:r>
        <w:rPr>
          <w:rFonts w:ascii="Arial" w:cs="Arial" w:eastAsia="Arial" w:hAnsi="Arial"/>
          <w:sz w:val="19"/>
          <w:szCs w:val="19"/>
          <w:u w:val="single" w:color="auto"/>
          <w:color w:val="auto"/>
        </w:rPr>
        <w:t>Section 2.16(a)(ii)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70</w:t>
      </w:r>
    </w:p>
    <w:p>
      <w:pPr>
        <w:sectPr>
          <w:pgSz w:w="11900" w:h="16838" w:orient="portrait"/>
          <w:cols w:equalWidth="0" w:num="1">
            <w:col w:w="11200"/>
          </w:cols>
          <w:pgMar w:left="320" w:top="1152" w:right="379" w:bottom="1440" w:gutter="0" w:footer="0" w:header="0"/>
        </w:sectPr>
      </w:pPr>
    </w:p>
    <w:bookmarkStart w:id="209" w:name="page210"/>
    <w:bookmarkEnd w:id="209"/>
    <w:p>
      <w:pPr>
        <w:ind w:left="600"/>
        <w:spacing w:after="0"/>
        <w:rPr>
          <w:sz w:val="20"/>
          <w:szCs w:val="20"/>
          <w:color w:val="auto"/>
        </w:rPr>
      </w:pPr>
      <w:r>
        <w:rPr>
          <w:rFonts w:ascii="Arial" w:cs="Arial" w:eastAsia="Arial" w:hAnsi="Arial"/>
          <w:sz w:val="21"/>
          <w:szCs w:val="21"/>
          <w:color w:val="auto"/>
        </w:rPr>
        <w:t>shall be deemed paid to and redirected by such Defaulting Lender, and each Lender irrevocably consents hereto.</w:t>
      </w:r>
    </w:p>
    <w:p>
      <w:pPr>
        <w:spacing w:after="0" w:line="183" w:lineRule="exact"/>
        <w:rPr>
          <w:sz w:val="20"/>
          <w:szCs w:val="20"/>
          <w:color w:val="auto"/>
        </w:rPr>
      </w:pPr>
    </w:p>
    <w:p>
      <w:pPr>
        <w:jc w:val="both"/>
        <w:ind w:left="600" w:firstLine="638"/>
        <w:spacing w:after="0" w:line="236" w:lineRule="auto"/>
        <w:tabs>
          <w:tab w:leader="none" w:pos="1872" w:val="left"/>
        </w:tabs>
        <w:numPr>
          <w:ilvl w:val="1"/>
          <w:numId w:val="162"/>
        </w:numPr>
        <w:rPr>
          <w:rFonts w:ascii="Arial" w:cs="Arial" w:eastAsia="Arial" w:hAnsi="Arial"/>
          <w:sz w:val="20"/>
          <w:szCs w:val="20"/>
          <w:color w:val="auto"/>
        </w:rPr>
      </w:pPr>
      <w:r>
        <w:rPr>
          <w:rFonts w:ascii="Arial" w:cs="Arial" w:eastAsia="Arial" w:hAnsi="Arial"/>
          <w:sz w:val="20"/>
          <w:szCs w:val="20"/>
          <w:u w:val="single" w:color="auto"/>
          <w:color w:val="auto"/>
        </w:rPr>
        <w:t>Certain Fees</w:t>
      </w:r>
      <w:r>
        <w:rPr>
          <w:rFonts w:ascii="Arial" w:cs="Arial" w:eastAsia="Arial" w:hAnsi="Arial"/>
          <w:sz w:val="20"/>
          <w:szCs w:val="20"/>
          <w:color w:val="auto"/>
        </w:rPr>
        <w:t xml:space="preserve">. Such Defaulting Lender (x) shall not be entitled to receive any Unused Commitment Fee pursuant to </w:t>
      </w:r>
      <w:r>
        <w:rPr>
          <w:rFonts w:ascii="Arial" w:cs="Arial" w:eastAsia="Arial" w:hAnsi="Arial"/>
          <w:sz w:val="20"/>
          <w:szCs w:val="20"/>
          <w:u w:val="single" w:color="auto"/>
          <w:color w:val="auto"/>
        </w:rPr>
        <w:t>Section 2.09(a)</w:t>
      </w:r>
      <w:r>
        <w:rPr>
          <w:rFonts w:ascii="Arial" w:cs="Arial" w:eastAsia="Arial" w:hAnsi="Arial"/>
          <w:sz w:val="20"/>
          <w:szCs w:val="20"/>
          <w:color w:val="auto"/>
        </w:rPr>
        <w:t xml:space="preserve"> (and the Borrower shall not be required to pay any Unused Commitment Fee that otherwise would have been required to be paid to such Defaulting Lender) for any period during which such Lender is a Defaulting Lender and (y) shall be limited in its right to receive Letter of Credit Fees as provided in </w:t>
      </w:r>
      <w:r>
        <w:rPr>
          <w:rFonts w:ascii="Arial" w:cs="Arial" w:eastAsia="Arial" w:hAnsi="Arial"/>
          <w:sz w:val="20"/>
          <w:szCs w:val="20"/>
          <w:u w:val="single" w:color="auto"/>
          <w:color w:val="auto"/>
        </w:rPr>
        <w:t>Section 2.04(h)</w:t>
      </w:r>
      <w:r>
        <w:rPr>
          <w:rFonts w:ascii="Arial" w:cs="Arial" w:eastAsia="Arial" w:hAnsi="Arial"/>
          <w:sz w:val="20"/>
          <w:szCs w:val="20"/>
          <w:color w:val="auto"/>
        </w:rPr>
        <w:t>.</w:t>
      </w:r>
    </w:p>
    <w:p>
      <w:pPr>
        <w:spacing w:after="0" w:line="155" w:lineRule="exact"/>
        <w:rPr>
          <w:rFonts w:ascii="Arial" w:cs="Arial" w:eastAsia="Arial" w:hAnsi="Arial"/>
          <w:sz w:val="20"/>
          <w:szCs w:val="20"/>
          <w:color w:val="auto"/>
        </w:rPr>
      </w:pPr>
    </w:p>
    <w:p>
      <w:pPr>
        <w:jc w:val="both"/>
        <w:ind w:left="600" w:firstLine="638"/>
        <w:spacing w:after="0" w:line="218" w:lineRule="auto"/>
        <w:tabs>
          <w:tab w:leader="none" w:pos="1872" w:val="left"/>
        </w:tabs>
        <w:numPr>
          <w:ilvl w:val="1"/>
          <w:numId w:val="162"/>
        </w:numPr>
        <w:rPr>
          <w:rFonts w:ascii="Arial" w:cs="Arial" w:eastAsia="Arial" w:hAnsi="Arial"/>
          <w:sz w:val="21"/>
          <w:szCs w:val="21"/>
          <w:color w:val="auto"/>
        </w:rPr>
      </w:pPr>
      <w:r>
        <w:rPr>
          <w:rFonts w:ascii="Arial" w:cs="Arial" w:eastAsia="Arial" w:hAnsi="Arial"/>
          <w:sz w:val="21"/>
          <w:szCs w:val="21"/>
          <w:u w:val="single" w:color="auto"/>
          <w:color w:val="auto"/>
        </w:rPr>
        <w:t>Reallocation of Applicable Percentages to Reduce Fronting Exposure</w:t>
      </w:r>
      <w:r>
        <w:rPr>
          <w:rFonts w:ascii="Arial" w:cs="Arial" w:eastAsia="Arial" w:hAnsi="Arial"/>
          <w:sz w:val="21"/>
          <w:szCs w:val="21"/>
          <w:color w:val="auto"/>
        </w:rPr>
        <w:t xml:space="preserve">. During any period in which there is a Defaulting Lender, for purposes of computing the amount of the obligation of each non-Defaulting Lender to acquire, refinance or fund participations in Letters of Credit pursuant to </w:t>
      </w:r>
      <w:r>
        <w:rPr>
          <w:rFonts w:ascii="Arial" w:cs="Arial" w:eastAsia="Arial" w:hAnsi="Arial"/>
          <w:sz w:val="21"/>
          <w:szCs w:val="21"/>
          <w:u w:val="single" w:color="auto"/>
          <w:color w:val="auto"/>
        </w:rPr>
        <w:t>Section 2.04</w:t>
      </w:r>
      <w:r>
        <w:rPr>
          <w:rFonts w:ascii="Arial" w:cs="Arial" w:eastAsia="Arial" w:hAnsi="Arial"/>
          <w:sz w:val="21"/>
          <w:szCs w:val="21"/>
          <w:color w:val="auto"/>
        </w:rPr>
        <w:t xml:space="preserve">, the “Applicable Percentage” of each non-Defaulting Lender shall be computed without giving effect to the Commitment of such Defaulting Lender;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reallocation shall be given effect only to the extent that, after giving effect thereto, the aggregate obligation of each non-Defaulting Lender to acquire or fund participations in Letters of Credit shall not exceed the positive difference, if any, of (1) the Commitment of such non-Defaulting Lender </w:t>
      </w:r>
      <w:r>
        <w:rPr>
          <w:rFonts w:ascii="Arial" w:cs="Arial" w:eastAsia="Arial" w:hAnsi="Arial"/>
          <w:sz w:val="21"/>
          <w:szCs w:val="21"/>
          <w:u w:val="single" w:color="auto"/>
          <w:color w:val="auto"/>
        </w:rPr>
        <w:t>minus</w:t>
      </w:r>
      <w:r>
        <w:rPr>
          <w:rFonts w:ascii="Arial" w:cs="Arial" w:eastAsia="Arial" w:hAnsi="Arial"/>
          <w:sz w:val="21"/>
          <w:szCs w:val="21"/>
          <w:color w:val="auto"/>
        </w:rPr>
        <w:t xml:space="preserve"> (2) the aggregate Outstanding Amount of the Committed Loans of such Lender.</w:t>
      </w:r>
    </w:p>
    <w:p>
      <w:pPr>
        <w:spacing w:after="0" w:line="153" w:lineRule="exact"/>
        <w:rPr>
          <w:rFonts w:ascii="Arial" w:cs="Arial" w:eastAsia="Arial" w:hAnsi="Arial"/>
          <w:sz w:val="21"/>
          <w:szCs w:val="21"/>
          <w:color w:val="auto"/>
        </w:rPr>
      </w:pPr>
    </w:p>
    <w:p>
      <w:pPr>
        <w:jc w:val="both"/>
        <w:ind w:left="600" w:firstLine="638"/>
        <w:spacing w:after="0" w:line="230" w:lineRule="auto"/>
        <w:tabs>
          <w:tab w:leader="none" w:pos="1872" w:val="left"/>
        </w:tabs>
        <w:numPr>
          <w:ilvl w:val="1"/>
          <w:numId w:val="162"/>
        </w:numPr>
        <w:rPr>
          <w:rFonts w:ascii="Arial" w:cs="Arial" w:eastAsia="Arial" w:hAnsi="Arial"/>
          <w:sz w:val="21"/>
          <w:szCs w:val="21"/>
          <w:color w:val="auto"/>
        </w:rPr>
      </w:pPr>
      <w:r>
        <w:rPr>
          <w:rFonts w:ascii="Arial" w:cs="Arial" w:eastAsia="Arial" w:hAnsi="Arial"/>
          <w:sz w:val="21"/>
          <w:szCs w:val="21"/>
          <w:u w:val="single" w:color="auto"/>
          <w:color w:val="auto"/>
        </w:rPr>
        <w:t>No Default</w:t>
      </w:r>
      <w:r>
        <w:rPr>
          <w:rFonts w:ascii="Arial" w:cs="Arial" w:eastAsia="Arial" w:hAnsi="Arial"/>
          <w:sz w:val="21"/>
          <w:szCs w:val="21"/>
          <w:color w:val="auto"/>
        </w:rPr>
        <w:t xml:space="preserve">. Operation of the allocations provided in </w:t>
      </w:r>
      <w:r>
        <w:rPr>
          <w:rFonts w:ascii="Arial" w:cs="Arial" w:eastAsia="Arial" w:hAnsi="Arial"/>
          <w:sz w:val="21"/>
          <w:szCs w:val="21"/>
          <w:u w:val="single" w:color="auto"/>
          <w:color w:val="auto"/>
        </w:rPr>
        <w:t>clauses (ii)</w:t>
      </w:r>
      <w:r>
        <w:rPr>
          <w:rFonts w:ascii="Arial" w:cs="Arial" w:eastAsia="Arial" w:hAnsi="Arial"/>
          <w:sz w:val="21"/>
          <w:szCs w:val="21"/>
          <w:color w:val="auto"/>
        </w:rPr>
        <w:t xml:space="preserve"> through </w:t>
      </w:r>
      <w:r>
        <w:rPr>
          <w:rFonts w:ascii="Arial" w:cs="Arial" w:eastAsia="Arial" w:hAnsi="Arial"/>
          <w:sz w:val="21"/>
          <w:szCs w:val="21"/>
          <w:u w:val="single" w:color="auto"/>
          <w:color w:val="auto"/>
        </w:rPr>
        <w:t>(iv)</w:t>
      </w:r>
      <w:r>
        <w:rPr>
          <w:rFonts w:ascii="Arial" w:cs="Arial" w:eastAsia="Arial" w:hAnsi="Arial"/>
          <w:sz w:val="21"/>
          <w:szCs w:val="21"/>
          <w:color w:val="auto"/>
        </w:rPr>
        <w:t xml:space="preserve"> above shall not be deemed to result in a default of the Borrower’s or any other Loan Party’s obligations to a Defaulting Lender under this Agreement or any other Loan Document.</w:t>
      </w:r>
    </w:p>
    <w:p>
      <w:pPr>
        <w:spacing w:after="0" w:line="153" w:lineRule="exact"/>
        <w:rPr>
          <w:rFonts w:ascii="Arial" w:cs="Arial" w:eastAsia="Arial" w:hAnsi="Arial"/>
          <w:sz w:val="21"/>
          <w:szCs w:val="21"/>
          <w:color w:val="auto"/>
        </w:rPr>
      </w:pPr>
    </w:p>
    <w:p>
      <w:pPr>
        <w:jc w:val="both"/>
        <w:ind w:left="600" w:firstLine="638"/>
        <w:spacing w:after="0" w:line="225" w:lineRule="auto"/>
        <w:tabs>
          <w:tab w:leader="none" w:pos="1872" w:val="left"/>
        </w:tabs>
        <w:numPr>
          <w:ilvl w:val="1"/>
          <w:numId w:val="162"/>
        </w:numPr>
        <w:rPr>
          <w:rFonts w:ascii="Arial" w:cs="Arial" w:eastAsia="Arial" w:hAnsi="Arial"/>
          <w:sz w:val="21"/>
          <w:szCs w:val="21"/>
          <w:color w:val="auto"/>
        </w:rPr>
      </w:pPr>
      <w:r>
        <w:rPr>
          <w:rFonts w:ascii="Arial" w:cs="Arial" w:eastAsia="Arial" w:hAnsi="Arial"/>
          <w:sz w:val="21"/>
          <w:szCs w:val="21"/>
          <w:u w:val="single" w:color="auto"/>
          <w:color w:val="auto"/>
        </w:rPr>
        <w:t>No Waiver</w:t>
      </w:r>
      <w:r>
        <w:rPr>
          <w:rFonts w:ascii="Arial" w:cs="Arial" w:eastAsia="Arial" w:hAnsi="Arial"/>
          <w:sz w:val="21"/>
          <w:szCs w:val="21"/>
          <w:color w:val="auto"/>
        </w:rPr>
        <w:t xml:space="preserve">. Subject to </w:t>
      </w:r>
      <w:r>
        <w:rPr>
          <w:rFonts w:ascii="Arial" w:cs="Arial" w:eastAsia="Arial" w:hAnsi="Arial"/>
          <w:sz w:val="21"/>
          <w:szCs w:val="21"/>
          <w:u w:val="single" w:color="auto"/>
          <w:color w:val="auto"/>
        </w:rPr>
        <w:t>Section 11.19</w:t>
      </w:r>
      <w:r>
        <w:rPr>
          <w:rFonts w:ascii="Arial" w:cs="Arial" w:eastAsia="Arial" w:hAnsi="Arial"/>
          <w:sz w:val="21"/>
          <w:szCs w:val="21"/>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54" w:lineRule="exact"/>
        <w:rPr>
          <w:rFonts w:ascii="Arial" w:cs="Arial" w:eastAsia="Arial" w:hAnsi="Arial"/>
          <w:sz w:val="21"/>
          <w:szCs w:val="21"/>
          <w:color w:val="auto"/>
        </w:rPr>
      </w:pPr>
    </w:p>
    <w:p>
      <w:pPr>
        <w:jc w:val="both"/>
        <w:ind w:left="-40" w:firstLine="1036"/>
        <w:spacing w:after="0" w:line="237" w:lineRule="auto"/>
        <w:tabs>
          <w:tab w:leader="none" w:pos="1535" w:val="left"/>
        </w:tabs>
        <w:numPr>
          <w:ilvl w:val="0"/>
          <w:numId w:val="163"/>
        </w:numPr>
        <w:rPr>
          <w:rFonts w:ascii="Arial" w:cs="Arial" w:eastAsia="Arial" w:hAnsi="Arial"/>
          <w:sz w:val="19"/>
          <w:szCs w:val="19"/>
          <w:color w:val="auto"/>
        </w:rPr>
      </w:pPr>
      <w:r>
        <w:rPr>
          <w:rFonts w:ascii="Arial" w:cs="Arial" w:eastAsia="Arial" w:hAnsi="Arial"/>
          <w:sz w:val="19"/>
          <w:szCs w:val="19"/>
          <w:u w:val="single" w:color="auto"/>
          <w:color w:val="auto"/>
        </w:rPr>
        <w:t>Defaulting Lender Cure</w:t>
      </w:r>
      <w:r>
        <w:rPr>
          <w:rFonts w:ascii="Arial" w:cs="Arial" w:eastAsia="Arial" w:hAnsi="Arial"/>
          <w:sz w:val="19"/>
          <w:szCs w:val="19"/>
          <w:color w:val="auto"/>
        </w:rPr>
        <w:t xml:space="preserve">. If Borrower, the Administrative Agent and the L/C Issuers agree in writing in their sole discretion that a Defaulting Lender should no longer be deemed to be a Defaulting Lender, the Administrative Agent will so notify the parties hereto, whereupon as of the date such confirmation is so received or the effective date specified in such notice (and subject to any conditions set forth therein (which may include arrangements with respect to any Cash Collateral)), as applicable, such Lender will, to the extent applicable, purchase at par that portion of outstanding Committed Loans of the other Lenders or take such other actions as the Administrative Agent may determine to be necessary to cause the Committed Loans and funded and unfunded participations in Letters of Credit to be held on a pro rata basis by the Lenders in accordance with their Applicable Percentages (without giving effect to </w:t>
      </w:r>
      <w:r>
        <w:rPr>
          <w:rFonts w:ascii="Arial" w:cs="Arial" w:eastAsia="Arial" w:hAnsi="Arial"/>
          <w:sz w:val="19"/>
          <w:szCs w:val="19"/>
          <w:u w:val="single" w:color="auto"/>
          <w:color w:val="auto"/>
        </w:rPr>
        <w:t>Section 2.16(a)(iv)</w:t>
      </w:r>
      <w:r>
        <w:rPr>
          <w:rFonts w:ascii="Arial" w:cs="Arial" w:eastAsia="Arial" w:hAnsi="Arial"/>
          <w:sz w:val="19"/>
          <w:szCs w:val="19"/>
          <w:color w:val="auto"/>
        </w:rPr>
        <w:t xml:space="preserve">), together with any payments reasonably determined by the Administrative Agent to be necessary to compensate the non-Defaulting Lenders for any loss, cost or expense of the type described in </w:t>
      </w:r>
      <w:r>
        <w:rPr>
          <w:rFonts w:ascii="Arial" w:cs="Arial" w:eastAsia="Arial" w:hAnsi="Arial"/>
          <w:sz w:val="19"/>
          <w:szCs w:val="19"/>
          <w:u w:val="single" w:color="auto"/>
          <w:color w:val="auto"/>
        </w:rPr>
        <w:t>Section 3.05</w:t>
      </w:r>
      <w:r>
        <w:rPr>
          <w:rFonts w:ascii="Arial" w:cs="Arial" w:eastAsia="Arial" w:hAnsi="Arial"/>
          <w:sz w:val="19"/>
          <w:szCs w:val="19"/>
          <w:color w:val="auto"/>
        </w:rPr>
        <w:t xml:space="preserve"> (all of which purchases are hereby consented to by the Borrower and each Lender) whereupon such Lender will cease to be a 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adjustments will be made retroactively with respect to fees accrued or payments made by or on behalf of the Borrower while such Lender was a Defaulting Lender;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except to the extent otherwise expressly agreed by the affected parties, no change hereunder from Defaulting Lender to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71</w:t>
      </w:r>
    </w:p>
    <w:p>
      <w:pPr>
        <w:sectPr>
          <w:pgSz w:w="11900" w:h="16838" w:orient="portrait"/>
          <w:cols w:equalWidth="0" w:num="1">
            <w:col w:w="11160"/>
          </w:cols>
          <w:pgMar w:left="360" w:top="1152" w:right="379" w:bottom="1440" w:gutter="0" w:footer="0" w:header="0"/>
        </w:sectPr>
      </w:pPr>
    </w:p>
    <w:bookmarkStart w:id="210" w:name="page211"/>
    <w:bookmarkEnd w:id="210"/>
    <w:p>
      <w:pPr>
        <w:spacing w:after="0"/>
        <w:rPr>
          <w:sz w:val="20"/>
          <w:szCs w:val="20"/>
          <w:color w:val="auto"/>
        </w:rPr>
      </w:pPr>
      <w:r>
        <w:rPr>
          <w:rFonts w:ascii="Arial" w:cs="Arial" w:eastAsia="Arial" w:hAnsi="Arial"/>
          <w:sz w:val="19"/>
          <w:szCs w:val="19"/>
          <w:color w:val="auto"/>
        </w:rPr>
        <w:t>will constitute a waiver or release of any claim of any party hereunder arising from such Lender’s having been a Defaulting Lender.</w:t>
      </w:r>
    </w:p>
    <w:p>
      <w:pPr>
        <w:spacing w:after="0" w:line="206" w:lineRule="exact"/>
        <w:rPr>
          <w:sz w:val="20"/>
          <w:szCs w:val="20"/>
          <w:color w:val="auto"/>
        </w:rPr>
      </w:pPr>
    </w:p>
    <w:p>
      <w:pPr>
        <w:ind w:left="960"/>
        <w:spacing w:after="0"/>
        <w:tabs>
          <w:tab w:leader="none" w:pos="2220" w:val="left"/>
        </w:tabs>
        <w:rPr>
          <w:sz w:val="20"/>
          <w:szCs w:val="20"/>
          <w:color w:val="auto"/>
        </w:rPr>
      </w:pPr>
      <w:r>
        <w:rPr>
          <w:rFonts w:ascii="Arial" w:cs="Arial" w:eastAsia="Arial" w:hAnsi="Arial"/>
          <w:sz w:val="21"/>
          <w:szCs w:val="21"/>
          <w:color w:val="auto"/>
        </w:rPr>
        <w:t>Section 2.17</w:t>
      </w:r>
      <w:r>
        <w:rPr>
          <w:sz w:val="20"/>
          <w:szCs w:val="20"/>
          <w:color w:val="auto"/>
        </w:rPr>
        <w:tab/>
      </w:r>
      <w:r>
        <w:rPr>
          <w:rFonts w:ascii="Arial" w:cs="Arial" w:eastAsia="Arial" w:hAnsi="Arial"/>
          <w:sz w:val="19"/>
          <w:szCs w:val="19"/>
          <w:u w:val="single" w:color="auto"/>
          <w:color w:val="auto"/>
        </w:rPr>
        <w:t>Alternate Rate of Interest</w:t>
      </w:r>
      <w:r>
        <w:rPr>
          <w:rFonts w:ascii="Arial" w:cs="Arial" w:eastAsia="Arial" w:hAnsi="Arial"/>
          <w:sz w:val="19"/>
          <w:szCs w:val="19"/>
          <w:color w:val="auto"/>
        </w:rPr>
        <w:t>.</w:t>
      </w:r>
    </w:p>
    <w:p>
      <w:pPr>
        <w:spacing w:after="0" w:line="177" w:lineRule="exact"/>
        <w:rPr>
          <w:sz w:val="20"/>
          <w:szCs w:val="20"/>
          <w:color w:val="auto"/>
        </w:rPr>
      </w:pPr>
    </w:p>
    <w:p>
      <w:pPr>
        <w:ind w:right="40" w:firstLine="1036"/>
        <w:spacing w:after="0" w:line="245" w:lineRule="auto"/>
        <w:tabs>
          <w:tab w:leader="none" w:pos="1589" w:val="left"/>
        </w:tabs>
        <w:numPr>
          <w:ilvl w:val="0"/>
          <w:numId w:val="164"/>
        </w:numPr>
        <w:rPr>
          <w:rFonts w:ascii="Arial" w:cs="Arial" w:eastAsia="Arial" w:hAnsi="Arial"/>
          <w:sz w:val="21"/>
          <w:szCs w:val="21"/>
          <w:color w:val="auto"/>
        </w:rPr>
      </w:pPr>
      <w:r>
        <w:rPr>
          <w:rFonts w:ascii="Arial" w:cs="Arial" w:eastAsia="Arial" w:hAnsi="Arial"/>
          <w:sz w:val="21"/>
          <w:szCs w:val="21"/>
          <w:color w:val="auto"/>
        </w:rPr>
        <w:t>Subject to clauses (b), (c), (d), (e)</w:t>
      </w:r>
      <w:r>
        <w:rPr>
          <w:rFonts w:ascii="Arial" w:cs="Arial" w:eastAsia="Arial" w:hAnsi="Arial"/>
          <w:sz w:val="21"/>
          <w:szCs w:val="21"/>
          <w:b w:val="1"/>
          <w:bCs w:val="1"/>
          <w:color w:val="FF0000"/>
          <w:strike w:val="1"/>
        </w:rPr>
        <w:t>,</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0000FF"/>
        </w:rPr>
        <w:t>and</w:t>
      </w:r>
      <w:r>
        <w:rPr>
          <w:rFonts w:ascii="Arial" w:cs="Arial" w:eastAsia="Arial" w:hAnsi="Arial"/>
          <w:sz w:val="21"/>
          <w:szCs w:val="21"/>
          <w:color w:val="auto"/>
        </w:rPr>
        <w:t xml:space="preserve"> (f) </w:t>
      </w:r>
      <w:r>
        <w:rPr>
          <w:rFonts w:ascii="Arial" w:cs="Arial" w:eastAsia="Arial" w:hAnsi="Arial"/>
          <w:sz w:val="21"/>
          <w:szCs w:val="21"/>
          <w:b w:val="1"/>
          <w:bCs w:val="1"/>
          <w:color w:val="FF0000"/>
          <w:strike w:val="1"/>
        </w:rPr>
        <w:t>and (g)</w:t>
      </w:r>
      <w:r>
        <w:rPr>
          <w:rFonts w:ascii="Arial" w:cs="Arial" w:eastAsia="Arial" w:hAnsi="Arial"/>
          <w:sz w:val="21"/>
          <w:szCs w:val="21"/>
          <w:color w:val="auto"/>
        </w:rPr>
        <w:t xml:space="preserve"> of this Section 2.17, if </w:t>
      </w:r>
      <w:r>
        <w:rPr>
          <w:rFonts w:ascii="Arial" w:cs="Arial" w:eastAsia="Arial" w:hAnsi="Arial"/>
          <w:sz w:val="21"/>
          <w:szCs w:val="21"/>
          <w:b w:val="1"/>
          <w:bCs w:val="1"/>
          <w:color w:val="FF0000"/>
          <w:strike w:val="1"/>
        </w:rPr>
        <w:t>prior to the commencement of any</w:t>
      </w:r>
      <w:r>
        <w:rPr>
          <w:rFonts w:ascii="Arial" w:cs="Arial" w:eastAsia="Arial" w:hAnsi="Arial"/>
          <w:sz w:val="21"/>
          <w:szCs w:val="21"/>
          <w:color w:val="auto"/>
        </w:rPr>
        <w:t xml:space="preserve"> </w:t>
      </w:r>
      <w:r>
        <w:rPr>
          <w:rFonts w:ascii="Arial" w:cs="Arial" w:eastAsia="Arial" w:hAnsi="Arial"/>
          <w:sz w:val="21"/>
          <w:szCs w:val="21"/>
          <w:b w:val="1"/>
          <w:bCs w:val="1"/>
          <w:color w:val="FF0000"/>
          <w:strike w:val="1"/>
        </w:rPr>
        <w:t>Interest Period for a Eurocurrency Rate Borrowing</w:t>
      </w:r>
      <w:r>
        <w:rPr>
          <w:rFonts w:ascii="Arial" w:cs="Arial" w:eastAsia="Arial" w:hAnsi="Arial"/>
          <w:sz w:val="21"/>
          <w:szCs w:val="21"/>
          <w:color w:val="000000"/>
        </w:rPr>
        <w:t>:</w:t>
      </w:r>
    </w:p>
    <w:p>
      <w:pPr>
        <w:spacing w:after="0" w:line="142" w:lineRule="exact"/>
        <w:rPr>
          <w:rFonts w:ascii="Arial" w:cs="Arial" w:eastAsia="Arial" w:hAnsi="Arial"/>
          <w:sz w:val="21"/>
          <w:szCs w:val="21"/>
          <w:color w:val="auto"/>
        </w:rPr>
      </w:pPr>
    </w:p>
    <w:p>
      <w:pPr>
        <w:jc w:val="both"/>
        <w:ind w:left="480" w:firstLine="798"/>
        <w:spacing w:after="0" w:line="248" w:lineRule="auto"/>
        <w:tabs>
          <w:tab w:leader="none" w:pos="1531" w:val="left"/>
        </w:tabs>
        <w:numPr>
          <w:ilvl w:val="1"/>
          <w:numId w:val="164"/>
        </w:numPr>
        <w:rPr>
          <w:rFonts w:ascii="Arial" w:cs="Arial" w:eastAsia="Arial" w:hAnsi="Arial"/>
          <w:sz w:val="19"/>
          <w:szCs w:val="19"/>
          <w:color w:val="auto"/>
        </w:rPr>
      </w:pPr>
      <w:r>
        <w:rPr>
          <w:rFonts w:ascii="Arial" w:cs="Arial" w:eastAsia="Arial" w:hAnsi="Arial"/>
          <w:sz w:val="19"/>
          <w:szCs w:val="19"/>
          <w:color w:val="auto"/>
        </w:rPr>
        <w:t xml:space="preserve">the Administrative Agent determines (which determination shall be conclusive absent manifest error) </w:t>
      </w:r>
      <w:r>
        <w:rPr>
          <w:rFonts w:ascii="Arial" w:cs="Arial" w:eastAsia="Arial" w:hAnsi="Arial"/>
          <w:sz w:val="19"/>
          <w:szCs w:val="19"/>
          <w:b w:val="1"/>
          <w:bCs w:val="1"/>
          <w:u w:val="single" w:color="auto"/>
          <w:color w:val="0000FF"/>
        </w:rPr>
        <w:t>(A) prior to</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the commencement of any Interest Period for a Term Benchmark Borrowing,</w:t>
      </w:r>
      <w:r>
        <w:rPr>
          <w:rFonts w:ascii="Arial" w:cs="Arial" w:eastAsia="Arial" w:hAnsi="Arial"/>
          <w:sz w:val="19"/>
          <w:szCs w:val="19"/>
          <w:b w:val="1"/>
          <w:bCs w:val="1"/>
          <w:color w:val="0000FF"/>
        </w:rPr>
        <w:t xml:space="preserve"> </w:t>
      </w:r>
      <w:r>
        <w:rPr>
          <w:rFonts w:ascii="Arial" w:cs="Arial" w:eastAsia="Arial" w:hAnsi="Arial"/>
          <w:sz w:val="19"/>
          <w:szCs w:val="19"/>
          <w:color w:val="000000"/>
        </w:rPr>
        <w:t>that adequate and reasonable means do not</w:t>
      </w:r>
      <w:r>
        <w:rPr>
          <w:rFonts w:ascii="Arial" w:cs="Arial" w:eastAsia="Arial" w:hAnsi="Arial"/>
          <w:sz w:val="19"/>
          <w:szCs w:val="19"/>
          <w:b w:val="1"/>
          <w:bCs w:val="1"/>
          <w:color w:val="0000FF"/>
        </w:rPr>
        <w:t xml:space="preserve"> </w:t>
      </w:r>
      <w:r>
        <w:rPr>
          <w:rFonts w:ascii="Arial" w:cs="Arial" w:eastAsia="Arial" w:hAnsi="Arial"/>
          <w:sz w:val="19"/>
          <w:szCs w:val="19"/>
          <w:color w:val="000000"/>
        </w:rPr>
        <w:t xml:space="preserve">exist for ascertaining the Adjusted </w:t>
      </w:r>
      <w:r>
        <w:rPr>
          <w:rFonts w:ascii="Arial" w:cs="Arial" w:eastAsia="Arial" w:hAnsi="Arial"/>
          <w:sz w:val="19"/>
          <w:szCs w:val="19"/>
          <w:b w:val="1"/>
          <w:bCs w:val="1"/>
          <w:color w:val="FF0000"/>
          <w:strike w:val="1"/>
        </w:rPr>
        <w:t>LIBO</w:t>
      </w:r>
      <w:r>
        <w:rPr>
          <w:rFonts w:ascii="Arial" w:cs="Arial" w:eastAsia="Arial" w:hAnsi="Arial"/>
          <w:sz w:val="19"/>
          <w:szCs w:val="19"/>
          <w:b w:val="1"/>
          <w:bCs w:val="1"/>
          <w:u w:val="single" w:color="auto"/>
          <w:color w:val="0000FF"/>
        </w:rPr>
        <w:t>Term SOFR</w:t>
      </w:r>
      <w:r>
        <w:rPr>
          <w:rFonts w:ascii="Arial" w:cs="Arial" w:eastAsia="Arial" w:hAnsi="Arial"/>
          <w:sz w:val="19"/>
          <w:szCs w:val="19"/>
          <w:color w:val="000000"/>
        </w:rPr>
        <w:t xml:space="preserve"> Rate </w:t>
      </w:r>
      <w:r>
        <w:rPr>
          <w:rFonts w:ascii="Arial" w:cs="Arial" w:eastAsia="Arial" w:hAnsi="Arial"/>
          <w:sz w:val="19"/>
          <w:szCs w:val="19"/>
          <w:b w:val="1"/>
          <w:bCs w:val="1"/>
          <w:color w:val="FF0000"/>
          <w:strike w:val="1"/>
        </w:rPr>
        <w:t>or the LIBO Rate, as applicable</w:t>
      </w:r>
      <w:r>
        <w:rPr>
          <w:rFonts w:ascii="Arial" w:cs="Arial" w:eastAsia="Arial" w:hAnsi="Arial"/>
          <w:sz w:val="19"/>
          <w:szCs w:val="19"/>
          <w:color w:val="000000"/>
        </w:rPr>
        <w:t xml:space="preserve"> (including because the </w:t>
      </w:r>
      <w:r>
        <w:rPr>
          <w:rFonts w:ascii="Arial" w:cs="Arial" w:eastAsia="Arial" w:hAnsi="Arial"/>
          <w:sz w:val="19"/>
          <w:szCs w:val="19"/>
          <w:b w:val="1"/>
          <w:bCs w:val="1"/>
          <w:color w:val="FF0000"/>
          <w:strike w:val="1"/>
        </w:rPr>
        <w:t>LIBO</w:t>
      </w:r>
      <w:r>
        <w:rPr>
          <w:rFonts w:ascii="Arial" w:cs="Arial" w:eastAsia="Arial" w:hAnsi="Arial"/>
          <w:sz w:val="19"/>
          <w:szCs w:val="19"/>
          <w:color w:val="000000"/>
        </w:rPr>
        <w:t xml:space="preserve"> </w:t>
      </w:r>
      <w:r>
        <w:rPr>
          <w:rFonts w:ascii="Arial" w:cs="Arial" w:eastAsia="Arial" w:hAnsi="Arial"/>
          <w:sz w:val="19"/>
          <w:szCs w:val="19"/>
          <w:b w:val="1"/>
          <w:bCs w:val="1"/>
          <w:color w:val="FF0000"/>
          <w:strike w:val="1"/>
        </w:rPr>
        <w:t>Screen</w:t>
      </w:r>
      <w:r>
        <w:rPr>
          <w:rFonts w:ascii="Arial" w:cs="Arial" w:eastAsia="Arial" w:hAnsi="Arial"/>
          <w:sz w:val="19"/>
          <w:szCs w:val="19"/>
          <w:b w:val="1"/>
          <w:bCs w:val="1"/>
          <w:u w:val="single" w:color="auto"/>
          <w:color w:val="0000FF"/>
        </w:rPr>
        <w:t>Term SOFR Reference</w:t>
      </w:r>
      <w:r>
        <w:rPr>
          <w:rFonts w:ascii="Arial" w:cs="Arial" w:eastAsia="Arial" w:hAnsi="Arial"/>
          <w:sz w:val="19"/>
          <w:szCs w:val="19"/>
          <w:b w:val="1"/>
          <w:bCs w:val="1"/>
          <w:color w:val="FF0000"/>
        </w:rPr>
        <w:t xml:space="preserve"> </w:t>
      </w:r>
      <w:r>
        <w:rPr>
          <w:rFonts w:ascii="Arial" w:cs="Arial" w:eastAsia="Arial" w:hAnsi="Arial"/>
          <w:sz w:val="19"/>
          <w:szCs w:val="19"/>
          <w:color w:val="000000"/>
        </w:rPr>
        <w:t>Rate is not available or published on a current basis) for such Interest Period</w:t>
      </w:r>
      <w:r>
        <w:rPr>
          <w:rFonts w:ascii="Arial" w:cs="Arial" w:eastAsia="Arial" w:hAnsi="Arial"/>
          <w:sz w:val="19"/>
          <w:szCs w:val="19"/>
          <w:b w:val="1"/>
          <w:bCs w:val="1"/>
          <w:color w:val="FF0000"/>
        </w:rPr>
        <w:t xml:space="preserve"> </w:t>
      </w:r>
      <w:r>
        <w:rPr>
          <w:rFonts w:ascii="Arial" w:cs="Arial" w:eastAsia="Arial" w:hAnsi="Arial"/>
          <w:sz w:val="19"/>
          <w:szCs w:val="19"/>
          <w:b w:val="1"/>
          <w:bCs w:val="1"/>
          <w:color w:val="0000FF"/>
        </w:rPr>
        <w:t>or (B) at any</w:t>
      </w:r>
      <w:r>
        <w:rPr>
          <w:rFonts w:ascii="Arial" w:cs="Arial" w:eastAsia="Arial" w:hAnsi="Arial"/>
          <w:sz w:val="19"/>
          <w:szCs w:val="19"/>
          <w:b w:val="1"/>
          <w:bCs w:val="1"/>
          <w:color w:val="FF0000"/>
        </w:rPr>
        <w:t xml:space="preserve"> </w:t>
      </w:r>
      <w:r>
        <w:rPr>
          <w:rFonts w:ascii="Arial" w:cs="Arial" w:eastAsia="Arial" w:hAnsi="Arial"/>
          <w:sz w:val="19"/>
          <w:szCs w:val="19"/>
          <w:b w:val="1"/>
          <w:bCs w:val="1"/>
          <w:u w:val="single" w:color="auto"/>
          <w:color w:val="0000FF"/>
        </w:rPr>
        <w:t>time, that adequate and reasonable means do not exist for ascertaining the applicable Adjusted Daily Simple SOFR</w:t>
      </w:r>
      <w:r>
        <w:rPr>
          <w:rFonts w:ascii="Arial" w:cs="Arial" w:eastAsia="Arial" w:hAnsi="Arial"/>
          <w:sz w:val="19"/>
          <w:szCs w:val="19"/>
          <w:color w:val="000000"/>
        </w:rPr>
        <w:t>; or</w:t>
      </w:r>
    </w:p>
    <w:p>
      <w:pPr>
        <w:spacing w:after="0" w:line="143" w:lineRule="exact"/>
        <w:rPr>
          <w:rFonts w:ascii="Arial" w:cs="Arial" w:eastAsia="Arial" w:hAnsi="Arial"/>
          <w:sz w:val="19"/>
          <w:szCs w:val="19"/>
          <w:color w:val="auto"/>
        </w:rPr>
      </w:pPr>
    </w:p>
    <w:p>
      <w:pPr>
        <w:jc w:val="both"/>
        <w:ind w:left="480" w:firstLine="798"/>
        <w:spacing w:after="0" w:line="221" w:lineRule="auto"/>
        <w:tabs>
          <w:tab w:leader="none" w:pos="1622" w:val="left"/>
        </w:tabs>
        <w:numPr>
          <w:ilvl w:val="1"/>
          <w:numId w:val="164"/>
        </w:numPr>
        <w:rPr>
          <w:rFonts w:ascii="Arial" w:cs="Arial" w:eastAsia="Arial" w:hAnsi="Arial"/>
          <w:sz w:val="21"/>
          <w:szCs w:val="21"/>
          <w:color w:val="auto"/>
        </w:rPr>
      </w:pPr>
      <w:r>
        <w:rPr>
          <w:rFonts w:ascii="Arial" w:cs="Arial" w:eastAsia="Arial" w:hAnsi="Arial"/>
          <w:sz w:val="21"/>
          <w:szCs w:val="21"/>
          <w:color w:val="auto"/>
        </w:rPr>
        <w:t xml:space="preserve">the Administrative Agent is advised by the Required Lenders that </w:t>
      </w:r>
      <w:r>
        <w:rPr>
          <w:rFonts w:ascii="Arial" w:cs="Arial" w:eastAsia="Arial" w:hAnsi="Arial"/>
          <w:sz w:val="21"/>
          <w:szCs w:val="21"/>
          <w:b w:val="1"/>
          <w:bCs w:val="1"/>
          <w:u w:val="single" w:color="auto"/>
          <w:color w:val="0000FF"/>
        </w:rPr>
        <w:t>(A) prior to the commencement of any</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0000FF"/>
        </w:rPr>
        <w:t>Interest Period for a Term Benchmark Borrowing,</w:t>
      </w:r>
      <w:r>
        <w:rPr>
          <w:rFonts w:ascii="Arial" w:cs="Arial" w:eastAsia="Arial" w:hAnsi="Arial"/>
          <w:sz w:val="21"/>
          <w:szCs w:val="21"/>
          <w:b w:val="1"/>
          <w:bCs w:val="1"/>
          <w:color w:val="0000FF"/>
        </w:rPr>
        <w:t xml:space="preserve"> </w:t>
      </w:r>
      <w:r>
        <w:rPr>
          <w:rFonts w:ascii="Arial" w:cs="Arial" w:eastAsia="Arial" w:hAnsi="Arial"/>
          <w:sz w:val="21"/>
          <w:szCs w:val="21"/>
          <w:color w:val="000000"/>
        </w:rPr>
        <w:t>the Adjusted</w:t>
      </w:r>
      <w:r>
        <w:rPr>
          <w:rFonts w:ascii="Arial" w:cs="Arial" w:eastAsia="Arial" w:hAnsi="Arial"/>
          <w:sz w:val="21"/>
          <w:szCs w:val="21"/>
          <w:b w:val="1"/>
          <w:bCs w:val="1"/>
          <w:color w:val="0000FF"/>
        </w:rPr>
        <w:t xml:space="preserve"> </w:t>
      </w:r>
      <w:r>
        <w:rPr>
          <w:rFonts w:ascii="Arial" w:cs="Arial" w:eastAsia="Arial" w:hAnsi="Arial"/>
          <w:sz w:val="21"/>
          <w:szCs w:val="21"/>
          <w:b w:val="1"/>
          <w:bCs w:val="1"/>
          <w:color w:val="FF0000"/>
          <w:strike w:val="1"/>
        </w:rPr>
        <w:t>LIBO</w:t>
      </w:r>
      <w:r>
        <w:rPr>
          <w:rFonts w:ascii="Arial" w:cs="Arial" w:eastAsia="Arial" w:hAnsi="Arial"/>
          <w:sz w:val="21"/>
          <w:szCs w:val="21"/>
          <w:b w:val="1"/>
          <w:bCs w:val="1"/>
          <w:u w:val="single" w:color="auto"/>
          <w:color w:val="0000FF"/>
        </w:rPr>
        <w:t>Term SOFR</w:t>
      </w:r>
      <w:r>
        <w:rPr>
          <w:rFonts w:ascii="Arial" w:cs="Arial" w:eastAsia="Arial" w:hAnsi="Arial"/>
          <w:sz w:val="21"/>
          <w:szCs w:val="21"/>
          <w:b w:val="1"/>
          <w:bCs w:val="1"/>
          <w:color w:val="0000FF"/>
        </w:rPr>
        <w:t xml:space="preserve"> </w:t>
      </w:r>
      <w:r>
        <w:rPr>
          <w:rFonts w:ascii="Arial" w:cs="Arial" w:eastAsia="Arial" w:hAnsi="Arial"/>
          <w:sz w:val="21"/>
          <w:szCs w:val="21"/>
          <w:color w:val="000000"/>
        </w:rPr>
        <w:t>Rate</w:t>
      </w:r>
      <w:r>
        <w:rPr>
          <w:rFonts w:ascii="Arial" w:cs="Arial" w:eastAsia="Arial" w:hAnsi="Arial"/>
          <w:sz w:val="21"/>
          <w:szCs w:val="21"/>
          <w:b w:val="1"/>
          <w:bCs w:val="1"/>
          <w:color w:val="0000FF"/>
        </w:rPr>
        <w:t xml:space="preserve"> </w:t>
      </w:r>
      <w:r>
        <w:rPr>
          <w:rFonts w:ascii="Arial" w:cs="Arial" w:eastAsia="Arial" w:hAnsi="Arial"/>
          <w:sz w:val="21"/>
          <w:szCs w:val="21"/>
          <w:b w:val="1"/>
          <w:bCs w:val="1"/>
          <w:color w:val="FF0000"/>
          <w:strike w:val="1"/>
        </w:rPr>
        <w:t>or the LIBO Rate, as</w:t>
      </w:r>
      <w:r>
        <w:rPr>
          <w:rFonts w:ascii="Arial" w:cs="Arial" w:eastAsia="Arial" w:hAnsi="Arial"/>
          <w:sz w:val="21"/>
          <w:szCs w:val="21"/>
          <w:b w:val="1"/>
          <w:bCs w:val="1"/>
          <w:color w:val="0000FF"/>
        </w:rPr>
        <w:t xml:space="preserve"> </w:t>
      </w:r>
      <w:r>
        <w:rPr>
          <w:rFonts w:ascii="Arial" w:cs="Arial" w:eastAsia="Arial" w:hAnsi="Arial"/>
          <w:sz w:val="21"/>
          <w:szCs w:val="21"/>
          <w:b w:val="1"/>
          <w:bCs w:val="1"/>
          <w:color w:val="FF0000"/>
          <w:strike w:val="1"/>
        </w:rPr>
        <w:t>applicable,</w:t>
      </w:r>
      <w:r>
        <w:rPr>
          <w:rFonts w:ascii="Arial" w:cs="Arial" w:eastAsia="Arial" w:hAnsi="Arial"/>
          <w:sz w:val="21"/>
          <w:szCs w:val="21"/>
          <w:b w:val="1"/>
          <w:bCs w:val="1"/>
          <w:color w:val="FF0000"/>
        </w:rPr>
        <w:t xml:space="preserve"> </w:t>
      </w:r>
      <w:r>
        <w:rPr>
          <w:rFonts w:ascii="Arial" w:cs="Arial" w:eastAsia="Arial" w:hAnsi="Arial"/>
          <w:sz w:val="21"/>
          <w:szCs w:val="21"/>
          <w:color w:val="000000"/>
        </w:rPr>
        <w:t>for such Interest Period will not adequately and fairly reflect the cost to such Lenders of making or maintaining</w:t>
      </w:r>
      <w:r>
        <w:rPr>
          <w:rFonts w:ascii="Arial" w:cs="Arial" w:eastAsia="Arial" w:hAnsi="Arial"/>
          <w:sz w:val="21"/>
          <w:szCs w:val="21"/>
          <w:b w:val="1"/>
          <w:bCs w:val="1"/>
          <w:color w:val="FF0000"/>
        </w:rPr>
        <w:t xml:space="preserve"> </w:t>
      </w:r>
      <w:r>
        <w:rPr>
          <w:rFonts w:ascii="Arial" w:cs="Arial" w:eastAsia="Arial" w:hAnsi="Arial"/>
          <w:sz w:val="21"/>
          <w:szCs w:val="21"/>
          <w:color w:val="000000"/>
        </w:rPr>
        <w:t>their Loans included in such Borrowing for such Interest Period</w:t>
      </w:r>
      <w:r>
        <w:rPr>
          <w:rFonts w:ascii="Arial" w:cs="Arial" w:eastAsia="Arial" w:hAnsi="Arial"/>
          <w:sz w:val="21"/>
          <w:szCs w:val="21"/>
          <w:b w:val="1"/>
          <w:bCs w:val="1"/>
          <w:color w:val="FF0000"/>
          <w:strike w:val="1"/>
        </w:rPr>
        <w:t>,</w:t>
      </w:r>
      <w:r>
        <w:rPr>
          <w:rFonts w:ascii="Arial" w:cs="Arial" w:eastAsia="Arial" w:hAnsi="Arial"/>
          <w:sz w:val="21"/>
          <w:szCs w:val="21"/>
          <w:color w:val="000000"/>
        </w:rPr>
        <w:t xml:space="preserve"> </w:t>
      </w:r>
      <w:r>
        <w:rPr>
          <w:rFonts w:ascii="Arial" w:cs="Arial" w:eastAsia="Arial" w:hAnsi="Arial"/>
          <w:sz w:val="21"/>
          <w:szCs w:val="21"/>
          <w:b w:val="1"/>
          <w:bCs w:val="1"/>
          <w:u w:val="single" w:color="auto"/>
          <w:color w:val="0000FF"/>
        </w:rPr>
        <w:t>or (B) at any time, Adjusted Daily Simple SOFR will not</w:t>
      </w:r>
      <w:r>
        <w:rPr>
          <w:rFonts w:ascii="Arial" w:cs="Arial" w:eastAsia="Arial" w:hAnsi="Arial"/>
          <w:sz w:val="21"/>
          <w:szCs w:val="21"/>
          <w:color w:val="000000"/>
        </w:rPr>
        <w:t xml:space="preserve"> </w:t>
      </w:r>
      <w:r>
        <w:rPr>
          <w:rFonts w:ascii="Arial" w:cs="Arial" w:eastAsia="Arial" w:hAnsi="Arial"/>
          <w:sz w:val="21"/>
          <w:szCs w:val="21"/>
          <w:b w:val="1"/>
          <w:bCs w:val="1"/>
          <w:u w:val="single" w:color="auto"/>
          <w:color w:val="0000FF"/>
        </w:rPr>
        <w:t>adequately and fairly reflect the cost to such Lenders of making or maintaining their Loans included in such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6332855</wp:posOffset>
            </wp:positionH>
            <wp:positionV relativeFrom="paragraph">
              <wp:posOffset>-1106805</wp:posOffset>
            </wp:positionV>
            <wp:extent cx="8058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130" w:lineRule="exact"/>
        <w:rPr>
          <w:sz w:val="20"/>
          <w:szCs w:val="20"/>
          <w:color w:val="auto"/>
        </w:rPr>
      </w:pPr>
    </w:p>
    <w:p>
      <w:pPr>
        <w:jc w:val="both"/>
        <w:ind w:right="40"/>
        <w:spacing w:after="0" w:line="236" w:lineRule="auto"/>
        <w:rPr>
          <w:sz w:val="20"/>
          <w:szCs w:val="20"/>
          <w:color w:val="auto"/>
        </w:rPr>
      </w:pPr>
      <w:r>
        <w:rPr>
          <w:rFonts w:ascii="Arial" w:cs="Arial" w:eastAsia="Arial" w:hAnsi="Arial"/>
          <w:sz w:val="19"/>
          <w:szCs w:val="19"/>
          <w:color w:val="auto"/>
        </w:rPr>
        <w:t xml:space="preserve">then the Administrative Agent shall give notice thereof to the Borrower and the Lenders by telephone </w:t>
      </w:r>
      <w:r>
        <w:rPr>
          <w:rFonts w:ascii="Arial" w:cs="Arial" w:eastAsia="Arial" w:hAnsi="Arial"/>
          <w:sz w:val="19"/>
          <w:szCs w:val="19"/>
          <w:b w:val="1"/>
          <w:bCs w:val="1"/>
          <w:color w:val="FF0000"/>
        </w:rPr>
        <w:t>or</w:t>
      </w:r>
      <w:r>
        <w:rPr>
          <w:rFonts w:ascii="Arial" w:cs="Arial" w:eastAsia="Arial" w:hAnsi="Arial"/>
          <w:sz w:val="19"/>
          <w:szCs w:val="19"/>
          <w:b w:val="1"/>
          <w:bCs w:val="1"/>
          <w:u w:val="single" w:color="auto"/>
          <w:color w:val="0000FF"/>
        </w:rPr>
        <w:t>,</w:t>
      </w:r>
      <w:r>
        <w:rPr>
          <w:rFonts w:ascii="Arial" w:cs="Arial" w:eastAsia="Arial" w:hAnsi="Arial"/>
          <w:sz w:val="19"/>
          <w:szCs w:val="19"/>
          <w:color w:val="auto"/>
        </w:rPr>
        <w:t xml:space="preserve"> facsimile </w:t>
      </w:r>
      <w:r>
        <w:rPr>
          <w:rFonts w:ascii="Arial" w:cs="Arial" w:eastAsia="Arial" w:hAnsi="Arial"/>
          <w:sz w:val="19"/>
          <w:szCs w:val="19"/>
          <w:b w:val="1"/>
          <w:bCs w:val="1"/>
          <w:u w:val="single" w:color="auto"/>
          <w:color w:val="0000FF"/>
        </w:rPr>
        <w:t>or electronic</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mail</w:t>
      </w:r>
      <w:r>
        <w:rPr>
          <w:rFonts w:ascii="Arial" w:cs="Arial" w:eastAsia="Arial" w:hAnsi="Arial"/>
          <w:sz w:val="19"/>
          <w:szCs w:val="19"/>
          <w:b w:val="1"/>
          <w:bCs w:val="1"/>
          <w:color w:val="0000FF"/>
        </w:rPr>
        <w:t xml:space="preserve"> </w:t>
      </w:r>
      <w:r>
        <w:rPr>
          <w:rFonts w:ascii="Arial" w:cs="Arial" w:eastAsia="Arial" w:hAnsi="Arial"/>
          <w:sz w:val="19"/>
          <w:szCs w:val="19"/>
          <w:color w:val="000000"/>
        </w:rPr>
        <w:t>as promptly as practicable thereafter and, until</w:t>
      </w:r>
      <w:r>
        <w:rPr>
          <w:rFonts w:ascii="Arial" w:cs="Arial" w:eastAsia="Arial" w:hAnsi="Arial"/>
          <w:sz w:val="19"/>
          <w:szCs w:val="19"/>
          <w:b w:val="1"/>
          <w:bCs w:val="1"/>
          <w:color w:val="0000FF"/>
        </w:rPr>
        <w:t xml:space="preserve"> </w:t>
      </w:r>
      <w:r>
        <w:rPr>
          <w:rFonts w:ascii="Arial" w:cs="Arial" w:eastAsia="Arial" w:hAnsi="Arial"/>
          <w:sz w:val="19"/>
          <w:szCs w:val="19"/>
          <w:b w:val="1"/>
          <w:bCs w:val="1"/>
          <w:u w:val="single" w:color="auto"/>
          <w:color w:val="0000FF"/>
        </w:rPr>
        <w:t>(x)</w:t>
      </w:r>
      <w:r>
        <w:rPr>
          <w:rFonts w:ascii="Arial" w:cs="Arial" w:eastAsia="Arial" w:hAnsi="Arial"/>
          <w:sz w:val="19"/>
          <w:szCs w:val="19"/>
          <w:b w:val="1"/>
          <w:bCs w:val="1"/>
          <w:color w:val="0000FF"/>
        </w:rPr>
        <w:t xml:space="preserve"> </w:t>
      </w:r>
      <w:r>
        <w:rPr>
          <w:rFonts w:ascii="Arial" w:cs="Arial" w:eastAsia="Arial" w:hAnsi="Arial"/>
          <w:sz w:val="19"/>
          <w:szCs w:val="19"/>
          <w:color w:val="000000"/>
        </w:rPr>
        <w:t>the Administrative Agent notifies the Borrower and the Lenders that the</w:t>
      </w:r>
      <w:r>
        <w:rPr>
          <w:rFonts w:ascii="Arial" w:cs="Arial" w:eastAsia="Arial" w:hAnsi="Arial"/>
          <w:sz w:val="19"/>
          <w:szCs w:val="19"/>
          <w:b w:val="1"/>
          <w:bCs w:val="1"/>
          <w:color w:val="0000FF"/>
        </w:rPr>
        <w:t xml:space="preserve"> </w:t>
      </w:r>
      <w:r>
        <w:rPr>
          <w:rFonts w:ascii="Arial" w:cs="Arial" w:eastAsia="Arial" w:hAnsi="Arial"/>
          <w:sz w:val="19"/>
          <w:szCs w:val="19"/>
          <w:color w:val="000000"/>
        </w:rPr>
        <w:t>circumstances giving rise to such notice no longer exist</w:t>
      </w:r>
      <w:r>
        <w:rPr>
          <w:rFonts w:ascii="Arial" w:cs="Arial" w:eastAsia="Arial" w:hAnsi="Arial"/>
          <w:sz w:val="19"/>
          <w:szCs w:val="19"/>
          <w:b w:val="1"/>
          <w:bCs w:val="1"/>
          <w:color w:val="FF0000"/>
          <w:strike w:val="1"/>
        </w:rPr>
        <w:t>, (i)</w:t>
      </w:r>
      <w:r>
        <w:rPr>
          <w:rFonts w:ascii="Arial" w:cs="Arial" w:eastAsia="Arial" w:hAnsi="Arial"/>
          <w:sz w:val="19"/>
          <w:szCs w:val="19"/>
          <w:color w:val="000000"/>
        </w:rPr>
        <w:t xml:space="preserve"> </w:t>
      </w:r>
      <w:r>
        <w:rPr>
          <w:rFonts w:ascii="Arial" w:cs="Arial" w:eastAsia="Arial" w:hAnsi="Arial"/>
          <w:sz w:val="19"/>
          <w:szCs w:val="19"/>
          <w:b w:val="1"/>
          <w:bCs w:val="1"/>
          <w:u w:val="single" w:color="auto"/>
          <w:color w:val="0000FF"/>
        </w:rPr>
        <w:t>with respect to the relevant Benchmark and (y) the Borrower</w:t>
      </w:r>
      <w:r>
        <w:rPr>
          <w:rFonts w:ascii="Arial" w:cs="Arial" w:eastAsia="Arial" w:hAnsi="Arial"/>
          <w:sz w:val="19"/>
          <w:szCs w:val="19"/>
          <w:color w:val="000000"/>
        </w:rPr>
        <w:t xml:space="preserve"> </w:t>
      </w:r>
      <w:r>
        <w:rPr>
          <w:rFonts w:ascii="Arial" w:cs="Arial" w:eastAsia="Arial" w:hAnsi="Arial"/>
          <w:sz w:val="19"/>
          <w:szCs w:val="19"/>
          <w:b w:val="1"/>
          <w:bCs w:val="1"/>
          <w:u w:val="single" w:color="auto"/>
          <w:color w:val="0000FF"/>
        </w:rPr>
        <w:t>delivers a new Committed Loan Notice in accordance with the terms of Section 2.02,</w:t>
      </w:r>
      <w:r>
        <w:rPr>
          <w:rFonts w:ascii="Arial" w:cs="Arial" w:eastAsia="Arial" w:hAnsi="Arial"/>
          <w:sz w:val="19"/>
          <w:szCs w:val="19"/>
          <w:b w:val="1"/>
          <w:bCs w:val="1"/>
          <w:color w:val="0000FF"/>
        </w:rPr>
        <w:t xml:space="preserve"> </w:t>
      </w:r>
      <w:r>
        <w:rPr>
          <w:rFonts w:ascii="Arial" w:cs="Arial" w:eastAsia="Arial" w:hAnsi="Arial"/>
          <w:sz w:val="19"/>
          <w:szCs w:val="19"/>
          <w:color w:val="000000"/>
        </w:rPr>
        <w:t>any Committed Loan Notice that requests</w:t>
      </w:r>
      <w:r>
        <w:rPr>
          <w:rFonts w:ascii="Arial" w:cs="Arial" w:eastAsia="Arial" w:hAnsi="Arial"/>
          <w:sz w:val="19"/>
          <w:szCs w:val="19"/>
          <w:b w:val="1"/>
          <w:bCs w:val="1"/>
          <w:color w:val="0000FF"/>
        </w:rPr>
        <w:t xml:space="preserve"> </w:t>
      </w:r>
      <w:r>
        <w:rPr>
          <w:rFonts w:ascii="Arial" w:cs="Arial" w:eastAsia="Arial" w:hAnsi="Arial"/>
          <w:sz w:val="19"/>
          <w:szCs w:val="19"/>
          <w:color w:val="000000"/>
        </w:rPr>
        <w:t xml:space="preserve">the conversion of any Borrowing to, or continuation of any Borrowing as, a </w:t>
      </w:r>
      <w:r>
        <w:rPr>
          <w:rFonts w:ascii="Arial" w:cs="Arial" w:eastAsia="Arial" w:hAnsi="Arial"/>
          <w:sz w:val="19"/>
          <w:szCs w:val="19"/>
          <w:b w:val="1"/>
          <w:bCs w:val="1"/>
          <w:color w:val="FF0000"/>
          <w:strike w:val="1"/>
        </w:rPr>
        <w:t>Eurocurrency Rate</w:t>
      </w:r>
      <w:r>
        <w:rPr>
          <w:rFonts w:ascii="Arial" w:cs="Arial" w:eastAsia="Arial" w:hAnsi="Arial"/>
          <w:sz w:val="19"/>
          <w:szCs w:val="19"/>
          <w:b w:val="1"/>
          <w:bCs w:val="1"/>
          <w:u w:val="single" w:color="auto"/>
          <w:color w:val="0000FF"/>
        </w:rPr>
        <w:t>Term Benchmark</w:t>
      </w:r>
      <w:r>
        <w:rPr>
          <w:rFonts w:ascii="Arial" w:cs="Arial" w:eastAsia="Arial" w:hAnsi="Arial"/>
          <w:sz w:val="19"/>
          <w:szCs w:val="19"/>
          <w:color w:val="000000"/>
        </w:rPr>
        <w:t xml:space="preserve"> Borrowing </w:t>
      </w:r>
      <w:r>
        <w:rPr>
          <w:rFonts w:ascii="Arial" w:cs="Arial" w:eastAsia="Arial" w:hAnsi="Arial"/>
          <w:sz w:val="19"/>
          <w:szCs w:val="19"/>
          <w:b w:val="1"/>
          <w:bCs w:val="1"/>
          <w:color w:val="FF0000"/>
          <w:strike w:val="1"/>
        </w:rPr>
        <w:t>shall be ineffective</w:t>
      </w:r>
      <w:r>
        <w:rPr>
          <w:rFonts w:ascii="Arial" w:cs="Arial" w:eastAsia="Arial" w:hAnsi="Arial"/>
          <w:sz w:val="19"/>
          <w:szCs w:val="19"/>
          <w:b w:val="1"/>
          <w:bCs w:val="1"/>
          <w:color w:val="FF0000"/>
        </w:rPr>
        <w:t xml:space="preserve"> </w:t>
      </w:r>
      <w:r>
        <w:rPr>
          <w:rFonts w:ascii="Arial" w:cs="Arial" w:eastAsia="Arial" w:hAnsi="Arial"/>
          <w:sz w:val="19"/>
          <w:szCs w:val="19"/>
          <w:color w:val="000000"/>
        </w:rPr>
        <w:t>and</w:t>
      </w:r>
      <w:r>
        <w:rPr>
          <w:rFonts w:ascii="Arial" w:cs="Arial" w:eastAsia="Arial" w:hAnsi="Arial"/>
          <w:sz w:val="19"/>
          <w:szCs w:val="19"/>
          <w:b w:val="1"/>
          <w:bCs w:val="1"/>
          <w:color w:val="FF0000"/>
        </w:rPr>
        <w:t xml:space="preserve"> </w:t>
      </w:r>
      <w:r>
        <w:rPr>
          <w:rFonts w:ascii="Arial" w:cs="Arial" w:eastAsia="Arial" w:hAnsi="Arial"/>
          <w:sz w:val="19"/>
          <w:szCs w:val="19"/>
          <w:b w:val="1"/>
          <w:bCs w:val="1"/>
          <w:color w:val="FF0000"/>
          <w:strike w:val="1"/>
        </w:rPr>
        <w:t>(ii) if</w:t>
      </w:r>
      <w:r>
        <w:rPr>
          <w:rFonts w:ascii="Arial" w:cs="Arial" w:eastAsia="Arial" w:hAnsi="Arial"/>
          <w:sz w:val="19"/>
          <w:szCs w:val="19"/>
          <w:b w:val="1"/>
          <w:bCs w:val="1"/>
          <w:color w:val="FF0000"/>
        </w:rPr>
        <w:t xml:space="preserve"> </w:t>
      </w:r>
      <w:r>
        <w:rPr>
          <w:rFonts w:ascii="Arial" w:cs="Arial" w:eastAsia="Arial" w:hAnsi="Arial"/>
          <w:sz w:val="19"/>
          <w:szCs w:val="19"/>
          <w:color w:val="000000"/>
        </w:rPr>
        <w:t>any Committed Loan Notice</w:t>
      </w:r>
      <w:r>
        <w:rPr>
          <w:rFonts w:ascii="Arial" w:cs="Arial" w:eastAsia="Arial" w:hAnsi="Arial"/>
          <w:sz w:val="19"/>
          <w:szCs w:val="19"/>
          <w:b w:val="1"/>
          <w:bCs w:val="1"/>
          <w:color w:val="FF0000"/>
        </w:rPr>
        <w:t xml:space="preserve"> </w:t>
      </w:r>
      <w:r>
        <w:rPr>
          <w:rFonts w:ascii="Arial" w:cs="Arial" w:eastAsia="Arial" w:hAnsi="Arial"/>
          <w:sz w:val="19"/>
          <w:szCs w:val="19"/>
          <w:b w:val="1"/>
          <w:bCs w:val="1"/>
          <w:u w:val="single" w:color="auto"/>
          <w:color w:val="0000FF"/>
        </w:rPr>
        <w:t>that</w:t>
      </w:r>
      <w:r>
        <w:rPr>
          <w:rFonts w:ascii="Arial" w:cs="Arial" w:eastAsia="Arial" w:hAnsi="Arial"/>
          <w:sz w:val="19"/>
          <w:szCs w:val="19"/>
          <w:b w:val="1"/>
          <w:bCs w:val="1"/>
          <w:color w:val="FF0000"/>
        </w:rPr>
        <w:t xml:space="preserve"> </w:t>
      </w:r>
      <w:r>
        <w:rPr>
          <w:rFonts w:ascii="Arial" w:cs="Arial" w:eastAsia="Arial" w:hAnsi="Arial"/>
          <w:sz w:val="19"/>
          <w:szCs w:val="19"/>
          <w:color w:val="000000"/>
        </w:rPr>
        <w:t>requests a</w:t>
      </w:r>
      <w:r>
        <w:rPr>
          <w:rFonts w:ascii="Arial" w:cs="Arial" w:eastAsia="Arial" w:hAnsi="Arial"/>
          <w:sz w:val="19"/>
          <w:szCs w:val="19"/>
          <w:b w:val="1"/>
          <w:bCs w:val="1"/>
          <w:color w:val="FF0000"/>
        </w:rPr>
        <w:t xml:space="preserve"> </w:t>
      </w:r>
      <w:r>
        <w:rPr>
          <w:rFonts w:ascii="Arial" w:cs="Arial" w:eastAsia="Arial" w:hAnsi="Arial"/>
          <w:sz w:val="19"/>
          <w:szCs w:val="19"/>
          <w:b w:val="1"/>
          <w:bCs w:val="1"/>
          <w:color w:val="FF0000"/>
          <w:strike w:val="1"/>
        </w:rPr>
        <w:t>Eurocurrency Rate Borrowing then such Borrowing</w:t>
      </w:r>
      <w:r>
        <w:rPr>
          <w:rFonts w:ascii="Arial" w:cs="Arial" w:eastAsia="Arial" w:hAnsi="Arial"/>
          <w:sz w:val="19"/>
          <w:szCs w:val="19"/>
          <w:b w:val="1"/>
          <w:bCs w:val="1"/>
          <w:color w:val="FF0000"/>
        </w:rPr>
        <w:t xml:space="preserve"> </w:t>
      </w:r>
      <w:r>
        <w:rPr>
          <w:rFonts w:ascii="Arial" w:cs="Arial" w:eastAsia="Arial" w:hAnsi="Arial"/>
          <w:sz w:val="19"/>
          <w:szCs w:val="19"/>
          <w:b w:val="1"/>
          <w:bCs w:val="1"/>
          <w:color w:val="FF0000"/>
          <w:strike w:val="1"/>
        </w:rPr>
        <w:t>shall be made as an</w:t>
      </w:r>
      <w:r>
        <w:rPr>
          <w:rFonts w:ascii="Arial" w:cs="Arial" w:eastAsia="Arial" w:hAnsi="Arial"/>
          <w:sz w:val="19"/>
          <w:szCs w:val="19"/>
          <w:b w:val="1"/>
          <w:bCs w:val="1"/>
          <w:u w:val="single" w:color="auto"/>
          <w:color w:val="0000FF"/>
          <w:strike w:val="1"/>
        </w:rPr>
        <w:t>Term Benchmark Borrowing shall instead be deemed to be a Committed Loan Notice for (x) an RFR</w:t>
      </w:r>
      <w:r>
        <w:rPr>
          <w:rFonts w:ascii="Arial" w:cs="Arial" w:eastAsia="Arial" w:hAnsi="Arial"/>
          <w:sz w:val="19"/>
          <w:szCs w:val="19"/>
          <w:b w:val="1"/>
          <w:bCs w:val="1"/>
          <w:color w:val="FF0000"/>
          <w:strike w:val="1"/>
        </w:rPr>
        <w:t xml:space="preserve"> </w:t>
      </w:r>
      <w:r>
        <w:rPr>
          <w:rFonts w:ascii="Arial" w:cs="Arial" w:eastAsia="Arial" w:hAnsi="Arial"/>
          <w:sz w:val="19"/>
          <w:szCs w:val="19"/>
          <w:b w:val="1"/>
          <w:bCs w:val="1"/>
          <w:u w:val="single" w:color="auto"/>
          <w:color w:val="0000FF"/>
          <w:strike w:val="1"/>
        </w:rPr>
        <w:t>Borrowing so long as the Adjusted Daily Simple SOFR is not also the subject of Section 2.17(a)(i) or (ii) above or (y) a</w:t>
      </w:r>
      <w:r>
        <w:rPr>
          <w:rFonts w:ascii="Arial" w:cs="Arial" w:eastAsia="Arial" w:hAnsi="Arial"/>
          <w:sz w:val="19"/>
          <w:szCs w:val="19"/>
          <w:b w:val="1"/>
          <w:bCs w:val="1"/>
          <w:color w:val="0000FF"/>
          <w:strike w:val="1"/>
        </w:rPr>
        <w:t xml:space="preserve"> </w:t>
      </w:r>
      <w:r>
        <w:rPr>
          <w:rFonts w:ascii="Arial" w:cs="Arial" w:eastAsia="Arial" w:hAnsi="Arial"/>
          <w:sz w:val="19"/>
          <w:szCs w:val="19"/>
          <w:color w:val="000000"/>
          <w:strike w:val="1"/>
        </w:rPr>
        <w:t>Base</w:t>
      </w:r>
      <w:r>
        <w:rPr>
          <w:rFonts w:ascii="Arial" w:cs="Arial" w:eastAsia="Arial" w:hAnsi="Arial"/>
          <w:sz w:val="19"/>
          <w:szCs w:val="19"/>
          <w:b w:val="1"/>
          <w:bCs w:val="1"/>
          <w:color w:val="0000FF"/>
          <w:strike w:val="1"/>
        </w:rPr>
        <w:t xml:space="preserve"> </w:t>
      </w:r>
      <w:r>
        <w:rPr>
          <w:rFonts w:ascii="Arial" w:cs="Arial" w:eastAsia="Arial" w:hAnsi="Arial"/>
          <w:sz w:val="19"/>
          <w:szCs w:val="19"/>
          <w:color w:val="000000"/>
          <w:strike w:val="1"/>
        </w:rPr>
        <w:t>Rate Borrowing</w:t>
      </w:r>
      <w:r>
        <w:rPr>
          <w:rFonts w:ascii="Arial" w:cs="Arial" w:eastAsia="Arial" w:hAnsi="Arial"/>
          <w:sz w:val="19"/>
          <w:szCs w:val="19"/>
          <w:b w:val="1"/>
          <w:bCs w:val="1"/>
          <w:color w:val="FF0000"/>
          <w:strike w:val="1"/>
        </w:rPr>
        <w:t>;</w:t>
      </w:r>
      <w:r>
        <w:rPr>
          <w:rFonts w:ascii="Arial" w:cs="Arial" w:eastAsia="Arial" w:hAnsi="Arial"/>
          <w:sz w:val="19"/>
          <w:szCs w:val="19"/>
          <w:color w:val="000000"/>
          <w:strike w:val="1"/>
        </w:rPr>
        <w:t xml:space="preserve"> </w:t>
      </w:r>
      <w:r>
        <w:rPr>
          <w:rFonts w:ascii="Arial" w:cs="Arial" w:eastAsia="Arial" w:hAnsi="Arial"/>
          <w:sz w:val="19"/>
          <w:szCs w:val="19"/>
          <w:b w:val="1"/>
          <w:bCs w:val="1"/>
          <w:u w:val="single" w:color="auto"/>
          <w:color w:val="FF0000"/>
          <w:strike w:val="1"/>
        </w:rPr>
        <w:t>provided</w:t>
      </w:r>
      <w:r>
        <w:rPr>
          <w:rFonts w:ascii="Arial" w:cs="Arial" w:eastAsia="Arial" w:hAnsi="Arial"/>
          <w:sz w:val="19"/>
          <w:szCs w:val="19"/>
          <w:color w:val="000000"/>
          <w:strike w:val="1"/>
        </w:rPr>
        <w:t xml:space="preserve"> </w:t>
      </w:r>
      <w:r>
        <w:rPr>
          <w:rFonts w:ascii="Arial" w:cs="Arial" w:eastAsia="Arial" w:hAnsi="Arial"/>
          <w:sz w:val="19"/>
          <w:szCs w:val="19"/>
          <w:b w:val="1"/>
          <w:bCs w:val="1"/>
          <w:color w:val="FF0000"/>
          <w:strike w:val="1"/>
        </w:rPr>
        <w:t>,</w:t>
      </w:r>
      <w:r>
        <w:rPr>
          <w:rFonts w:ascii="Arial" w:cs="Arial" w:eastAsia="Arial" w:hAnsi="Arial"/>
          <w:sz w:val="19"/>
          <w:szCs w:val="19"/>
          <w:color w:val="000000"/>
          <w:strike w:val="1"/>
        </w:rPr>
        <w:t xml:space="preserve"> </w:t>
      </w:r>
      <w:r>
        <w:rPr>
          <w:rFonts w:ascii="Arial" w:cs="Arial" w:eastAsia="Arial" w:hAnsi="Arial"/>
          <w:sz w:val="19"/>
          <w:szCs w:val="19"/>
          <w:b w:val="1"/>
          <w:bCs w:val="1"/>
          <w:u w:val="single" w:color="auto"/>
          <w:color w:val="FF0000"/>
          <w:strike w:val="1"/>
        </w:rPr>
        <w:t>however</w:t>
      </w:r>
      <w:r>
        <w:rPr>
          <w:rFonts w:ascii="Arial" w:cs="Arial" w:eastAsia="Arial" w:hAnsi="Arial"/>
          <w:sz w:val="19"/>
          <w:szCs w:val="19"/>
          <w:b w:val="1"/>
          <w:bCs w:val="1"/>
          <w:color w:val="FF0000"/>
          <w:strike w:val="1"/>
        </w:rPr>
        <w:t>,</w:t>
      </w:r>
      <w:r>
        <w:rPr>
          <w:rFonts w:ascii="Arial" w:cs="Arial" w:eastAsia="Arial" w:hAnsi="Arial"/>
          <w:sz w:val="19"/>
          <w:szCs w:val="19"/>
          <w:color w:val="000000"/>
          <w:strike w:val="1"/>
        </w:rPr>
        <w:t xml:space="preserve"> </w:t>
      </w:r>
      <w:r>
        <w:rPr>
          <w:rFonts w:ascii="Arial" w:cs="Arial" w:eastAsia="Arial" w:hAnsi="Arial"/>
          <w:sz w:val="19"/>
          <w:szCs w:val="19"/>
          <w:b w:val="1"/>
          <w:bCs w:val="1"/>
          <w:u w:val="single" w:color="auto"/>
          <w:color w:val="0000FF"/>
          <w:strike w:val="1"/>
        </w:rPr>
        <w:t>if the Adjusted Daily Simple SOFR also is the subject of Section 2.17(a)(i) or (ii) above;</w:t>
      </w:r>
      <w:r>
        <w:rPr>
          <w:rFonts w:ascii="Arial" w:cs="Arial" w:eastAsia="Arial" w:hAnsi="Arial"/>
          <w:sz w:val="19"/>
          <w:szCs w:val="19"/>
          <w:color w:val="000000"/>
          <w:strike w:val="1"/>
        </w:rPr>
        <w:t xml:space="preserve"> </w:t>
      </w:r>
      <w:r>
        <w:rPr>
          <w:rFonts w:ascii="Arial" w:cs="Arial" w:eastAsia="Arial" w:hAnsi="Arial"/>
          <w:sz w:val="19"/>
          <w:szCs w:val="19"/>
          <w:b w:val="1"/>
          <w:bCs w:val="1"/>
          <w:u w:val="single" w:color="auto"/>
          <w:color w:val="0000FF"/>
          <w:strike w:val="1"/>
        </w:rPr>
        <w:t>provided that if the circumstances giving rise to such notice affect only one Type of Borrowing, then all other Types of Borrowings shall be permitted; provided further</w:t>
      </w:r>
      <w:r>
        <w:rPr>
          <w:rFonts w:ascii="Arial" w:cs="Arial" w:eastAsia="Arial" w:hAnsi="Arial"/>
          <w:sz w:val="19"/>
          <w:szCs w:val="19"/>
          <w:b w:val="1"/>
          <w:bCs w:val="1"/>
          <w:color w:val="0000FF"/>
          <w:strike w:val="1"/>
        </w:rPr>
        <w:t xml:space="preserve"> </w:t>
      </w:r>
      <w:r>
        <w:rPr>
          <w:rFonts w:ascii="Arial" w:cs="Arial" w:eastAsia="Arial" w:hAnsi="Arial"/>
          <w:sz w:val="19"/>
          <w:szCs w:val="19"/>
          <w:color w:val="000000"/>
          <w:strike w:val="1"/>
        </w:rPr>
        <w:t>that, in each case, the Borrower may revoke any Committed Loan Notice that</w:t>
      </w:r>
      <w:r>
        <w:rPr>
          <w:rFonts w:ascii="Arial" w:cs="Arial" w:eastAsia="Arial" w:hAnsi="Arial"/>
          <w:sz w:val="19"/>
          <w:szCs w:val="19"/>
          <w:b w:val="1"/>
          <w:bCs w:val="1"/>
          <w:color w:val="0000FF"/>
          <w:strike w:val="1"/>
        </w:rPr>
        <w:t xml:space="preserve"> </w:t>
      </w:r>
      <w:r>
        <w:rPr>
          <w:rFonts w:ascii="Arial" w:cs="Arial" w:eastAsia="Arial" w:hAnsi="Arial"/>
          <w:sz w:val="19"/>
          <w:szCs w:val="19"/>
          <w:color w:val="000000"/>
          <w:strike w:val="1"/>
        </w:rPr>
        <w:t xml:space="preserve">is pending when such notice is received. </w:t>
      </w:r>
      <w:r>
        <w:rPr>
          <w:rFonts w:ascii="Arial" w:cs="Arial" w:eastAsia="Arial" w:hAnsi="Arial"/>
          <w:sz w:val="19"/>
          <w:szCs w:val="19"/>
          <w:b w:val="1"/>
          <w:bCs w:val="1"/>
          <w:u w:val="single" w:color="auto"/>
          <w:color w:val="0000FF"/>
          <w:strike w:val="1"/>
        </w:rPr>
        <w:t>Furthermore, if any Term Benchmark Loan or RFR Loan is outstanding on the date</w:t>
      </w:r>
      <w:r>
        <w:rPr>
          <w:rFonts w:ascii="Arial" w:cs="Arial" w:eastAsia="Arial" w:hAnsi="Arial"/>
          <w:sz w:val="19"/>
          <w:szCs w:val="19"/>
          <w:color w:val="000000"/>
          <w:strike w:val="1"/>
        </w:rPr>
        <w:t xml:space="preserve"> </w:t>
      </w:r>
      <w:r>
        <w:rPr>
          <w:rFonts w:ascii="Arial" w:cs="Arial" w:eastAsia="Arial" w:hAnsi="Arial"/>
          <w:sz w:val="19"/>
          <w:szCs w:val="19"/>
          <w:b w:val="1"/>
          <w:bCs w:val="1"/>
          <w:u w:val="single" w:color="auto"/>
          <w:color w:val="0000FF"/>
          <w:strike w:val="1"/>
        </w:rPr>
        <w:t>of the Borrower’s receipt of the notice from the Administrative Agent referred to in this Section 2.17(a) with respect to a Relevant Rate applicable to such Term Benchmark Loan or RFR Loan, then until (x) the Administrative Agent notifies the Borrower and the Lenders that the circumstances giving rise to such notice no longer exist with respect to the relevant Benchmark and (y) the Borrower delivers a new Committed Loan Notice in accordance with the terms of Section 2.02, (A) any Term Benchmark Loan shall on the last day of the Interest Period applicable to such Loan, be converted by the Administrative Agent to, and shall constitute, (x) an RFR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5614035</wp:posOffset>
            </wp:positionH>
            <wp:positionV relativeFrom="paragraph">
              <wp:posOffset>-2362200</wp:posOffset>
            </wp:positionV>
            <wp:extent cx="15875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587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72</w:t>
      </w:r>
    </w:p>
    <w:p>
      <w:pPr>
        <w:sectPr>
          <w:pgSz w:w="11900" w:h="16838" w:orient="portrait"/>
          <w:cols w:equalWidth="0" w:num="1">
            <w:col w:w="11240"/>
          </w:cols>
          <w:pgMar w:left="320" w:top="1152" w:right="339" w:bottom="1440" w:gutter="0" w:footer="0" w:header="0"/>
        </w:sectPr>
      </w:pPr>
    </w:p>
    <w:bookmarkStart w:id="211" w:name="page212"/>
    <w:bookmarkEnd w:id="211"/>
    <w:p>
      <w:pPr>
        <w:jc w:val="both"/>
        <w:spacing w:after="0" w:line="264" w:lineRule="auto"/>
        <w:rPr>
          <w:sz w:val="20"/>
          <w:szCs w:val="20"/>
          <w:color w:val="auto"/>
        </w:rPr>
      </w:pPr>
      <w:r>
        <w:rPr>
          <w:rFonts w:ascii="Arial" w:cs="Arial" w:eastAsia="Arial" w:hAnsi="Arial"/>
          <w:sz w:val="19"/>
          <w:szCs w:val="19"/>
          <w:b w:val="1"/>
          <w:bCs w:val="1"/>
          <w:u w:val="single" w:color="auto"/>
          <w:color w:val="0000FF"/>
        </w:rPr>
        <w:t>Borrowing so long as the Adjusted Daily Simple SOFR is not also the subject of Section 2.17(a)(i) or (ii) above or (y) a Base Rate Loan if the Adjusted Daily Simple SOFR also is the subject of Section 2.17(a)(i) or (ii) above, on such day, and (B) any RFR Loan shall on and from such day be converted by the Administrative Agent to, and shall constitute a Base Rate Loan</w:t>
      </w:r>
    </w:p>
    <w:p>
      <w:pPr>
        <w:spacing w:after="0" w:line="133" w:lineRule="exact"/>
        <w:rPr>
          <w:sz w:val="20"/>
          <w:szCs w:val="20"/>
          <w:color w:val="auto"/>
        </w:rPr>
      </w:pPr>
    </w:p>
    <w:p>
      <w:pPr>
        <w:jc w:val="both"/>
        <w:ind w:firstLine="1036"/>
        <w:spacing w:after="0" w:line="225" w:lineRule="auto"/>
        <w:tabs>
          <w:tab w:leader="none" w:pos="1675" w:val="left"/>
        </w:tabs>
        <w:numPr>
          <w:ilvl w:val="1"/>
          <w:numId w:val="165"/>
        </w:numPr>
        <w:rPr>
          <w:rFonts w:ascii="Arial" w:cs="Arial" w:eastAsia="Arial" w:hAnsi="Arial"/>
          <w:sz w:val="20"/>
          <w:szCs w:val="20"/>
          <w:color w:val="auto"/>
        </w:rPr>
      </w:pPr>
      <w:r>
        <w:rPr>
          <w:rFonts w:ascii="Arial" w:cs="Arial" w:eastAsia="Arial" w:hAnsi="Arial"/>
          <w:sz w:val="20"/>
          <w:szCs w:val="20"/>
          <w:color w:val="auto"/>
        </w:rPr>
        <w:t>Notwithstanding anything to the contrary herein or in any other Loan Document, if a Benchmark Transition Event</w:t>
      </w:r>
      <w:r>
        <w:rPr>
          <w:rFonts w:ascii="Arial" w:cs="Arial" w:eastAsia="Arial" w:hAnsi="Arial"/>
          <w:sz w:val="20"/>
          <w:szCs w:val="20"/>
          <w:b w:val="1"/>
          <w:bCs w:val="1"/>
          <w:color w:val="FF0000"/>
          <w:strike w:val="1"/>
        </w:rPr>
        <w:t>, an Early Opt-in Election or an Other Benchmark Rate Election, as applicable,</w:t>
      </w:r>
      <w:r>
        <w:rPr>
          <w:rFonts w:ascii="Arial" w:cs="Arial" w:eastAsia="Arial" w:hAnsi="Arial"/>
          <w:sz w:val="20"/>
          <w:szCs w:val="20"/>
          <w:color w:val="auto"/>
        </w:rPr>
        <w:t xml:space="preserve"> and its related Benchmark Replacement Date have occurred </w:t>
      </w:r>
      <w:r>
        <w:rPr>
          <w:rFonts w:ascii="Arial" w:cs="Arial" w:eastAsia="Arial" w:hAnsi="Arial"/>
          <w:sz w:val="20"/>
          <w:szCs w:val="20"/>
          <w:b w:val="1"/>
          <w:bCs w:val="1"/>
          <w:color w:val="FF0000"/>
          <w:strike w:val="1"/>
        </w:rPr>
        <w:t>for a currency</w:t>
      </w:r>
      <w:r>
        <w:rPr>
          <w:rFonts w:ascii="Arial" w:cs="Arial" w:eastAsia="Arial" w:hAnsi="Arial"/>
          <w:sz w:val="20"/>
          <w:szCs w:val="20"/>
          <w:color w:val="auto"/>
        </w:rPr>
        <w:t xml:space="preserve"> prior to the Reference Time in respect of any setting of the then-current Benchmark </w:t>
      </w:r>
      <w:r>
        <w:rPr>
          <w:rFonts w:ascii="Arial" w:cs="Arial" w:eastAsia="Arial" w:hAnsi="Arial"/>
          <w:sz w:val="20"/>
          <w:szCs w:val="20"/>
          <w:b w:val="1"/>
          <w:bCs w:val="1"/>
          <w:color w:val="FF0000"/>
        </w:rPr>
        <w:t>for such</w:t>
      </w:r>
      <w:r>
        <w:rPr>
          <w:rFonts w:ascii="Arial" w:cs="Arial" w:eastAsia="Arial" w:hAnsi="Arial"/>
          <w:sz w:val="20"/>
          <w:szCs w:val="20"/>
          <w:color w:val="auto"/>
        </w:rPr>
        <w:t xml:space="preserve"> </w:t>
      </w:r>
      <w:r>
        <w:rPr>
          <w:rFonts w:ascii="Arial" w:cs="Arial" w:eastAsia="Arial" w:hAnsi="Arial"/>
          <w:sz w:val="20"/>
          <w:szCs w:val="20"/>
          <w:b w:val="1"/>
          <w:bCs w:val="1"/>
          <w:color w:val="FF0000"/>
          <w:strike w:val="1"/>
        </w:rPr>
        <w:t>currency</w:t>
      </w:r>
      <w:r>
        <w:rPr>
          <w:rFonts w:ascii="Arial" w:cs="Arial" w:eastAsia="Arial" w:hAnsi="Arial"/>
          <w:sz w:val="20"/>
          <w:szCs w:val="20"/>
          <w:color w:val="000000"/>
        </w:rPr>
        <w:t>, then (x) if a Benchmark Replacement is determined in accordance with clause (1</w:t>
      </w:r>
      <w:r>
        <w:rPr>
          <w:rFonts w:ascii="Arial" w:cs="Arial" w:eastAsia="Arial" w:hAnsi="Arial"/>
          <w:sz w:val="20"/>
          <w:szCs w:val="20"/>
          <w:b w:val="1"/>
          <w:bCs w:val="1"/>
          <w:color w:val="FF0000"/>
          <w:strike w:val="1"/>
        </w:rPr>
        <w:t>) or (2</w:t>
      </w:r>
      <w:r>
        <w:rPr>
          <w:rFonts w:ascii="Arial" w:cs="Arial" w:eastAsia="Arial" w:hAnsi="Arial"/>
          <w:sz w:val="20"/>
          <w:szCs w:val="20"/>
          <w:color w:val="000000"/>
        </w:rPr>
        <w:t>) of the definition of “Benchmark</w:t>
      </w:r>
      <w:r>
        <w:rPr>
          <w:rFonts w:ascii="Arial" w:cs="Arial" w:eastAsia="Arial" w:hAnsi="Arial"/>
          <w:sz w:val="20"/>
          <w:szCs w:val="20"/>
          <w:b w:val="1"/>
          <w:bCs w:val="1"/>
          <w:color w:val="FF0000"/>
        </w:rPr>
        <w:t xml:space="preserve"> </w:t>
      </w:r>
      <w:r>
        <w:rPr>
          <w:rFonts w:ascii="Arial" w:cs="Arial" w:eastAsia="Arial" w:hAnsi="Arial"/>
          <w:sz w:val="20"/>
          <w:szCs w:val="20"/>
          <w:color w:val="000000"/>
        </w:rPr>
        <w:t>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w:t>
      </w:r>
      <w:r>
        <w:rPr>
          <w:rFonts w:ascii="Arial" w:cs="Arial" w:eastAsia="Arial" w:hAnsi="Arial"/>
          <w:sz w:val="20"/>
          <w:szCs w:val="20"/>
          <w:b w:val="1"/>
          <w:bCs w:val="1"/>
          <w:color w:val="FF0000"/>
          <w:strike w:val="1"/>
        </w:rPr>
        <w:t>3</w:t>
      </w:r>
      <w:r>
        <w:rPr>
          <w:rFonts w:ascii="Arial" w:cs="Arial" w:eastAsia="Arial" w:hAnsi="Arial"/>
          <w:sz w:val="20"/>
          <w:szCs w:val="20"/>
          <w:b w:val="1"/>
          <w:bCs w:val="1"/>
          <w:u w:val="single" w:color="auto"/>
          <w:color w:val="0000FF"/>
        </w:rPr>
        <w:t>2</w:t>
      </w:r>
      <w:r>
        <w:rPr>
          <w:rFonts w:ascii="Arial" w:cs="Arial" w:eastAsia="Arial" w:hAnsi="Arial"/>
          <w:sz w:val="20"/>
          <w:szCs w:val="20"/>
          <w:color w:val="000000"/>
        </w:rPr>
        <w:t xml:space="preserve">) of the definition of “Benchmark Replacement” for such Benchmark Replacement Date, such Benchmark Replacement will replace such Benchmark for all purposes hereunder and under any </w:t>
      </w:r>
      <w:r>
        <w:rPr>
          <w:rFonts w:ascii="Arial" w:cs="Arial" w:eastAsia="Arial" w:hAnsi="Arial"/>
          <w:sz w:val="20"/>
          <w:szCs w:val="20"/>
          <w:b w:val="1"/>
          <w:bCs w:val="1"/>
          <w:color w:val="FF0000"/>
          <w:strike w:val="1"/>
        </w:rPr>
        <w:t>other</w:t>
      </w:r>
      <w:r>
        <w:rPr>
          <w:rFonts w:ascii="Arial" w:cs="Arial" w:eastAsia="Arial" w:hAnsi="Arial"/>
          <w:sz w:val="20"/>
          <w:szCs w:val="20"/>
          <w:color w:val="000000"/>
        </w:rPr>
        <w:t xml:space="preserve"> Loan Document in respect of any </w:t>
      </w:r>
      <w:r>
        <w:rPr>
          <w:rFonts w:ascii="Arial" w:cs="Arial" w:eastAsia="Arial" w:hAnsi="Arial"/>
          <w:sz w:val="20"/>
          <w:szCs w:val="20"/>
          <w:b w:val="1"/>
          <w:bCs w:val="1"/>
          <w:color w:val="FF0000"/>
          <w:strike w:val="1"/>
        </w:rPr>
        <w:t>such</w:t>
      </w:r>
      <w:r>
        <w:rPr>
          <w:rFonts w:ascii="Arial" w:cs="Arial" w:eastAsia="Arial" w:hAnsi="Arial"/>
          <w:sz w:val="20"/>
          <w:szCs w:val="20"/>
          <w:color w:val="000000"/>
        </w:rPr>
        <w:t xml:space="preserve"> Benchmark setting at or after 5:00 p.m. </w:t>
      </w:r>
      <w:r>
        <w:rPr>
          <w:rFonts w:ascii="Arial" w:cs="Arial" w:eastAsia="Arial" w:hAnsi="Arial"/>
          <w:sz w:val="20"/>
          <w:szCs w:val="20"/>
          <w:b w:val="1"/>
          <w:bCs w:val="1"/>
          <w:color w:val="FF0000"/>
        </w:rPr>
        <w:t>(</w:t>
      </w:r>
      <w:r>
        <w:rPr>
          <w:rFonts w:ascii="Arial" w:cs="Arial" w:eastAsia="Arial" w:hAnsi="Arial"/>
          <w:sz w:val="20"/>
          <w:szCs w:val="20"/>
          <w:b w:val="1"/>
          <w:bCs w:val="1"/>
          <w:u w:val="single" w:color="auto"/>
          <w:color w:val="0000FF"/>
        </w:rPr>
        <w:t>,</w:t>
      </w:r>
      <w:r>
        <w:rPr>
          <w:rFonts w:ascii="Arial" w:cs="Arial" w:eastAsia="Arial" w:hAnsi="Arial"/>
          <w:sz w:val="20"/>
          <w:szCs w:val="20"/>
          <w:color w:val="000000"/>
        </w:rPr>
        <w:t xml:space="preserve"> New York City time</w:t>
      </w:r>
      <w:r>
        <w:rPr>
          <w:rFonts w:ascii="Arial" w:cs="Arial" w:eastAsia="Arial" w:hAnsi="Arial"/>
          <w:sz w:val="20"/>
          <w:szCs w:val="20"/>
          <w:b w:val="1"/>
          <w:bCs w:val="1"/>
          <w:color w:val="FF0000"/>
          <w:strike w:val="1"/>
        </w:rPr>
        <w:t>)</w:t>
      </w:r>
      <w:r>
        <w:rPr>
          <w:rFonts w:ascii="Arial" w:cs="Arial" w:eastAsia="Arial" w:hAnsi="Arial"/>
          <w:sz w:val="20"/>
          <w:szCs w:val="20"/>
          <w:b w:val="1"/>
          <w:bCs w:val="1"/>
          <w:u w:val="single" w:color="auto"/>
          <w:color w:val="0000FF"/>
        </w:rPr>
        <w:t>,</w:t>
      </w:r>
      <w:r>
        <w:rPr>
          <w:rFonts w:ascii="Arial" w:cs="Arial" w:eastAsia="Arial" w:hAnsi="Arial"/>
          <w:sz w:val="20"/>
          <w:szCs w:val="20"/>
          <w:color w:val="000000"/>
        </w:rPr>
        <w:t xml:space="preserv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55" w:lineRule="exact"/>
        <w:rPr>
          <w:rFonts w:ascii="Arial" w:cs="Arial" w:eastAsia="Arial" w:hAnsi="Arial"/>
          <w:sz w:val="20"/>
          <w:szCs w:val="20"/>
          <w:color w:val="auto"/>
        </w:rPr>
      </w:pPr>
    </w:p>
    <w:p>
      <w:pPr>
        <w:jc w:val="both"/>
        <w:ind w:firstLine="718"/>
        <w:spacing w:after="0" w:line="228" w:lineRule="auto"/>
        <w:tabs>
          <w:tab w:leader="none" w:pos="1031" w:val="left"/>
        </w:tabs>
        <w:numPr>
          <w:ilvl w:val="0"/>
          <w:numId w:val="166"/>
        </w:numPr>
        <w:rPr>
          <w:rFonts w:ascii="Arial" w:cs="Arial" w:eastAsia="Arial" w:hAnsi="Arial"/>
          <w:sz w:val="20"/>
          <w:szCs w:val="20"/>
          <w:b w:val="1"/>
          <w:bCs w:val="1"/>
          <w:color w:val="FF0000"/>
          <w:strike w:val="1"/>
        </w:rPr>
      </w:pPr>
      <w:r>
        <w:rPr>
          <w:rFonts w:ascii="Arial" w:cs="Arial" w:eastAsia="Arial" w:hAnsi="Arial"/>
          <w:sz w:val="20"/>
          <w:szCs w:val="20"/>
          <w:b w:val="1"/>
          <w:bCs w:val="1"/>
          <w:color w:val="FF0000"/>
          <w:strike w:val="1"/>
        </w:rPr>
        <w:t xml:space="preserve">Notwithstanding anything to the contrary herein or in any other Loan Document and subject to the proviso below in this paragraph, if a Term SOFR Transition Event and its related Benchmark Replacement Date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w:t>
      </w:r>
      <w:r>
        <w:rPr>
          <w:rFonts w:ascii="Arial" w:cs="Arial" w:eastAsia="Arial" w:hAnsi="Arial"/>
          <w:sz w:val="20"/>
          <w:szCs w:val="20"/>
          <w:b w:val="1"/>
          <w:bCs w:val="1"/>
          <w:u w:val="single" w:color="auto"/>
          <w:color w:val="FF0000"/>
          <w:strike w:val="1"/>
        </w:rPr>
        <w:t>provided</w:t>
      </w:r>
      <w:r>
        <w:rPr>
          <w:rFonts w:ascii="Arial" w:cs="Arial" w:eastAsia="Arial" w:hAnsi="Arial"/>
          <w:sz w:val="20"/>
          <w:szCs w:val="20"/>
          <w:b w:val="1"/>
          <w:bCs w:val="1"/>
          <w:color w:val="FF0000"/>
          <w:strike w:val="1"/>
        </w:rPr>
        <w:t xml:space="preserve"> that, this clause (c) shall not be effective unless the Administrative Agent has delivered to the Lenders and the Borrower a Term SOFR Notice. For the avoidance of doubt, the Administrative Agent shall not be required to deliver a Term SOFR Notice after the occurrence of a Term SOFR Transition Event and may do so in its sole discretion.</w:t>
      </w:r>
    </w:p>
    <w:p>
      <w:pPr>
        <w:spacing w:after="0" w:line="153" w:lineRule="exact"/>
        <w:rPr>
          <w:rFonts w:ascii="Arial" w:cs="Arial" w:eastAsia="Arial" w:hAnsi="Arial"/>
          <w:sz w:val="20"/>
          <w:szCs w:val="20"/>
          <w:b w:val="1"/>
          <w:bCs w:val="1"/>
          <w:color w:val="FF0000"/>
          <w:strike w:val="1"/>
        </w:rPr>
      </w:pPr>
    </w:p>
    <w:p>
      <w:pPr>
        <w:jc w:val="both"/>
        <w:ind w:firstLine="1036"/>
        <w:spacing w:after="0" w:line="234" w:lineRule="auto"/>
        <w:tabs>
          <w:tab w:leader="none" w:pos="1346" w:val="left"/>
        </w:tabs>
        <w:numPr>
          <w:ilvl w:val="1"/>
          <w:numId w:val="166"/>
        </w:numPr>
        <w:rPr>
          <w:rFonts w:ascii="Arial" w:cs="Arial" w:eastAsia="Arial" w:hAnsi="Arial"/>
          <w:sz w:val="20"/>
          <w:szCs w:val="20"/>
          <w:b w:val="1"/>
          <w:bCs w:val="1"/>
          <w:color w:val="026DCE"/>
        </w:rPr>
      </w:pPr>
      <w:r>
        <w:rPr>
          <w:rFonts w:ascii="Arial" w:cs="Arial" w:eastAsia="Arial" w:hAnsi="Arial"/>
          <w:sz w:val="20"/>
          <w:szCs w:val="20"/>
          <w:b w:val="1"/>
          <w:bCs w:val="1"/>
          <w:color w:val="0000FF"/>
        </w:rPr>
        <w:t>(</w:t>
      </w:r>
      <w:r>
        <w:rPr>
          <w:rFonts w:ascii="Arial" w:cs="Arial" w:eastAsia="Arial" w:hAnsi="Arial"/>
          <w:sz w:val="20"/>
          <w:szCs w:val="20"/>
          <w:b w:val="1"/>
          <w:bCs w:val="1"/>
          <w:color w:val="FF0000"/>
          <w:strike w:val="1"/>
        </w:rPr>
        <w:t>d) In connection with the implementation of a Benchmark Replacement,</w:t>
      </w:r>
      <w:r>
        <w:rPr>
          <w:rFonts w:ascii="Arial" w:cs="Arial" w:eastAsia="Arial" w:hAnsi="Arial"/>
          <w:sz w:val="20"/>
          <w:szCs w:val="20"/>
          <w:b w:val="1"/>
          <w:bCs w:val="1"/>
          <w:u w:val="single" w:color="auto"/>
          <w:color w:val="0000FF"/>
        </w:rPr>
        <w:t>Notwithstanding anything to the</w:t>
      </w:r>
      <w:r>
        <w:rPr>
          <w:rFonts w:ascii="Arial" w:cs="Arial" w:eastAsia="Arial" w:hAnsi="Arial"/>
          <w:sz w:val="20"/>
          <w:szCs w:val="20"/>
          <w:b w:val="1"/>
          <w:bCs w:val="1"/>
          <w:color w:val="0000FF"/>
        </w:rPr>
        <w:t xml:space="preserve"> </w:t>
      </w:r>
      <w:r>
        <w:rPr>
          <w:rFonts w:ascii="Arial" w:cs="Arial" w:eastAsia="Arial" w:hAnsi="Arial"/>
          <w:sz w:val="20"/>
          <w:szCs w:val="20"/>
          <w:b w:val="1"/>
          <w:bCs w:val="1"/>
          <w:u w:val="single" w:color="auto"/>
          <w:color w:val="0000FF"/>
        </w:rPr>
        <w:t>contrary herein or in any other Loan Document,</w:t>
      </w:r>
      <w:r>
        <w:rPr>
          <w:rFonts w:ascii="Arial" w:cs="Arial" w:eastAsia="Arial" w:hAnsi="Arial"/>
          <w:sz w:val="20"/>
          <w:szCs w:val="20"/>
          <w:b w:val="1"/>
          <w:bCs w:val="1"/>
          <w:color w:val="0000FF"/>
        </w:rPr>
        <w:t xml:space="preserve"> </w:t>
      </w:r>
      <w:r>
        <w:rPr>
          <w:rFonts w:ascii="Arial" w:cs="Arial" w:eastAsia="Arial" w:hAnsi="Arial"/>
          <w:sz w:val="20"/>
          <w:szCs w:val="20"/>
          <w:color w:val="000000"/>
        </w:rPr>
        <w:t>the Administrative Agent will have the right to make Benchmark Replacement</w:t>
      </w:r>
      <w:r>
        <w:rPr>
          <w:rFonts w:ascii="Arial" w:cs="Arial" w:eastAsia="Arial" w:hAnsi="Arial"/>
          <w:sz w:val="20"/>
          <w:szCs w:val="20"/>
          <w:b w:val="1"/>
          <w:bCs w:val="1"/>
          <w:color w:val="0000FF"/>
        </w:rPr>
        <w:t xml:space="preserve"> </w:t>
      </w:r>
      <w:r>
        <w:rPr>
          <w:rFonts w:ascii="Arial" w:cs="Arial" w:eastAsia="Arial" w:hAnsi="Arial"/>
          <w:sz w:val="20"/>
          <w:szCs w:val="20"/>
          <w:color w:val="000000"/>
        </w:rPr>
        <w:t>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50" w:lineRule="exact"/>
        <w:rPr>
          <w:rFonts w:ascii="Arial" w:cs="Arial" w:eastAsia="Arial" w:hAnsi="Arial"/>
          <w:sz w:val="20"/>
          <w:szCs w:val="20"/>
          <w:b w:val="1"/>
          <w:bCs w:val="1"/>
          <w:color w:val="026DCE"/>
        </w:rPr>
      </w:pPr>
    </w:p>
    <w:p>
      <w:pPr>
        <w:jc w:val="both"/>
        <w:ind w:firstLine="1036"/>
        <w:spacing w:after="0" w:line="232" w:lineRule="auto"/>
        <w:tabs>
          <w:tab w:leader="none" w:pos="1625" w:val="left"/>
        </w:tabs>
        <w:numPr>
          <w:ilvl w:val="1"/>
          <w:numId w:val="166"/>
        </w:numPr>
        <w:rPr>
          <w:rFonts w:ascii="Arial" w:cs="Arial" w:eastAsia="Arial" w:hAnsi="Arial"/>
          <w:sz w:val="21"/>
          <w:szCs w:val="21"/>
          <w:b w:val="1"/>
          <w:bCs w:val="1"/>
          <w:color w:val="026DCE"/>
        </w:rPr>
      </w:pPr>
      <w:r>
        <w:rPr>
          <w:rFonts w:ascii="Arial" w:cs="Arial" w:eastAsia="Arial" w:hAnsi="Arial"/>
          <w:sz w:val="21"/>
          <w:szCs w:val="21"/>
          <w:b w:val="1"/>
          <w:bCs w:val="1"/>
          <w:color w:val="FF0000"/>
          <w:strike w:val="1"/>
        </w:rPr>
        <w:t>(e)</w:t>
      </w:r>
      <w:r>
        <w:rPr>
          <w:rFonts w:ascii="Arial" w:cs="Arial" w:eastAsia="Arial" w:hAnsi="Arial"/>
          <w:sz w:val="21"/>
          <w:szCs w:val="21"/>
          <w:b w:val="1"/>
          <w:bCs w:val="1"/>
          <w:color w:val="FF0000"/>
        </w:rPr>
        <w:t xml:space="preserve"> </w:t>
      </w:r>
      <w:r>
        <w:rPr>
          <w:rFonts w:ascii="Arial" w:cs="Arial" w:eastAsia="Arial" w:hAnsi="Arial"/>
          <w:sz w:val="21"/>
          <w:szCs w:val="21"/>
          <w:color w:val="000000"/>
        </w:rPr>
        <w:t>The Administrative Agent will promptly notify the Borrower and the Lenders of (i) any occurrence of a</w:t>
      </w:r>
      <w:r>
        <w:rPr>
          <w:rFonts w:ascii="Arial" w:cs="Arial" w:eastAsia="Arial" w:hAnsi="Arial"/>
          <w:sz w:val="21"/>
          <w:szCs w:val="21"/>
          <w:b w:val="1"/>
          <w:bCs w:val="1"/>
          <w:color w:val="FF0000"/>
        </w:rPr>
        <w:t xml:space="preserve"> </w:t>
      </w:r>
      <w:r>
        <w:rPr>
          <w:rFonts w:ascii="Arial" w:cs="Arial" w:eastAsia="Arial" w:hAnsi="Arial"/>
          <w:sz w:val="21"/>
          <w:szCs w:val="21"/>
          <w:color w:val="000000"/>
        </w:rPr>
        <w:t xml:space="preserve">Benchmark Transition Event, </w:t>
      </w:r>
      <w:r>
        <w:rPr>
          <w:rFonts w:ascii="Arial" w:cs="Arial" w:eastAsia="Arial" w:hAnsi="Arial"/>
          <w:sz w:val="21"/>
          <w:szCs w:val="21"/>
          <w:b w:val="1"/>
          <w:bCs w:val="1"/>
          <w:color w:val="FF0000"/>
          <w:strike w:val="1"/>
        </w:rPr>
        <w:t>a Term SOFR Transition Event, an Early Opt-in Election or an Other Benchmark Rate</w:t>
      </w:r>
      <w:r>
        <w:rPr>
          <w:rFonts w:ascii="Arial" w:cs="Arial" w:eastAsia="Arial" w:hAnsi="Arial"/>
          <w:sz w:val="21"/>
          <w:szCs w:val="21"/>
          <w:color w:val="000000"/>
        </w:rPr>
        <w:t xml:space="preserve"> </w:t>
      </w:r>
      <w:r>
        <w:rPr>
          <w:rFonts w:ascii="Arial" w:cs="Arial" w:eastAsia="Arial" w:hAnsi="Arial"/>
          <w:sz w:val="21"/>
          <w:szCs w:val="21"/>
          <w:b w:val="1"/>
          <w:bCs w:val="1"/>
          <w:color w:val="FF0000"/>
          <w:strike w:val="1"/>
        </w:rPr>
        <w:t>Election, as applicable,</w:t>
      </w:r>
      <w:r>
        <w:rPr>
          <w:rFonts w:ascii="Arial" w:cs="Arial" w:eastAsia="Arial" w:hAnsi="Arial"/>
          <w:sz w:val="21"/>
          <w:szCs w:val="21"/>
          <w:b w:val="1"/>
          <w:bCs w:val="1"/>
          <w:color w:val="FF0000"/>
        </w:rPr>
        <w:t xml:space="preserve"> </w:t>
      </w:r>
      <w:r>
        <w:rPr>
          <w:rFonts w:ascii="Arial" w:cs="Arial" w:eastAsia="Arial" w:hAnsi="Arial"/>
          <w:sz w:val="21"/>
          <w:szCs w:val="21"/>
          <w:color w:val="000000"/>
        </w:rPr>
        <w:t>(ii) the implementation of any Benchmark Replacement, (iii)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6598285</wp:posOffset>
            </wp:positionH>
            <wp:positionV relativeFrom="paragraph">
              <wp:posOffset>-4255135</wp:posOffset>
            </wp:positionV>
            <wp:extent cx="5162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6255" cy="8255"/>
                    </a:xfrm>
                    <a:prstGeom prst="rect">
                      <a:avLst/>
                    </a:prstGeom>
                    <a:noFill/>
                  </pic:spPr>
                </pic:pic>
              </a:graphicData>
            </a:graphic>
          </wp:anchor>
        </w:drawing>
        <w:drawing>
          <wp:anchor simplePos="0" relativeHeight="251657728" behindDoc="1" locked="0" layoutInCell="0" allowOverlap="1">
            <wp:simplePos x="0" y="0"/>
            <wp:positionH relativeFrom="column">
              <wp:posOffset>4853940</wp:posOffset>
            </wp:positionH>
            <wp:positionV relativeFrom="paragraph">
              <wp:posOffset>-3312795</wp:posOffset>
            </wp:positionV>
            <wp:extent cx="812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1280" cy="8255"/>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-1108075</wp:posOffset>
            </wp:positionV>
            <wp:extent cx="9588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58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73</w:t>
      </w:r>
    </w:p>
    <w:p>
      <w:pPr>
        <w:sectPr>
          <w:pgSz w:w="11900" w:h="16838" w:orient="portrait"/>
          <w:cols w:equalWidth="0" w:num="1">
            <w:col w:w="11200"/>
          </w:cols>
          <w:pgMar w:left="320" w:top="1146" w:right="379" w:bottom="1440" w:gutter="0" w:footer="0" w:header="0"/>
        </w:sectPr>
      </w:pPr>
    </w:p>
    <w:bookmarkStart w:id="212" w:name="page213"/>
    <w:bookmarkEnd w:id="212"/>
    <w:p>
      <w:pPr>
        <w:jc w:val="both"/>
        <w:spacing w:after="0" w:line="242" w:lineRule="auto"/>
        <w:rPr>
          <w:sz w:val="20"/>
          <w:szCs w:val="20"/>
          <w:color w:val="auto"/>
        </w:rPr>
      </w:pPr>
      <w:r>
        <w:rPr>
          <w:rFonts w:ascii="Arial" w:cs="Arial" w:eastAsia="Arial" w:hAnsi="Arial"/>
          <w:sz w:val="19"/>
          <w:szCs w:val="19"/>
          <w:color w:val="auto"/>
        </w:rPr>
        <w:t>effectiveness of any Benchmark Replacement Conforming Changes, (iv) the removal or reinstatement of any tenor of a Benchmark pursuant to clause (</w:t>
      </w:r>
      <w:r>
        <w:rPr>
          <w:rFonts w:ascii="Arial" w:cs="Arial" w:eastAsia="Arial" w:hAnsi="Arial"/>
          <w:sz w:val="19"/>
          <w:szCs w:val="19"/>
          <w:b w:val="1"/>
          <w:bCs w:val="1"/>
          <w:color w:val="FF0000"/>
          <w:strike w:val="1"/>
        </w:rPr>
        <w:t>f</w:t>
      </w:r>
      <w:r>
        <w:rPr>
          <w:rFonts w:ascii="Arial" w:cs="Arial" w:eastAsia="Arial" w:hAnsi="Arial"/>
          <w:sz w:val="19"/>
          <w:szCs w:val="19"/>
          <w:b w:val="1"/>
          <w:bCs w:val="1"/>
          <w:u w:val="single" w:color="auto"/>
          <w:color w:val="0000FF"/>
        </w:rPr>
        <w:t>e</w:t>
      </w:r>
      <w:r>
        <w:rPr>
          <w:rFonts w:ascii="Arial" w:cs="Arial" w:eastAsia="Arial" w:hAnsi="Arial"/>
          <w:sz w:val="19"/>
          <w:szCs w:val="19"/>
          <w:color w:val="auto"/>
        </w:rPr>
        <w:t xml:space="preserve"> ) below and (v) the commencement or conclusion of any Benchmark Unavailability Period. Any determination, decision or election that may be made by the Administrative Agent or, if applicable, any Lender (or group of Lenders) pursuant to this Section 2.17,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2.17.</w:t>
      </w:r>
    </w:p>
    <w:p>
      <w:pPr>
        <w:spacing w:after="0" w:line="148" w:lineRule="exact"/>
        <w:rPr>
          <w:sz w:val="20"/>
          <w:szCs w:val="20"/>
          <w:color w:val="auto"/>
        </w:rPr>
      </w:pPr>
    </w:p>
    <w:p>
      <w:pPr>
        <w:jc w:val="both"/>
        <w:ind w:firstLine="1030"/>
        <w:spacing w:after="0" w:line="226" w:lineRule="auto"/>
        <w:rPr>
          <w:sz w:val="20"/>
          <w:szCs w:val="20"/>
          <w:color w:val="auto"/>
        </w:rPr>
      </w:pPr>
      <w:r>
        <w:rPr>
          <w:rFonts w:ascii="Arial" w:cs="Arial" w:eastAsia="Arial" w:hAnsi="Arial"/>
          <w:sz w:val="20"/>
          <w:szCs w:val="20"/>
          <w:b w:val="1"/>
          <w:bCs w:val="1"/>
          <w:color w:val="026DCE"/>
        </w:rPr>
        <w:t>(e)</w:t>
      </w:r>
      <w:r>
        <w:rPr>
          <w:rFonts w:ascii="Arial" w:cs="Arial" w:eastAsia="Arial" w:hAnsi="Arial"/>
          <w:sz w:val="20"/>
          <w:szCs w:val="20"/>
          <w:b w:val="1"/>
          <w:bCs w:val="1"/>
          <w:color w:val="FF0000"/>
          <w:strike w:val="1"/>
        </w:rPr>
        <w:t>(f)</w:t>
      </w:r>
      <w:r>
        <w:rPr>
          <w:rFonts w:ascii="Arial" w:cs="Arial" w:eastAsia="Arial" w:hAnsi="Arial"/>
          <w:sz w:val="20"/>
          <w:szCs w:val="20"/>
          <w:b w:val="1"/>
          <w:bCs w:val="1"/>
          <w:color w:val="026DCE"/>
        </w:rPr>
        <w:t xml:space="preserve"> </w:t>
      </w:r>
      <w:r>
        <w:rPr>
          <w:rFonts w:ascii="Arial" w:cs="Arial" w:eastAsia="Arial" w:hAnsi="Arial"/>
          <w:sz w:val="20"/>
          <w:szCs w:val="20"/>
          <w:color w:val="000000"/>
        </w:rPr>
        <w:t>Notwithstanding anything to the contrary herein or in any other Loan Document, at any time (including in</w:t>
      </w:r>
      <w:r>
        <w:rPr>
          <w:rFonts w:ascii="Arial" w:cs="Arial" w:eastAsia="Arial" w:hAnsi="Arial"/>
          <w:sz w:val="20"/>
          <w:szCs w:val="20"/>
          <w:b w:val="1"/>
          <w:bCs w:val="1"/>
          <w:color w:val="026DCE"/>
        </w:rPr>
        <w:t xml:space="preserve"> </w:t>
      </w:r>
      <w:r>
        <w:rPr>
          <w:rFonts w:ascii="Arial" w:cs="Arial" w:eastAsia="Arial" w:hAnsi="Arial"/>
          <w:sz w:val="20"/>
          <w:szCs w:val="20"/>
          <w:color w:val="000000"/>
        </w:rPr>
        <w:t xml:space="preserve">connection with the implementation of a Benchmark Replacement), (i) if the then-current Benchmark is a term rate (including </w:t>
      </w:r>
      <w:r>
        <w:rPr>
          <w:rFonts w:ascii="Arial" w:cs="Arial" w:eastAsia="Arial" w:hAnsi="Arial"/>
          <w:sz w:val="20"/>
          <w:szCs w:val="20"/>
          <w:b w:val="1"/>
          <w:bCs w:val="1"/>
          <w:u w:val="single" w:color="auto"/>
          <w:color w:val="0000FF"/>
        </w:rPr>
        <w:t>the</w:t>
      </w:r>
      <w:r>
        <w:rPr>
          <w:rFonts w:ascii="Arial" w:cs="Arial" w:eastAsia="Arial" w:hAnsi="Arial"/>
          <w:sz w:val="20"/>
          <w:szCs w:val="20"/>
          <w:color w:val="000000"/>
        </w:rPr>
        <w:t xml:space="preserve"> Term SOFR </w:t>
      </w:r>
      <w:r>
        <w:rPr>
          <w:rFonts w:ascii="Arial" w:cs="Arial" w:eastAsia="Arial" w:hAnsi="Arial"/>
          <w:sz w:val="20"/>
          <w:szCs w:val="20"/>
          <w:b w:val="1"/>
          <w:bCs w:val="1"/>
          <w:color w:val="FF0000"/>
          <w:strike w:val="1"/>
        </w:rPr>
        <w:t>or the LIBO</w:t>
      </w:r>
      <w:r>
        <w:rPr>
          <w:rFonts w:ascii="Arial" w:cs="Arial" w:eastAsia="Arial" w:hAnsi="Arial"/>
          <w:sz w:val="20"/>
          <w:szCs w:val="20"/>
          <w:color w:val="000000"/>
        </w:rPr>
        <w:t xml:space="preserv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w:t>
      </w:r>
      <w:r>
        <w:rPr>
          <w:rFonts w:ascii="Arial" w:cs="Arial" w:eastAsia="Arial" w:hAnsi="Arial"/>
          <w:sz w:val="20"/>
          <w:szCs w:val="20"/>
          <w:b w:val="1"/>
          <w:bCs w:val="1"/>
          <w:u w:val="single" w:color="auto"/>
          <w:color w:val="0000FF"/>
        </w:rPr>
        <w:t>not</w:t>
      </w:r>
      <w:r>
        <w:rPr>
          <w:rFonts w:ascii="Arial" w:cs="Arial" w:eastAsia="Arial" w:hAnsi="Arial"/>
          <w:sz w:val="20"/>
          <w:szCs w:val="20"/>
          <w:color w:val="000000"/>
        </w:rPr>
        <w:t xml:space="preserve">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57" w:lineRule="exact"/>
        <w:rPr>
          <w:sz w:val="20"/>
          <w:szCs w:val="20"/>
          <w:color w:val="auto"/>
        </w:rPr>
      </w:pPr>
    </w:p>
    <w:p>
      <w:pPr>
        <w:jc w:val="both"/>
        <w:ind w:firstLine="1036"/>
        <w:spacing w:after="0" w:line="238" w:lineRule="auto"/>
        <w:tabs>
          <w:tab w:leader="none" w:pos="1588" w:val="left"/>
        </w:tabs>
        <w:numPr>
          <w:ilvl w:val="0"/>
          <w:numId w:val="167"/>
        </w:numPr>
        <w:rPr>
          <w:rFonts w:ascii="Arial" w:cs="Arial" w:eastAsia="Arial" w:hAnsi="Arial"/>
          <w:sz w:val="19"/>
          <w:szCs w:val="19"/>
          <w:b w:val="1"/>
          <w:bCs w:val="1"/>
          <w:color w:val="026DCE"/>
        </w:rPr>
      </w:pPr>
      <w:r>
        <w:rPr>
          <w:rFonts w:ascii="Arial" w:cs="Arial" w:eastAsia="Arial" w:hAnsi="Arial"/>
          <w:sz w:val="19"/>
          <w:szCs w:val="19"/>
          <w:b w:val="1"/>
          <w:bCs w:val="1"/>
          <w:color w:val="FF0000"/>
          <w:strike w:val="1"/>
        </w:rPr>
        <w:t>(g)</w:t>
      </w:r>
      <w:r>
        <w:rPr>
          <w:rFonts w:ascii="Arial" w:cs="Arial" w:eastAsia="Arial" w:hAnsi="Arial"/>
          <w:sz w:val="19"/>
          <w:szCs w:val="19"/>
          <w:b w:val="1"/>
          <w:bCs w:val="1"/>
          <w:color w:val="FF0000"/>
        </w:rPr>
        <w:t xml:space="preserve"> </w:t>
      </w:r>
      <w:r>
        <w:rPr>
          <w:rFonts w:ascii="Arial" w:cs="Arial" w:eastAsia="Arial" w:hAnsi="Arial"/>
          <w:sz w:val="19"/>
          <w:szCs w:val="19"/>
          <w:color w:val="000000"/>
        </w:rPr>
        <w:t>Upon the Borrower’s receipt of notice of the commencement of a Benchmark Unavailability Period, the</w:t>
      </w:r>
      <w:r>
        <w:rPr>
          <w:rFonts w:ascii="Arial" w:cs="Arial" w:eastAsia="Arial" w:hAnsi="Arial"/>
          <w:sz w:val="19"/>
          <w:szCs w:val="19"/>
          <w:b w:val="1"/>
          <w:bCs w:val="1"/>
          <w:color w:val="FF0000"/>
        </w:rPr>
        <w:t xml:space="preserve"> </w:t>
      </w:r>
      <w:r>
        <w:rPr>
          <w:rFonts w:ascii="Arial" w:cs="Arial" w:eastAsia="Arial" w:hAnsi="Arial"/>
          <w:sz w:val="19"/>
          <w:szCs w:val="19"/>
          <w:color w:val="000000"/>
        </w:rPr>
        <w:t xml:space="preserve">Borrower may revoke any request for a </w:t>
      </w:r>
      <w:r>
        <w:rPr>
          <w:rFonts w:ascii="Arial" w:cs="Arial" w:eastAsia="Arial" w:hAnsi="Arial"/>
          <w:sz w:val="19"/>
          <w:szCs w:val="19"/>
          <w:b w:val="1"/>
          <w:bCs w:val="1"/>
          <w:color w:val="FF0000"/>
          <w:strike w:val="1"/>
        </w:rPr>
        <w:t>Eurocurrency Rate</w:t>
      </w:r>
      <w:r>
        <w:rPr>
          <w:rFonts w:ascii="Arial" w:cs="Arial" w:eastAsia="Arial" w:hAnsi="Arial"/>
          <w:sz w:val="19"/>
          <w:szCs w:val="19"/>
          <w:b w:val="1"/>
          <w:bCs w:val="1"/>
          <w:u w:val="single" w:color="auto"/>
          <w:color w:val="0000FF"/>
        </w:rPr>
        <w:t>Term Benchmark</w:t>
      </w:r>
      <w:r>
        <w:rPr>
          <w:rFonts w:ascii="Arial" w:cs="Arial" w:eastAsia="Arial" w:hAnsi="Arial"/>
          <w:sz w:val="19"/>
          <w:szCs w:val="19"/>
          <w:color w:val="000000"/>
        </w:rPr>
        <w:t xml:space="preserve"> Borrowing </w:t>
      </w:r>
      <w:r>
        <w:rPr>
          <w:rFonts w:ascii="Arial" w:cs="Arial" w:eastAsia="Arial" w:hAnsi="Arial"/>
          <w:sz w:val="19"/>
          <w:szCs w:val="19"/>
          <w:b w:val="1"/>
          <w:bCs w:val="1"/>
          <w:color w:val="FF0000"/>
          <w:strike w:val="1"/>
        </w:rPr>
        <w:t>of,</w:t>
      </w:r>
      <w:r>
        <w:rPr>
          <w:rFonts w:ascii="Arial" w:cs="Arial" w:eastAsia="Arial" w:hAnsi="Arial"/>
          <w:sz w:val="19"/>
          <w:szCs w:val="19"/>
          <w:b w:val="1"/>
          <w:bCs w:val="1"/>
          <w:u w:val="single" w:color="auto"/>
          <w:color w:val="0000FF"/>
        </w:rPr>
        <w:t>or a</w:t>
      </w:r>
      <w:r>
        <w:rPr>
          <w:rFonts w:ascii="Arial" w:cs="Arial" w:eastAsia="Arial" w:hAnsi="Arial"/>
          <w:sz w:val="19"/>
          <w:szCs w:val="19"/>
          <w:color w:val="000000"/>
        </w:rPr>
        <w:t xml:space="preserve"> conversion to or continuation of </w:t>
      </w:r>
      <w:r>
        <w:rPr>
          <w:rFonts w:ascii="Arial" w:cs="Arial" w:eastAsia="Arial" w:hAnsi="Arial"/>
          <w:sz w:val="19"/>
          <w:szCs w:val="19"/>
          <w:b w:val="1"/>
          <w:bCs w:val="1"/>
          <w:color w:val="FF0000"/>
          <w:strike w:val="1"/>
        </w:rPr>
        <w:t>Eurocurrency Rate</w:t>
      </w:r>
      <w:r>
        <w:rPr>
          <w:rFonts w:ascii="Arial" w:cs="Arial" w:eastAsia="Arial" w:hAnsi="Arial"/>
          <w:sz w:val="19"/>
          <w:szCs w:val="19"/>
          <w:b w:val="1"/>
          <w:bCs w:val="1"/>
          <w:u w:val="single" w:color="auto"/>
          <w:color w:val="0000FF"/>
        </w:rPr>
        <w:t>Term Benchmark</w:t>
      </w:r>
      <w:r>
        <w:rPr>
          <w:rFonts w:ascii="Arial" w:cs="Arial" w:eastAsia="Arial" w:hAnsi="Arial"/>
          <w:sz w:val="19"/>
          <w:szCs w:val="19"/>
          <w:b w:val="1"/>
          <w:bCs w:val="1"/>
          <w:color w:val="FF0000"/>
        </w:rPr>
        <w:t xml:space="preserve"> </w:t>
      </w:r>
      <w:r>
        <w:rPr>
          <w:rFonts w:ascii="Arial" w:cs="Arial" w:eastAsia="Arial" w:hAnsi="Arial"/>
          <w:sz w:val="19"/>
          <w:szCs w:val="19"/>
          <w:color w:val="000000"/>
        </w:rPr>
        <w:t>Loans to be made, converted or continued during any Benchmark Unavailability Period</w:t>
      </w:r>
      <w:r>
        <w:rPr>
          <w:rFonts w:ascii="Arial" w:cs="Arial" w:eastAsia="Arial" w:hAnsi="Arial"/>
          <w:sz w:val="19"/>
          <w:szCs w:val="19"/>
          <w:b w:val="1"/>
          <w:bCs w:val="1"/>
          <w:color w:val="FF0000"/>
        </w:rPr>
        <w:t xml:space="preserve"> </w:t>
      </w:r>
      <w:r>
        <w:rPr>
          <w:rFonts w:ascii="Arial" w:cs="Arial" w:eastAsia="Arial" w:hAnsi="Arial"/>
          <w:sz w:val="19"/>
          <w:szCs w:val="19"/>
          <w:color w:val="000000"/>
        </w:rPr>
        <w:t xml:space="preserve">and, failing that, the Borrower will be deemed to have converted any </w:t>
      </w:r>
      <w:r>
        <w:rPr>
          <w:rFonts w:ascii="Arial" w:cs="Arial" w:eastAsia="Arial" w:hAnsi="Arial"/>
          <w:sz w:val="19"/>
          <w:szCs w:val="19"/>
          <w:b w:val="1"/>
          <w:bCs w:val="1"/>
          <w:color w:val="FF0000"/>
          <w:strike w:val="1"/>
        </w:rPr>
        <w:t>such</w:t>
      </w:r>
      <w:r>
        <w:rPr>
          <w:rFonts w:ascii="Arial" w:cs="Arial" w:eastAsia="Arial" w:hAnsi="Arial"/>
          <w:sz w:val="19"/>
          <w:szCs w:val="19"/>
          <w:color w:val="000000"/>
        </w:rPr>
        <w:t xml:space="preserve"> request </w:t>
      </w:r>
      <w:r>
        <w:rPr>
          <w:rFonts w:ascii="Arial" w:cs="Arial" w:eastAsia="Arial" w:hAnsi="Arial"/>
          <w:sz w:val="19"/>
          <w:szCs w:val="19"/>
          <w:b w:val="1"/>
          <w:bCs w:val="1"/>
          <w:u w:val="single" w:color="auto"/>
          <w:color w:val="0000FF"/>
        </w:rPr>
        <w:t>for a Term Benchmark Borrowing</w:t>
      </w:r>
      <w:r>
        <w:rPr>
          <w:rFonts w:ascii="Arial" w:cs="Arial" w:eastAsia="Arial" w:hAnsi="Arial"/>
          <w:sz w:val="19"/>
          <w:szCs w:val="19"/>
          <w:color w:val="000000"/>
        </w:rPr>
        <w:t xml:space="preserve"> into a request for a Borrowing of or conversion to </w:t>
      </w:r>
      <w:r>
        <w:rPr>
          <w:rFonts w:ascii="Arial" w:cs="Arial" w:eastAsia="Arial" w:hAnsi="Arial"/>
          <w:sz w:val="19"/>
          <w:szCs w:val="19"/>
          <w:b w:val="1"/>
          <w:bCs w:val="1"/>
          <w:color w:val="FF0000"/>
          <w:strike w:val="1"/>
        </w:rPr>
        <w:t>Base Rate Loans</w:t>
      </w:r>
      <w:r>
        <w:rPr>
          <w:rFonts w:ascii="Arial" w:cs="Arial" w:eastAsia="Arial" w:hAnsi="Arial"/>
          <w:sz w:val="19"/>
          <w:szCs w:val="19"/>
          <w:b w:val="1"/>
          <w:bCs w:val="1"/>
          <w:u w:val="single" w:color="auto"/>
          <w:color w:val="0000FF"/>
        </w:rPr>
        <w:t>(A) an RFR Borrowing so long as the Adjusted Daily Simple</w:t>
      </w:r>
    </w:p>
    <w:p>
      <w:pPr>
        <w:jc w:val="both"/>
        <w:spacing w:after="0" w:line="232" w:lineRule="auto"/>
        <w:rPr>
          <w:rFonts w:ascii="Arial" w:cs="Arial" w:eastAsia="Arial" w:hAnsi="Arial"/>
          <w:sz w:val="19"/>
          <w:szCs w:val="19"/>
          <w:b w:val="1"/>
          <w:bCs w:val="1"/>
          <w:color w:val="026DCE"/>
        </w:rPr>
      </w:pPr>
      <w:r>
        <w:rPr>
          <w:rFonts w:ascii="Arial" w:cs="Arial" w:eastAsia="Arial" w:hAnsi="Arial"/>
          <w:sz w:val="19"/>
          <w:szCs w:val="19"/>
          <w:b w:val="1"/>
          <w:bCs w:val="1"/>
          <w:u w:val="single" w:color="auto"/>
          <w:color w:val="0000FF"/>
        </w:rPr>
        <w:t>SOFR is not the subject of a Benchmark Transition Event or (B) a Base Rate Borrowing if the Adjusted Daily Simple SOFR is the subject of a Benchmark Transition Event</w:t>
      </w:r>
      <w:r>
        <w:rPr>
          <w:rFonts w:ascii="Arial" w:cs="Arial" w:eastAsia="Arial" w:hAnsi="Arial"/>
          <w:sz w:val="19"/>
          <w:szCs w:val="19"/>
          <w:color w:val="000000"/>
        </w:rPr>
        <w:t>. During any Benchmark Unavailability Period or at any time that a tenor for the</w:t>
      </w:r>
      <w:r>
        <w:rPr>
          <w:rFonts w:ascii="Arial" w:cs="Arial" w:eastAsia="Arial" w:hAnsi="Arial"/>
          <w:sz w:val="19"/>
          <w:szCs w:val="19"/>
          <w:b w:val="1"/>
          <w:bCs w:val="1"/>
          <w:color w:val="0000FF"/>
        </w:rPr>
        <w:t xml:space="preserve"> </w:t>
      </w:r>
      <w:r>
        <w:rPr>
          <w:rFonts w:ascii="Arial" w:cs="Arial" w:eastAsia="Arial" w:hAnsi="Arial"/>
          <w:sz w:val="19"/>
          <w:szCs w:val="19"/>
          <w:color w:val="000000"/>
        </w:rPr>
        <w:t xml:space="preserve">then-current Benchmark is not an Available Tenor, the component of </w:t>
      </w:r>
      <w:r>
        <w:rPr>
          <w:rFonts w:ascii="Arial" w:cs="Arial" w:eastAsia="Arial" w:hAnsi="Arial"/>
          <w:sz w:val="19"/>
          <w:szCs w:val="19"/>
          <w:b w:val="1"/>
          <w:bCs w:val="1"/>
          <w:u w:val="single" w:color="auto"/>
          <w:color w:val="0000FF"/>
        </w:rPr>
        <w:t>the</w:t>
      </w:r>
      <w:r>
        <w:rPr>
          <w:rFonts w:ascii="Arial" w:cs="Arial" w:eastAsia="Arial" w:hAnsi="Arial"/>
          <w:sz w:val="19"/>
          <w:szCs w:val="19"/>
          <w:color w:val="000000"/>
        </w:rPr>
        <w:t xml:space="preserve"> Base Rate based upon the then-current Benchmark or such tenor for such Benchmark, as applicable, will not be used in any determination of </w:t>
      </w:r>
      <w:r>
        <w:rPr>
          <w:rFonts w:ascii="Arial" w:cs="Arial" w:eastAsia="Arial" w:hAnsi="Arial"/>
          <w:sz w:val="19"/>
          <w:szCs w:val="19"/>
          <w:b w:val="1"/>
          <w:bCs w:val="1"/>
          <w:u w:val="single" w:color="auto"/>
          <w:color w:val="0000FF"/>
        </w:rPr>
        <w:t>the</w:t>
      </w:r>
      <w:r>
        <w:rPr>
          <w:rFonts w:ascii="Arial" w:cs="Arial" w:eastAsia="Arial" w:hAnsi="Arial"/>
          <w:sz w:val="19"/>
          <w:szCs w:val="19"/>
          <w:color w:val="000000"/>
        </w:rPr>
        <w:t xml:space="preserve"> Base Rate. </w:t>
      </w:r>
      <w:r>
        <w:rPr>
          <w:rFonts w:ascii="Arial" w:cs="Arial" w:eastAsia="Arial" w:hAnsi="Arial"/>
          <w:sz w:val="19"/>
          <w:szCs w:val="19"/>
          <w:b w:val="1"/>
          <w:bCs w:val="1"/>
          <w:u w:val="single" w:color="auto"/>
          <w:color w:val="0000FF"/>
        </w:rPr>
        <w:t>Furthermore, if any Term</w:t>
      </w:r>
    </w:p>
    <w:p>
      <w:pPr>
        <w:spacing w:after="0" w:line="3" w:lineRule="exact"/>
        <w:rPr>
          <w:rFonts w:ascii="Arial" w:cs="Arial" w:eastAsia="Arial" w:hAnsi="Arial"/>
          <w:sz w:val="19"/>
          <w:szCs w:val="19"/>
          <w:b w:val="1"/>
          <w:bCs w:val="1"/>
          <w:color w:val="026DCE"/>
        </w:rPr>
      </w:pPr>
    </w:p>
    <w:p>
      <w:pPr>
        <w:jc w:val="both"/>
        <w:spacing w:after="0" w:line="216" w:lineRule="auto"/>
        <w:rPr>
          <w:rFonts w:ascii="Arial" w:cs="Arial" w:eastAsia="Arial" w:hAnsi="Arial"/>
          <w:sz w:val="19"/>
          <w:szCs w:val="19"/>
          <w:b w:val="1"/>
          <w:bCs w:val="1"/>
          <w:color w:val="026DCE"/>
        </w:rPr>
      </w:pPr>
      <w:r>
        <w:rPr>
          <w:rFonts w:ascii="Arial" w:cs="Arial" w:eastAsia="Arial" w:hAnsi="Arial"/>
          <w:sz w:val="21"/>
          <w:szCs w:val="21"/>
          <w:b w:val="1"/>
          <w:bCs w:val="1"/>
          <w:u w:val="single" w:color="auto"/>
          <w:color w:val="0000FF"/>
        </w:rPr>
        <w:t>Benchmark Loan or RFR Loan is outstanding on the date of the Borrower’s receipt of notice of the commencement of a Benchmark Unavailability Period with respect to a Relevant Rate applicable to such Term Benchmark Loan or RFR Loan, then until such time as a Benchmark Replacement is implemented pursuant to this Section 2.17, (1) any Term Benchmark Loan shall on the last day of the Interest Period applicable to such Loan, be converted by the Administrative Agent to, and shall constitute, (x) an RFR Borrowing so long as the Adjusted Daily Simple SOFR is not the subject of a Benchmark Transition Event or (y) a Base Rate Loan if the Adjusted Daily Simple SOFR is the subject of a Benchmark Transition Event, on such day and (2) any RFR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74</w:t>
      </w:r>
    </w:p>
    <w:p>
      <w:pPr>
        <w:sectPr>
          <w:pgSz w:w="11900" w:h="16838" w:orient="portrait"/>
          <w:cols w:equalWidth="0" w:num="1">
            <w:col w:w="11200"/>
          </w:cols>
          <w:pgMar w:left="320" w:top="1152" w:right="379" w:bottom="1440" w:gutter="0" w:footer="0" w:header="0"/>
        </w:sectPr>
      </w:pPr>
    </w:p>
    <w:bookmarkStart w:id="213" w:name="page214"/>
    <w:bookmarkEnd w:id="213"/>
    <w:p>
      <w:pPr>
        <w:spacing w:after="0"/>
        <w:rPr>
          <w:sz w:val="20"/>
          <w:szCs w:val="20"/>
          <w:color w:val="auto"/>
        </w:rPr>
      </w:pPr>
      <w:r>
        <w:rPr>
          <w:rFonts w:ascii="Arial" w:cs="Arial" w:eastAsia="Arial" w:hAnsi="Arial"/>
          <w:sz w:val="20"/>
          <w:szCs w:val="20"/>
          <w:b w:val="1"/>
          <w:bCs w:val="1"/>
          <w:u w:val="single" w:color="auto"/>
          <w:color w:val="0000FF"/>
        </w:rPr>
        <w:t>Loan shall on and from such day be converted by the Administrative Agent to, and shall constitute a Base Rate Loan.</w:t>
      </w:r>
    </w:p>
    <w:p>
      <w:pPr>
        <w:spacing w:after="0" w:line="194" w:lineRule="exact"/>
        <w:rPr>
          <w:sz w:val="20"/>
          <w:szCs w:val="20"/>
          <w:color w:val="auto"/>
        </w:rPr>
      </w:pPr>
    </w:p>
    <w:p>
      <w:pPr>
        <w:ind w:left="1500" w:hanging="464"/>
        <w:spacing w:after="0"/>
        <w:tabs>
          <w:tab w:leader="none" w:pos="1500" w:val="left"/>
        </w:tabs>
        <w:numPr>
          <w:ilvl w:val="0"/>
          <w:numId w:val="168"/>
        </w:numPr>
        <w:rPr>
          <w:rFonts w:ascii="Arial" w:cs="Arial" w:eastAsia="Arial" w:hAnsi="Arial"/>
          <w:sz w:val="21"/>
          <w:szCs w:val="21"/>
          <w:b w:val="1"/>
          <w:bCs w:val="1"/>
          <w:color w:val="026DCE"/>
        </w:rPr>
      </w:pPr>
      <w:r>
        <w:rPr>
          <w:rFonts w:ascii="Arial" w:cs="Arial" w:eastAsia="Arial" w:hAnsi="Arial"/>
          <w:sz w:val="21"/>
          <w:szCs w:val="21"/>
          <w:b w:val="1"/>
          <w:bCs w:val="1"/>
          <w:color w:val="FF0000"/>
          <w:strike w:val="1"/>
        </w:rPr>
        <w:t>(h)</w:t>
      </w:r>
      <w:r>
        <w:rPr>
          <w:rFonts w:ascii="Arial" w:cs="Arial" w:eastAsia="Arial" w:hAnsi="Arial"/>
          <w:sz w:val="21"/>
          <w:szCs w:val="21"/>
          <w:b w:val="1"/>
          <w:bCs w:val="1"/>
          <w:color w:val="FF0000"/>
        </w:rPr>
        <w:t xml:space="preserve"> </w:t>
      </w:r>
      <w:r>
        <w:rPr>
          <w:rFonts w:ascii="Arial" w:cs="Arial" w:eastAsia="Arial" w:hAnsi="Arial"/>
          <w:sz w:val="21"/>
          <w:szCs w:val="21"/>
          <w:color w:val="000000"/>
        </w:rPr>
        <w:t>As used in this</w:t>
      </w:r>
      <w:r>
        <w:rPr>
          <w:rFonts w:ascii="Arial" w:cs="Arial" w:eastAsia="Arial" w:hAnsi="Arial"/>
          <w:sz w:val="21"/>
          <w:szCs w:val="21"/>
          <w:b w:val="1"/>
          <w:bCs w:val="1"/>
          <w:color w:val="FF0000"/>
        </w:rPr>
        <w:t xml:space="preserve"> </w:t>
      </w:r>
      <w:r>
        <w:rPr>
          <w:rFonts w:ascii="Arial" w:cs="Arial" w:eastAsia="Arial" w:hAnsi="Arial"/>
          <w:sz w:val="21"/>
          <w:szCs w:val="21"/>
          <w:u w:val="single" w:color="auto"/>
          <w:color w:val="000000"/>
        </w:rPr>
        <w:t>Section 2.17</w:t>
      </w:r>
      <w:r>
        <w:rPr>
          <w:rFonts w:ascii="Arial" w:cs="Arial" w:eastAsia="Arial" w:hAnsi="Arial"/>
          <w:sz w:val="21"/>
          <w:szCs w:val="21"/>
          <w:color w:val="000000"/>
        </w:rPr>
        <w:t>:</w:t>
      </w:r>
    </w:p>
    <w:p>
      <w:pPr>
        <w:spacing w:after="0" w:line="189" w:lineRule="exact"/>
        <w:rPr>
          <w:sz w:val="20"/>
          <w:szCs w:val="20"/>
          <w:color w:val="auto"/>
        </w:rPr>
      </w:pPr>
    </w:p>
    <w:p>
      <w:pPr>
        <w:jc w:val="both"/>
        <w:ind w:firstLine="636"/>
        <w:spacing w:after="0" w:line="22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Available Tenor</w:t>
      </w:r>
      <w:r>
        <w:rPr>
          <w:rFonts w:ascii="Arial" w:cs="Arial" w:eastAsia="Arial" w:hAnsi="Arial"/>
          <w:sz w:val="21"/>
          <w:szCs w:val="21"/>
          <w:color w:val="auto"/>
        </w:rPr>
        <w:t>”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w:t>
      </w:r>
      <w:r>
        <w:rPr>
          <w:rFonts w:ascii="Arial" w:cs="Arial" w:eastAsia="Arial" w:hAnsi="Arial"/>
          <w:sz w:val="21"/>
          <w:szCs w:val="21"/>
          <w:b w:val="1"/>
          <w:bCs w:val="1"/>
          <w:color w:val="FF0000"/>
          <w:strike w:val="1"/>
        </w:rPr>
        <w:t>f</w:t>
      </w:r>
      <w:r>
        <w:rPr>
          <w:rFonts w:ascii="Arial" w:cs="Arial" w:eastAsia="Arial" w:hAnsi="Arial"/>
          <w:sz w:val="21"/>
          <w:szCs w:val="21"/>
          <w:b w:val="1"/>
          <w:bCs w:val="1"/>
          <w:u w:val="single" w:color="auto"/>
          <w:color w:val="0000FF"/>
        </w:rPr>
        <w:t>e</w:t>
      </w:r>
      <w:r>
        <w:rPr>
          <w:rFonts w:ascii="Arial" w:cs="Arial" w:eastAsia="Arial" w:hAnsi="Arial"/>
          <w:sz w:val="21"/>
          <w:szCs w:val="21"/>
          <w:color w:val="auto"/>
        </w:rPr>
        <w:t>) of Section 2.17.</w:t>
      </w:r>
    </w:p>
    <w:p>
      <w:pPr>
        <w:spacing w:after="0" w:line="150" w:lineRule="exact"/>
        <w:rPr>
          <w:sz w:val="20"/>
          <w:szCs w:val="20"/>
          <w:color w:val="auto"/>
        </w:rPr>
      </w:pPr>
    </w:p>
    <w:p>
      <w:pPr>
        <w:jc w:val="both"/>
        <w:ind w:firstLine="636"/>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w:t>
      </w:r>
      <w:r>
        <w:rPr>
          <w:rFonts w:ascii="Arial" w:cs="Arial" w:eastAsia="Arial" w:hAnsi="Arial"/>
          <w:sz w:val="20"/>
          <w:szCs w:val="20"/>
          <w:color w:val="auto"/>
        </w:rPr>
        <w:t xml:space="preserve">” means, initially, </w:t>
      </w:r>
      <w:r>
        <w:rPr>
          <w:rFonts w:ascii="Arial" w:cs="Arial" w:eastAsia="Arial" w:hAnsi="Arial"/>
          <w:sz w:val="20"/>
          <w:szCs w:val="20"/>
          <w:b w:val="1"/>
          <w:bCs w:val="1"/>
          <w:color w:val="FF0000"/>
          <w:strike w:val="1"/>
        </w:rPr>
        <w:t>the LIBO</w:t>
      </w:r>
      <w:r>
        <w:rPr>
          <w:rFonts w:ascii="Arial" w:cs="Arial" w:eastAsia="Arial" w:hAnsi="Arial"/>
          <w:sz w:val="20"/>
          <w:szCs w:val="20"/>
          <w:b w:val="1"/>
          <w:bCs w:val="1"/>
          <w:u w:val="single" w:color="auto"/>
          <w:color w:val="0000FF"/>
        </w:rPr>
        <w:t>with respect to any (i) RFR Loan, the Daily Simple SOFR or (ii) Term</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0000FF"/>
        </w:rPr>
        <w:t>Benchmark Loan, the Term SOFR</w:t>
      </w:r>
      <w:r>
        <w:rPr>
          <w:rFonts w:ascii="Arial" w:cs="Arial" w:eastAsia="Arial" w:hAnsi="Arial"/>
          <w:sz w:val="20"/>
          <w:szCs w:val="20"/>
          <w:b w:val="1"/>
          <w:bCs w:val="1"/>
          <w:color w:val="0000FF"/>
        </w:rPr>
        <w:t xml:space="preserve"> </w:t>
      </w:r>
      <w:r>
        <w:rPr>
          <w:rFonts w:ascii="Arial" w:cs="Arial" w:eastAsia="Arial" w:hAnsi="Arial"/>
          <w:sz w:val="20"/>
          <w:szCs w:val="20"/>
          <w:color w:val="000000"/>
        </w:rPr>
        <w:t>Rate;</w:t>
      </w:r>
      <w:r>
        <w:rPr>
          <w:rFonts w:ascii="Arial" w:cs="Arial" w:eastAsia="Arial" w:hAnsi="Arial"/>
          <w:sz w:val="20"/>
          <w:szCs w:val="20"/>
          <w:b w:val="1"/>
          <w:bCs w:val="1"/>
          <w:color w:val="0000FF"/>
        </w:rPr>
        <w:t xml:space="preserve"> </w:t>
      </w:r>
      <w:r>
        <w:rPr>
          <w:rFonts w:ascii="Arial" w:cs="Arial" w:eastAsia="Arial" w:hAnsi="Arial"/>
          <w:sz w:val="20"/>
          <w:szCs w:val="20"/>
          <w:u w:val="single" w:color="auto"/>
          <w:color w:val="000000"/>
        </w:rPr>
        <w:t>provided</w:t>
      </w:r>
      <w:r>
        <w:rPr>
          <w:rFonts w:ascii="Arial" w:cs="Arial" w:eastAsia="Arial" w:hAnsi="Arial"/>
          <w:sz w:val="20"/>
          <w:szCs w:val="20"/>
          <w:b w:val="1"/>
          <w:bCs w:val="1"/>
          <w:color w:val="0000FF"/>
        </w:rPr>
        <w:t xml:space="preserve"> </w:t>
      </w:r>
      <w:r>
        <w:rPr>
          <w:rFonts w:ascii="Arial" w:cs="Arial" w:eastAsia="Arial" w:hAnsi="Arial"/>
          <w:sz w:val="20"/>
          <w:szCs w:val="20"/>
          <w:color w:val="000000"/>
        </w:rPr>
        <w:t>that if a Benchmark Transition Event</w:t>
      </w:r>
      <w:r>
        <w:rPr>
          <w:rFonts w:ascii="Arial" w:cs="Arial" w:eastAsia="Arial" w:hAnsi="Arial"/>
          <w:sz w:val="20"/>
          <w:szCs w:val="20"/>
          <w:b w:val="1"/>
          <w:bCs w:val="1"/>
          <w:color w:val="FF0000"/>
          <w:strike w:val="1"/>
        </w:rPr>
        <w:t>, a Term SOFR Transition Event, an</w:t>
      </w:r>
      <w:r>
        <w:rPr>
          <w:rFonts w:ascii="Arial" w:cs="Arial" w:eastAsia="Arial" w:hAnsi="Arial"/>
          <w:sz w:val="20"/>
          <w:szCs w:val="20"/>
          <w:b w:val="1"/>
          <w:bCs w:val="1"/>
          <w:color w:val="0000FF"/>
        </w:rPr>
        <w:t xml:space="preserve"> </w:t>
      </w:r>
      <w:r>
        <w:rPr>
          <w:rFonts w:ascii="Arial" w:cs="Arial" w:eastAsia="Arial" w:hAnsi="Arial"/>
          <w:sz w:val="20"/>
          <w:szCs w:val="20"/>
          <w:b w:val="1"/>
          <w:bCs w:val="1"/>
          <w:color w:val="FF0000"/>
          <w:strike w:val="1"/>
        </w:rPr>
        <w:t>Early Opt-in Election or an Other Benchmark Rate Election, as applicable, and its</w:t>
      </w:r>
      <w:r>
        <w:rPr>
          <w:rFonts w:ascii="Arial" w:cs="Arial" w:eastAsia="Arial" w:hAnsi="Arial"/>
          <w:sz w:val="20"/>
          <w:szCs w:val="20"/>
          <w:b w:val="1"/>
          <w:bCs w:val="1"/>
          <w:color w:val="FF0000"/>
        </w:rPr>
        <w:t xml:space="preserve"> </w:t>
      </w:r>
      <w:r>
        <w:rPr>
          <w:rFonts w:ascii="Arial" w:cs="Arial" w:eastAsia="Arial" w:hAnsi="Arial"/>
          <w:sz w:val="20"/>
          <w:szCs w:val="20"/>
          <w:b w:val="1"/>
          <w:bCs w:val="1"/>
          <w:u w:val="single" w:color="auto"/>
          <w:color w:val="0000FF"/>
        </w:rPr>
        <w:t>and the</w:t>
      </w:r>
      <w:r>
        <w:rPr>
          <w:rFonts w:ascii="Arial" w:cs="Arial" w:eastAsia="Arial" w:hAnsi="Arial"/>
          <w:sz w:val="20"/>
          <w:szCs w:val="20"/>
          <w:b w:val="1"/>
          <w:bCs w:val="1"/>
          <w:color w:val="FF0000"/>
        </w:rPr>
        <w:t xml:space="preserve"> </w:t>
      </w:r>
      <w:r>
        <w:rPr>
          <w:rFonts w:ascii="Arial" w:cs="Arial" w:eastAsia="Arial" w:hAnsi="Arial"/>
          <w:sz w:val="20"/>
          <w:szCs w:val="20"/>
          <w:color w:val="000000"/>
        </w:rPr>
        <w:t>related Benchmark Replacement</w:t>
      </w:r>
      <w:r>
        <w:rPr>
          <w:rFonts w:ascii="Arial" w:cs="Arial" w:eastAsia="Arial" w:hAnsi="Arial"/>
          <w:sz w:val="20"/>
          <w:szCs w:val="20"/>
          <w:b w:val="1"/>
          <w:bCs w:val="1"/>
          <w:color w:val="FF0000"/>
        </w:rPr>
        <w:t xml:space="preserve"> </w:t>
      </w:r>
      <w:r>
        <w:rPr>
          <w:rFonts w:ascii="Arial" w:cs="Arial" w:eastAsia="Arial" w:hAnsi="Arial"/>
          <w:sz w:val="20"/>
          <w:szCs w:val="20"/>
          <w:color w:val="000000"/>
        </w:rPr>
        <w:t xml:space="preserve">Date have occurred with respect to the </w:t>
      </w:r>
      <w:r>
        <w:rPr>
          <w:rFonts w:ascii="Arial" w:cs="Arial" w:eastAsia="Arial" w:hAnsi="Arial"/>
          <w:sz w:val="20"/>
          <w:szCs w:val="20"/>
          <w:b w:val="1"/>
          <w:bCs w:val="1"/>
          <w:color w:val="FF0000"/>
          <w:strike w:val="1"/>
        </w:rPr>
        <w:t>LIBO</w:t>
      </w:r>
      <w:r>
        <w:rPr>
          <w:rFonts w:ascii="Arial" w:cs="Arial" w:eastAsia="Arial" w:hAnsi="Arial"/>
          <w:sz w:val="20"/>
          <w:szCs w:val="20"/>
          <w:b w:val="1"/>
          <w:bCs w:val="1"/>
          <w:u w:val="single" w:color="auto"/>
          <w:color w:val="0000FF"/>
        </w:rPr>
        <w:t>Daily Simple SOFR or Term SOFR</w:t>
      </w:r>
      <w:r>
        <w:rPr>
          <w:rFonts w:ascii="Arial" w:cs="Arial" w:eastAsia="Arial" w:hAnsi="Arial"/>
          <w:sz w:val="20"/>
          <w:szCs w:val="20"/>
          <w:color w:val="000000"/>
        </w:rPr>
        <w:t xml:space="preserve"> Rate</w:t>
      </w:r>
      <w:r>
        <w:rPr>
          <w:rFonts w:ascii="Arial" w:cs="Arial" w:eastAsia="Arial" w:hAnsi="Arial"/>
          <w:sz w:val="20"/>
          <w:szCs w:val="20"/>
          <w:b w:val="1"/>
          <w:bCs w:val="1"/>
          <w:u w:val="single" w:color="auto"/>
          <w:color w:val="0000FF"/>
        </w:rPr>
        <w:t>, as applicable,</w:t>
      </w:r>
      <w:r>
        <w:rPr>
          <w:rFonts w:ascii="Arial" w:cs="Arial" w:eastAsia="Arial" w:hAnsi="Arial"/>
          <w:sz w:val="20"/>
          <w:szCs w:val="20"/>
          <w:color w:val="000000"/>
        </w:rPr>
        <w:t xml:space="preserve"> or the then-current Benchmark, then “Benchmark” means the applicable Benchmark Replacement to the extent that such Benchmark Replacement has replaced such prior benchmark rate pursuant to clause (b) </w:t>
      </w:r>
      <w:r>
        <w:rPr>
          <w:rFonts w:ascii="Arial" w:cs="Arial" w:eastAsia="Arial" w:hAnsi="Arial"/>
          <w:sz w:val="20"/>
          <w:szCs w:val="20"/>
          <w:b w:val="1"/>
          <w:bCs w:val="1"/>
          <w:color w:val="FF0000"/>
          <w:strike w:val="1"/>
        </w:rPr>
        <w:t>or clause (c)</w:t>
      </w:r>
      <w:r>
        <w:rPr>
          <w:rFonts w:ascii="Arial" w:cs="Arial" w:eastAsia="Arial" w:hAnsi="Arial"/>
          <w:sz w:val="20"/>
          <w:szCs w:val="20"/>
          <w:color w:val="000000"/>
        </w:rPr>
        <w:t xml:space="preserve"> of Section 2.17.</w:t>
      </w:r>
    </w:p>
    <w:p>
      <w:pPr>
        <w:spacing w:after="0" w:line="156"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Replacement</w:t>
      </w:r>
      <w:r>
        <w:rPr>
          <w:rFonts w:ascii="Arial" w:cs="Arial" w:eastAsia="Arial" w:hAnsi="Arial"/>
          <w:sz w:val="20"/>
          <w:szCs w:val="20"/>
          <w:color w:val="auto"/>
        </w:rPr>
        <w:t>” means, for any Available Tenor, the first alternative set forth in the order below that can be determined by the Administrative Agent for the applicable Benchmark Replacement Date</w:t>
      </w:r>
      <w:r>
        <w:rPr>
          <w:rFonts w:ascii="Arial" w:cs="Arial" w:eastAsia="Arial" w:hAnsi="Arial"/>
          <w:sz w:val="20"/>
          <w:szCs w:val="20"/>
          <w:b w:val="1"/>
          <w:bCs w:val="1"/>
          <w:color w:val="FF0000"/>
          <w:strike w:val="1"/>
        </w:rPr>
        <w:t>;</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FF0000"/>
          <w:strike w:val="1"/>
        </w:rPr>
        <w:t>provided</w:t>
      </w:r>
      <w:r>
        <w:rPr>
          <w:rFonts w:ascii="Arial" w:cs="Arial" w:eastAsia="Arial" w:hAnsi="Arial"/>
          <w:sz w:val="20"/>
          <w:szCs w:val="20"/>
          <w:color w:val="auto"/>
        </w:rPr>
        <w:t xml:space="preserve"> </w:t>
      </w:r>
      <w:r>
        <w:rPr>
          <w:rFonts w:ascii="Arial" w:cs="Arial" w:eastAsia="Arial" w:hAnsi="Arial"/>
          <w:sz w:val="20"/>
          <w:szCs w:val="20"/>
          <w:b w:val="1"/>
          <w:bCs w:val="1"/>
          <w:color w:val="FF0000"/>
          <w:strike w:val="1"/>
        </w:rPr>
        <w:t>that, in the case of an Other</w:t>
      </w:r>
      <w:r>
        <w:rPr>
          <w:rFonts w:ascii="Arial" w:cs="Arial" w:eastAsia="Arial" w:hAnsi="Arial"/>
          <w:sz w:val="20"/>
          <w:szCs w:val="20"/>
          <w:color w:val="auto"/>
        </w:rPr>
        <w:t xml:space="preserve"> </w:t>
      </w:r>
      <w:r>
        <w:rPr>
          <w:rFonts w:ascii="Arial" w:cs="Arial" w:eastAsia="Arial" w:hAnsi="Arial"/>
          <w:sz w:val="20"/>
          <w:szCs w:val="20"/>
          <w:b w:val="1"/>
          <w:bCs w:val="1"/>
          <w:color w:val="FF0000"/>
          <w:strike w:val="1"/>
        </w:rPr>
        <w:t>Benchmark Rate Election, “Benchmark Replacement” shall mean the alternative set forth in (3) below</w:t>
      </w:r>
      <w:r>
        <w:rPr>
          <w:rFonts w:ascii="Arial" w:cs="Arial" w:eastAsia="Arial" w:hAnsi="Arial"/>
          <w:sz w:val="20"/>
          <w:szCs w:val="20"/>
          <w:color w:val="000000"/>
        </w:rPr>
        <w:t>:</w:t>
      </w:r>
    </w:p>
    <w:p>
      <w:pPr>
        <w:spacing w:after="0" w:line="146" w:lineRule="exact"/>
        <w:rPr>
          <w:sz w:val="20"/>
          <w:szCs w:val="20"/>
          <w:color w:val="auto"/>
        </w:rPr>
      </w:pPr>
    </w:p>
    <w:p>
      <w:pPr>
        <w:ind w:left="1280"/>
        <w:spacing w:after="0"/>
        <w:rPr>
          <w:sz w:val="20"/>
          <w:szCs w:val="20"/>
          <w:color w:val="auto"/>
        </w:rPr>
      </w:pPr>
      <w:r>
        <w:rPr>
          <w:rFonts w:ascii="Arial" w:cs="Arial" w:eastAsia="Arial" w:hAnsi="Arial"/>
          <w:sz w:val="21"/>
          <w:szCs w:val="21"/>
          <w:b w:val="1"/>
          <w:bCs w:val="1"/>
          <w:color w:val="FF0000"/>
          <w:strike w:val="1"/>
        </w:rPr>
        <w:t>(1) the sum of: (a) Term SOFR and (b) the related Benchmark Replacement Adjustment;</w:t>
      </w:r>
    </w:p>
    <w:p>
      <w:pPr>
        <w:spacing w:after="0" w:line="183" w:lineRule="exact"/>
        <w:rPr>
          <w:sz w:val="20"/>
          <w:szCs w:val="20"/>
          <w:color w:val="auto"/>
        </w:rPr>
      </w:pPr>
    </w:p>
    <w:p>
      <w:pPr>
        <w:ind w:left="640"/>
        <w:spacing w:after="0"/>
        <w:tabs>
          <w:tab w:leader="none" w:pos="1180" w:val="left"/>
        </w:tabs>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FF0000"/>
          <w:strike w:val="1"/>
        </w:rPr>
        <w:t>2</w:t>
      </w:r>
      <w:r>
        <w:rPr>
          <w:rFonts w:ascii="Arial" w:cs="Arial" w:eastAsia="Arial" w:hAnsi="Arial"/>
          <w:sz w:val="21"/>
          <w:szCs w:val="21"/>
          <w:b w:val="1"/>
          <w:bCs w:val="1"/>
          <w:u w:val="single" w:color="auto"/>
          <w:color w:val="0000FF"/>
        </w:rPr>
        <w:t>1</w:t>
      </w:r>
      <w:r>
        <w:rPr>
          <w:rFonts w:ascii="Arial" w:cs="Arial" w:eastAsia="Arial" w:hAnsi="Arial"/>
          <w:sz w:val="21"/>
          <w:szCs w:val="21"/>
          <w:color w:val="auto"/>
        </w:rPr>
        <w:t>)</w:t>
      </w:r>
      <w:r>
        <w:rPr>
          <w:sz w:val="20"/>
          <w:szCs w:val="20"/>
          <w:color w:val="auto"/>
        </w:rPr>
        <w:tab/>
      </w:r>
      <w:r>
        <w:rPr>
          <w:rFonts w:ascii="Arial" w:cs="Arial" w:eastAsia="Arial" w:hAnsi="Arial"/>
          <w:sz w:val="19"/>
          <w:szCs w:val="19"/>
          <w:color w:val="auto"/>
        </w:rPr>
        <w:t xml:space="preserve">the </w:t>
      </w:r>
      <w:r>
        <w:rPr>
          <w:rFonts w:ascii="Arial" w:cs="Arial" w:eastAsia="Arial" w:hAnsi="Arial"/>
          <w:sz w:val="19"/>
          <w:szCs w:val="19"/>
          <w:b w:val="1"/>
          <w:bCs w:val="1"/>
          <w:color w:val="FF0000"/>
          <w:strike w:val="1"/>
        </w:rPr>
        <w:t>sum of: (a)</w:t>
      </w:r>
      <w:r>
        <w:rPr>
          <w:rFonts w:ascii="Arial" w:cs="Arial" w:eastAsia="Arial" w:hAnsi="Arial"/>
          <w:sz w:val="19"/>
          <w:szCs w:val="19"/>
          <w:b w:val="1"/>
          <w:bCs w:val="1"/>
          <w:u w:val="single" w:color="auto"/>
          <w:color w:val="0000FF"/>
        </w:rPr>
        <w:t>Adjusted</w:t>
      </w:r>
      <w:r>
        <w:rPr>
          <w:rFonts w:ascii="Arial" w:cs="Arial" w:eastAsia="Arial" w:hAnsi="Arial"/>
          <w:sz w:val="19"/>
          <w:szCs w:val="19"/>
          <w:color w:val="auto"/>
        </w:rPr>
        <w:t xml:space="preserve"> Daily Simple SOFR </w:t>
      </w:r>
      <w:r>
        <w:rPr>
          <w:rFonts w:ascii="Arial" w:cs="Arial" w:eastAsia="Arial" w:hAnsi="Arial"/>
          <w:sz w:val="19"/>
          <w:szCs w:val="19"/>
          <w:b w:val="1"/>
          <w:bCs w:val="1"/>
          <w:color w:val="FF0000"/>
        </w:rPr>
        <w:t>and (b) the related Benchmark Replacement Adjustment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3227070</wp:posOffset>
            </wp:positionH>
            <wp:positionV relativeFrom="paragraph">
              <wp:posOffset>-59690</wp:posOffset>
            </wp:positionV>
            <wp:extent cx="329184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63" w:lineRule="exact"/>
        <w:rPr>
          <w:sz w:val="20"/>
          <w:szCs w:val="20"/>
          <w:color w:val="auto"/>
        </w:rPr>
      </w:pPr>
    </w:p>
    <w:p>
      <w:pPr>
        <w:jc w:val="both"/>
        <w:ind w:firstLine="636"/>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FF0000"/>
          <w:strike w:val="1"/>
        </w:rPr>
        <w:t>3</w:t>
      </w:r>
      <w:r>
        <w:rPr>
          <w:rFonts w:ascii="Arial" w:cs="Arial" w:eastAsia="Arial" w:hAnsi="Arial"/>
          <w:sz w:val="21"/>
          <w:szCs w:val="21"/>
          <w:b w:val="1"/>
          <w:bCs w:val="1"/>
          <w:u w:val="single" w:color="auto"/>
          <w:color w:val="0000FF"/>
        </w:rPr>
        <w:t>2</w:t>
      </w:r>
      <w:r>
        <w:rPr>
          <w:rFonts w:ascii="Arial" w:cs="Arial" w:eastAsia="Arial" w:hAnsi="Arial"/>
          <w:sz w:val="21"/>
          <w:szCs w:val="21"/>
          <w:color w:val="auto"/>
        </w:rPr>
        <w:t>) 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in the United States and (b) the related Benchmark Replacement Adjustment;</w:t>
      </w:r>
    </w:p>
    <w:p>
      <w:pPr>
        <w:spacing w:after="0" w:line="150" w:lineRule="exact"/>
        <w:rPr>
          <w:sz w:val="20"/>
          <w:szCs w:val="20"/>
          <w:color w:val="auto"/>
        </w:rPr>
      </w:pPr>
    </w:p>
    <w:p>
      <w:pPr>
        <w:jc w:val="both"/>
        <w:ind w:firstLine="636"/>
        <w:spacing w:after="0" w:line="221" w:lineRule="auto"/>
        <w:rPr>
          <w:sz w:val="20"/>
          <w:szCs w:val="20"/>
          <w:color w:val="auto"/>
        </w:rPr>
      </w:pPr>
      <w:r>
        <w:rPr>
          <w:rFonts w:ascii="Arial" w:cs="Arial" w:eastAsia="Arial" w:hAnsi="Arial"/>
          <w:sz w:val="21"/>
          <w:szCs w:val="21"/>
          <w:b w:val="1"/>
          <w:bCs w:val="1"/>
          <w:u w:val="single" w:color="auto"/>
          <w:color w:val="FF0000"/>
          <w:strike w:val="1"/>
        </w:rPr>
        <w:t>provided that</w:t>
      </w:r>
      <w:r>
        <w:rPr>
          <w:rFonts w:ascii="Arial" w:cs="Arial" w:eastAsia="Arial" w:hAnsi="Arial"/>
          <w:sz w:val="21"/>
          <w:szCs w:val="21"/>
          <w:b w:val="1"/>
          <w:bCs w:val="1"/>
          <w:color w:val="FF0000"/>
          <w:strike w:val="1"/>
        </w:rPr>
        <w:t>, in the case of clause (1), such Unadjusted Benchmark Replacement is displayed on a screen or other</w:t>
      </w:r>
      <w:r>
        <w:rPr>
          <w:rFonts w:ascii="Arial" w:cs="Arial" w:eastAsia="Arial" w:hAnsi="Arial"/>
          <w:sz w:val="21"/>
          <w:szCs w:val="21"/>
          <w:b w:val="1"/>
          <w:bCs w:val="1"/>
          <w:u w:val="single" w:color="auto"/>
          <w:color w:val="FF0000"/>
          <w:strike w:val="1"/>
        </w:rPr>
        <w:t xml:space="preserve"> </w:t>
      </w:r>
      <w:r>
        <w:rPr>
          <w:rFonts w:ascii="Arial" w:cs="Arial" w:eastAsia="Arial" w:hAnsi="Arial"/>
          <w:sz w:val="21"/>
          <w:szCs w:val="21"/>
          <w:b w:val="1"/>
          <w:bCs w:val="1"/>
          <w:color w:val="FF0000"/>
          <w:strike w:val="1"/>
        </w:rPr>
        <w:t xml:space="preserve">information service that publishes such rate from time to time as selected by the Administrative Agent in its reasonable discretion; </w:t>
      </w:r>
      <w:r>
        <w:rPr>
          <w:rFonts w:ascii="Arial" w:cs="Arial" w:eastAsia="Arial" w:hAnsi="Arial"/>
          <w:sz w:val="21"/>
          <w:szCs w:val="21"/>
          <w:b w:val="1"/>
          <w:bCs w:val="1"/>
          <w:u w:val="single" w:color="auto"/>
          <w:color w:val="FF0000"/>
          <w:strike w:val="1"/>
        </w:rPr>
        <w:t>provided further</w:t>
      </w:r>
      <w:r>
        <w:rPr>
          <w:rFonts w:ascii="Arial" w:cs="Arial" w:eastAsia="Arial" w:hAnsi="Arial"/>
          <w:sz w:val="21"/>
          <w:szCs w:val="21"/>
          <w:b w:val="1"/>
          <w:bCs w:val="1"/>
          <w:color w:val="FF0000"/>
          <w:strike w:val="1"/>
        </w:rPr>
        <w:t xml:space="preserve"> that, in the case of clause (3), when such clause is used to determine the Benchmark Replacement in connection with the occurrence of an Other Benchmark Rate Election, the alternate benchmark rate selected by the Administrative Agent and the Borrower shall be the term benchmark rate that is used in lieu of a LIBOR-based rate in the relevant other Dollar-denominated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75</w:t>
      </w:r>
    </w:p>
    <w:p>
      <w:pPr>
        <w:sectPr>
          <w:pgSz w:w="11900" w:h="16838" w:orient="portrait"/>
          <w:cols w:equalWidth="0" w:num="1">
            <w:col w:w="11240"/>
          </w:cols>
          <w:pgMar w:left="320" w:top="1146" w:right="339" w:bottom="1440" w:gutter="0" w:footer="0" w:header="0"/>
        </w:sectPr>
      </w:pPr>
    </w:p>
    <w:bookmarkStart w:id="214" w:name="page215"/>
    <w:bookmarkEnd w:id="214"/>
    <w:p>
      <w:pPr>
        <w:jc w:val="both"/>
        <w:spacing w:after="0" w:line="223" w:lineRule="auto"/>
        <w:rPr>
          <w:sz w:val="20"/>
          <w:szCs w:val="20"/>
          <w:color w:val="auto"/>
        </w:rPr>
      </w:pPr>
      <w:r>
        <w:rPr>
          <w:rFonts w:ascii="Arial" w:cs="Arial" w:eastAsia="Arial" w:hAnsi="Arial"/>
          <w:sz w:val="21"/>
          <w:szCs w:val="21"/>
          <w:b w:val="1"/>
          <w:bCs w:val="1"/>
          <w:color w:val="FF0000"/>
          <w:strike w:val="1"/>
        </w:rPr>
        <w:t xml:space="preserve">syndicated credit facilities; </w:t>
      </w:r>
      <w:r>
        <w:rPr>
          <w:rFonts w:ascii="Arial" w:cs="Arial" w:eastAsia="Arial" w:hAnsi="Arial"/>
          <w:sz w:val="21"/>
          <w:szCs w:val="21"/>
          <w:b w:val="1"/>
          <w:bCs w:val="1"/>
          <w:u w:val="single" w:color="auto"/>
          <w:color w:val="FF0000"/>
          <w:strike w:val="1"/>
        </w:rPr>
        <w:t>provided further</w:t>
      </w:r>
      <w:r>
        <w:rPr>
          <w:rFonts w:ascii="Arial" w:cs="Arial" w:eastAsia="Arial" w:hAnsi="Arial"/>
          <w:sz w:val="21"/>
          <w:szCs w:val="21"/>
          <w:b w:val="1"/>
          <w:bCs w:val="1"/>
          <w:color w:val="FF0000"/>
          <w:strike w:val="1"/>
        </w:rPr>
        <w:t xml:space="preserve"> that, notwithstanding anything to the contrary in this Agreement or in any other Loan Document, upon the occurrence of a Term SOFR Transition Event, and the delivery of a Term SOFR Notice, on the applicable Benchmark Replacement Date the “Benchmark Replacement” shall revert to and shall be deemed to be the sum of (a) Term SOFR and (b) the related Benchmark Replacement Adjustment, as set forth in clause (1) of this definition (subject to the first proviso above).</w:t>
      </w:r>
    </w:p>
    <w:p>
      <w:pPr>
        <w:spacing w:after="0" w:line="150" w:lineRule="exact"/>
        <w:rPr>
          <w:sz w:val="20"/>
          <w:szCs w:val="20"/>
          <w:color w:val="auto"/>
        </w:rPr>
      </w:pPr>
    </w:p>
    <w:p>
      <w:pPr>
        <w:jc w:val="both"/>
        <w:ind w:firstLine="636"/>
        <w:spacing w:after="0" w:line="232" w:lineRule="auto"/>
        <w:rPr>
          <w:sz w:val="20"/>
          <w:szCs w:val="20"/>
          <w:color w:val="auto"/>
        </w:rPr>
      </w:pPr>
      <w:r>
        <w:rPr>
          <w:rFonts w:ascii="Arial" w:cs="Arial" w:eastAsia="Arial" w:hAnsi="Arial"/>
          <w:sz w:val="21"/>
          <w:szCs w:val="21"/>
          <w:b w:val="1"/>
          <w:bCs w:val="1"/>
          <w:color w:val="FF0000"/>
          <w:strike w:val="1"/>
        </w:rPr>
        <w:t>If</w:t>
      </w:r>
      <w:r>
        <w:rPr>
          <w:rFonts w:ascii="Arial" w:cs="Arial" w:eastAsia="Arial" w:hAnsi="Arial"/>
          <w:sz w:val="21"/>
          <w:szCs w:val="21"/>
          <w:b w:val="1"/>
          <w:bCs w:val="1"/>
          <w:color w:val="FF0000"/>
        </w:rPr>
        <w:t xml:space="preserve"> </w:t>
      </w:r>
      <w:r>
        <w:rPr>
          <w:rFonts w:ascii="Arial" w:cs="Arial" w:eastAsia="Arial" w:hAnsi="Arial"/>
          <w:sz w:val="21"/>
          <w:szCs w:val="21"/>
          <w:b w:val="1"/>
          <w:bCs w:val="1"/>
          <w:u w:val="single" w:color="auto"/>
          <w:color w:val="0000FF"/>
        </w:rPr>
        <w:t>provided that if</w:t>
      </w:r>
      <w:r>
        <w:rPr>
          <w:rFonts w:ascii="Arial" w:cs="Arial" w:eastAsia="Arial" w:hAnsi="Arial"/>
          <w:sz w:val="21"/>
          <w:szCs w:val="21"/>
          <w:b w:val="1"/>
          <w:bCs w:val="1"/>
          <w:color w:val="FF0000"/>
        </w:rPr>
        <w:t xml:space="preserve"> </w:t>
      </w:r>
      <w:r>
        <w:rPr>
          <w:rFonts w:ascii="Arial" w:cs="Arial" w:eastAsia="Arial" w:hAnsi="Arial"/>
          <w:sz w:val="21"/>
          <w:szCs w:val="21"/>
          <w:color w:val="000000"/>
        </w:rPr>
        <w:t>the Benchmark Replacement as determined pursuant to clause (1)</w:t>
      </w:r>
      <w:r>
        <w:rPr>
          <w:rFonts w:ascii="Arial" w:cs="Arial" w:eastAsia="Arial" w:hAnsi="Arial"/>
          <w:sz w:val="21"/>
          <w:szCs w:val="21"/>
          <w:b w:val="1"/>
          <w:bCs w:val="1"/>
          <w:color w:val="FF0000"/>
          <w:strike w:val="1"/>
        </w:rPr>
        <w:t>,</w:t>
      </w:r>
      <w:r>
        <w:rPr>
          <w:rFonts w:ascii="Arial" w:cs="Arial" w:eastAsia="Arial" w:hAnsi="Arial"/>
          <w:sz w:val="21"/>
          <w:szCs w:val="21"/>
          <w:b w:val="1"/>
          <w:bCs w:val="1"/>
          <w:color w:val="FF0000"/>
        </w:rPr>
        <w:t xml:space="preserve"> </w:t>
      </w:r>
      <w:r>
        <w:rPr>
          <w:rFonts w:ascii="Arial" w:cs="Arial" w:eastAsia="Arial" w:hAnsi="Arial"/>
          <w:sz w:val="21"/>
          <w:szCs w:val="21"/>
          <w:b w:val="1"/>
          <w:bCs w:val="1"/>
          <w:u w:val="single" w:color="auto"/>
          <w:color w:val="0000FF"/>
        </w:rPr>
        <w:t>or clause</w:t>
      </w:r>
      <w:r>
        <w:rPr>
          <w:rFonts w:ascii="Arial" w:cs="Arial" w:eastAsia="Arial" w:hAnsi="Arial"/>
          <w:sz w:val="21"/>
          <w:szCs w:val="21"/>
          <w:b w:val="1"/>
          <w:bCs w:val="1"/>
          <w:color w:val="FF0000"/>
        </w:rPr>
        <w:t xml:space="preserve"> </w:t>
      </w:r>
      <w:r>
        <w:rPr>
          <w:rFonts w:ascii="Arial" w:cs="Arial" w:eastAsia="Arial" w:hAnsi="Arial"/>
          <w:sz w:val="21"/>
          <w:szCs w:val="21"/>
          <w:color w:val="000000"/>
        </w:rPr>
        <w:t>(2</w:t>
      </w:r>
      <w:r>
        <w:rPr>
          <w:rFonts w:ascii="Arial" w:cs="Arial" w:eastAsia="Arial" w:hAnsi="Arial"/>
          <w:sz w:val="21"/>
          <w:szCs w:val="21"/>
          <w:b w:val="1"/>
          <w:bCs w:val="1"/>
          <w:color w:val="FF0000"/>
          <w:strike w:val="1"/>
        </w:rPr>
        <w:t>) or (3</w:t>
      </w:r>
      <w:r>
        <w:rPr>
          <w:rFonts w:ascii="Arial" w:cs="Arial" w:eastAsia="Arial" w:hAnsi="Arial"/>
          <w:sz w:val="21"/>
          <w:szCs w:val="21"/>
          <w:color w:val="000000"/>
        </w:rPr>
        <w:t>) above would be</w:t>
      </w:r>
      <w:r>
        <w:rPr>
          <w:rFonts w:ascii="Arial" w:cs="Arial" w:eastAsia="Arial" w:hAnsi="Arial"/>
          <w:sz w:val="21"/>
          <w:szCs w:val="21"/>
          <w:b w:val="1"/>
          <w:bCs w:val="1"/>
          <w:color w:val="FF0000"/>
        </w:rPr>
        <w:t xml:space="preserve"> </w:t>
      </w:r>
      <w:r>
        <w:rPr>
          <w:rFonts w:ascii="Arial" w:cs="Arial" w:eastAsia="Arial" w:hAnsi="Arial"/>
          <w:sz w:val="21"/>
          <w:szCs w:val="21"/>
          <w:color w:val="000000"/>
        </w:rPr>
        <w:t>less than the Floor, the Benchmark Replacement will be deemed to be the Floor for the purposes of this Agreement and the other Loan Documents.</w:t>
      </w:r>
    </w:p>
    <w:p>
      <w:pPr>
        <w:spacing w:after="0" w:line="154" w:lineRule="exact"/>
        <w:rPr>
          <w:sz w:val="20"/>
          <w:szCs w:val="20"/>
          <w:color w:val="auto"/>
        </w:rPr>
      </w:pPr>
    </w:p>
    <w:p>
      <w:pPr>
        <w:jc w:val="both"/>
        <w:ind w:firstLine="636"/>
        <w:spacing w:after="0" w:line="23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Replacement Adjustment</w:t>
      </w:r>
      <w:r>
        <w:rPr>
          <w:rFonts w:ascii="Arial" w:cs="Arial" w:eastAsia="Arial" w:hAnsi="Arial"/>
          <w:sz w:val="21"/>
          <w:szCs w:val="21"/>
          <w:color w:val="auto"/>
        </w:rPr>
        <w:t>” means, with respect to any replacement of the then-current Benchmark with an Unadjusted Benchmark Replacement for any applicable Interest Period and Available Tenor for any setting of such Unadjusted Benchmark Replacement</w:t>
      </w:r>
      <w:r>
        <w:rPr>
          <w:rFonts w:ascii="Arial" w:cs="Arial" w:eastAsia="Arial" w:hAnsi="Arial"/>
          <w:sz w:val="21"/>
          <w:szCs w:val="21"/>
          <w:b w:val="1"/>
          <w:bCs w:val="1"/>
          <w:color w:val="FF0000"/>
          <w:strike w:val="1"/>
        </w:rPr>
        <w:t>:</w:t>
      </w:r>
    </w:p>
    <w:p>
      <w:pPr>
        <w:spacing w:after="0" w:line="148" w:lineRule="exact"/>
        <w:rPr>
          <w:sz w:val="20"/>
          <w:szCs w:val="20"/>
          <w:color w:val="auto"/>
        </w:rPr>
      </w:pPr>
    </w:p>
    <w:p>
      <w:pPr>
        <w:jc w:val="both"/>
        <w:ind w:left="640" w:firstLine="638"/>
        <w:spacing w:after="0" w:line="226" w:lineRule="auto"/>
        <w:tabs>
          <w:tab w:leader="none" w:pos="1400" w:val="left"/>
        </w:tabs>
        <w:numPr>
          <w:ilvl w:val="1"/>
          <w:numId w:val="169"/>
        </w:numPr>
        <w:rPr>
          <w:rFonts w:ascii="Arial" w:cs="Arial" w:eastAsia="Arial" w:hAnsi="Arial"/>
          <w:sz w:val="21"/>
          <w:szCs w:val="21"/>
          <w:b w:val="1"/>
          <w:bCs w:val="1"/>
          <w:u w:val="single" w:color="auto"/>
          <w:color w:val="0000FF"/>
        </w:rPr>
      </w:pPr>
      <w:r>
        <w:rPr>
          <w:rFonts w:ascii="Arial" w:cs="Arial" w:eastAsia="Arial" w:hAnsi="Arial"/>
          <w:sz w:val="21"/>
          <w:szCs w:val="21"/>
          <w:b w:val="1"/>
          <w:bCs w:val="1"/>
          <w:u w:val="single" w:color="auto"/>
          <w:color w:val="0000FF"/>
        </w:rPr>
        <w:t xml:space="preserve">the spread adjustment, or method for calculating or determining such spread adjustment (which may be a positive or negative value or zero), that has been selected by </w:t>
      </w:r>
      <w:r>
        <w:rPr>
          <w:rFonts w:ascii="Arial" w:cs="Arial" w:eastAsia="Arial" w:hAnsi="Arial"/>
          <w:sz w:val="21"/>
          <w:szCs w:val="21"/>
          <w:b w:val="1"/>
          <w:bCs w:val="1"/>
          <w:color w:val="FF0000"/>
          <w:strike w:val="1"/>
        </w:rPr>
        <w:t>(1) for purposes of clauses (1) and (2) of the definition of</w:t>
      </w:r>
      <w:r>
        <w:rPr>
          <w:rFonts w:ascii="Arial" w:cs="Arial" w:eastAsia="Arial" w:hAnsi="Arial"/>
          <w:sz w:val="21"/>
          <w:szCs w:val="21"/>
          <w:b w:val="1"/>
          <w:bCs w:val="1"/>
          <w:u w:val="single" w:color="auto"/>
          <w:color w:val="0000FF"/>
        </w:rPr>
        <w:t xml:space="preserve"> </w:t>
      </w:r>
      <w:r>
        <w:rPr>
          <w:rFonts w:ascii="Arial" w:cs="Arial" w:eastAsia="Arial" w:hAnsi="Arial"/>
          <w:sz w:val="21"/>
          <w:szCs w:val="21"/>
          <w:b w:val="1"/>
          <w:bCs w:val="1"/>
          <w:color w:val="FF0000"/>
          <w:strike w:val="1"/>
        </w:rPr>
        <w:t>“Benchmark Replacement,” the first alternative set forth in the order below that can be determined by the Administrative Agent:</w:t>
      </w:r>
    </w:p>
    <w:p>
      <w:pPr>
        <w:spacing w:after="0" w:line="150" w:lineRule="exact"/>
        <w:rPr>
          <w:rFonts w:ascii="Arial" w:cs="Arial" w:eastAsia="Arial" w:hAnsi="Arial"/>
          <w:sz w:val="21"/>
          <w:szCs w:val="21"/>
          <w:b w:val="1"/>
          <w:bCs w:val="1"/>
          <w:u w:val="single" w:color="auto"/>
          <w:color w:val="0000FF"/>
        </w:rPr>
      </w:pPr>
    </w:p>
    <w:p>
      <w:pPr>
        <w:jc w:val="both"/>
        <w:ind w:left="640" w:firstLine="1274"/>
        <w:spacing w:after="0" w:line="223" w:lineRule="auto"/>
        <w:tabs>
          <w:tab w:leader="none" w:pos="2233" w:val="left"/>
        </w:tabs>
        <w:numPr>
          <w:ilvl w:val="2"/>
          <w:numId w:val="169"/>
        </w:numPr>
        <w:rPr>
          <w:rFonts w:ascii="Arial" w:cs="Arial" w:eastAsia="Arial" w:hAnsi="Arial"/>
          <w:sz w:val="21"/>
          <w:szCs w:val="21"/>
          <w:b w:val="1"/>
          <w:bCs w:val="1"/>
          <w:color w:val="FF0000"/>
          <w:strike w:val="1"/>
        </w:rPr>
      </w:pPr>
      <w:r>
        <w:rPr>
          <w:rFonts w:ascii="Arial" w:cs="Arial" w:eastAsia="Arial" w:hAnsi="Arial"/>
          <w:sz w:val="21"/>
          <w:szCs w:val="21"/>
          <w:b w:val="1"/>
          <w:bCs w:val="1"/>
          <w:color w:val="FF0000"/>
          <w:strike w:val="1"/>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150" w:lineRule="exact"/>
        <w:rPr>
          <w:rFonts w:ascii="Arial" w:cs="Arial" w:eastAsia="Arial" w:hAnsi="Arial"/>
          <w:sz w:val="21"/>
          <w:szCs w:val="21"/>
          <w:b w:val="1"/>
          <w:bCs w:val="1"/>
          <w:color w:val="FF0000"/>
          <w:strike w:val="1"/>
        </w:rPr>
      </w:pPr>
    </w:p>
    <w:p>
      <w:pPr>
        <w:jc w:val="both"/>
        <w:ind w:left="640" w:firstLine="1274"/>
        <w:spacing w:after="0" w:line="226" w:lineRule="auto"/>
        <w:tabs>
          <w:tab w:leader="none" w:pos="2229" w:val="left"/>
        </w:tabs>
        <w:numPr>
          <w:ilvl w:val="2"/>
          <w:numId w:val="169"/>
        </w:numPr>
        <w:rPr>
          <w:rFonts w:ascii="Arial" w:cs="Arial" w:eastAsia="Arial" w:hAnsi="Arial"/>
          <w:sz w:val="21"/>
          <w:szCs w:val="21"/>
          <w:b w:val="1"/>
          <w:bCs w:val="1"/>
          <w:color w:val="FF0000"/>
          <w:strike w:val="1"/>
        </w:rPr>
      </w:pPr>
      <w:r>
        <w:rPr>
          <w:rFonts w:ascii="Arial" w:cs="Arial" w:eastAsia="Arial" w:hAnsi="Arial"/>
          <w:sz w:val="21"/>
          <w:szCs w:val="21"/>
          <w:b w:val="1"/>
          <w:bCs w:val="1"/>
          <w:color w:val="FF0000"/>
          <w:strike w:val="1"/>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150" w:lineRule="exact"/>
        <w:rPr>
          <w:rFonts w:ascii="Arial" w:cs="Arial" w:eastAsia="Arial" w:hAnsi="Arial"/>
          <w:sz w:val="21"/>
          <w:szCs w:val="21"/>
          <w:b w:val="1"/>
          <w:bCs w:val="1"/>
          <w:color w:val="FF0000"/>
          <w:strike w:val="1"/>
        </w:rPr>
      </w:pPr>
    </w:p>
    <w:p>
      <w:pPr>
        <w:jc w:val="both"/>
        <w:ind w:firstLine="642"/>
        <w:spacing w:after="0" w:line="236" w:lineRule="auto"/>
        <w:tabs>
          <w:tab w:leader="none" w:pos="952" w:val="left"/>
        </w:tabs>
        <w:numPr>
          <w:ilvl w:val="0"/>
          <w:numId w:val="170"/>
        </w:numPr>
        <w:rPr>
          <w:rFonts w:ascii="Arial" w:cs="Arial" w:eastAsia="Arial" w:hAnsi="Arial"/>
          <w:sz w:val="19"/>
          <w:szCs w:val="19"/>
          <w:b w:val="1"/>
          <w:bCs w:val="1"/>
          <w:color w:val="FF0000"/>
          <w:strike w:val="1"/>
        </w:rPr>
      </w:pPr>
      <w:r>
        <w:rPr>
          <w:rFonts w:ascii="Arial" w:cs="Arial" w:eastAsia="Arial" w:hAnsi="Arial"/>
          <w:sz w:val="19"/>
          <w:szCs w:val="19"/>
          <w:b w:val="1"/>
          <w:bCs w:val="1"/>
          <w:color w:val="FF0000"/>
          <w:strike w:val="1"/>
        </w:rPr>
        <w:t>for purposes of clause (3) of the definition of “Benchmark Replacement,” the spread adjustment, or method for calculating or determining such spread adjustment, (which may be a positive or negative value or zero) that has been selected by the</w:t>
      </w:r>
      <w:r>
        <w:rPr>
          <w:rFonts w:ascii="Arial" w:cs="Arial" w:eastAsia="Arial" w:hAnsi="Arial"/>
          <w:sz w:val="19"/>
          <w:szCs w:val="19"/>
          <w:b w:val="1"/>
          <w:bCs w:val="1"/>
          <w:u w:val="single" w:color="auto"/>
          <w:color w:val="0000FF"/>
          <w:strike w:val="1"/>
        </w:rPr>
        <w:t>the</w:t>
      </w:r>
      <w:r>
        <w:rPr>
          <w:rFonts w:ascii="Arial" w:cs="Arial" w:eastAsia="Arial" w:hAnsi="Arial"/>
          <w:sz w:val="19"/>
          <w:szCs w:val="19"/>
          <w:b w:val="1"/>
          <w:bCs w:val="1"/>
          <w:color w:val="FF0000"/>
          <w:strike w:val="1"/>
        </w:rPr>
        <w:t xml:space="preserve"> </w:t>
      </w:r>
      <w:r>
        <w:rPr>
          <w:rFonts w:ascii="Arial" w:cs="Arial" w:eastAsia="Arial" w:hAnsi="Arial"/>
          <w:sz w:val="19"/>
          <w:szCs w:val="19"/>
          <w:color w:val="000000"/>
          <w:strike w:val="1"/>
        </w:rPr>
        <w:t>Administrative Agent and the Borrower for the applicable Corresponding Tenor giving due consideration to (i)</w:t>
      </w:r>
      <w:r>
        <w:rPr>
          <w:rFonts w:ascii="Arial" w:cs="Arial" w:eastAsia="Arial" w:hAnsi="Arial"/>
          <w:sz w:val="19"/>
          <w:szCs w:val="19"/>
          <w:b w:val="1"/>
          <w:bCs w:val="1"/>
          <w:color w:val="FF0000"/>
          <w:strike w:val="1"/>
        </w:rPr>
        <w:t xml:space="preserve"> </w:t>
      </w:r>
      <w:r>
        <w:rPr>
          <w:rFonts w:ascii="Arial" w:cs="Arial" w:eastAsia="Arial" w:hAnsi="Arial"/>
          <w:sz w:val="19"/>
          <w:szCs w:val="19"/>
          <w:color w:val="000000"/>
          <w:strike w:val="1"/>
        </w:rPr>
        <w:t>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r>
        <w:rPr>
          <w:rFonts w:ascii="Arial" w:cs="Arial" w:eastAsia="Arial" w:hAnsi="Arial"/>
          <w:sz w:val="19"/>
          <w:szCs w:val="19"/>
          <w:b w:val="1"/>
          <w:bCs w:val="1"/>
          <w:color w:val="FF0000"/>
          <w:strike w:val="1"/>
        </w:rPr>
        <w:t>;</w:t>
      </w:r>
      <w:r>
        <w:rPr>
          <w:rFonts w:ascii="Arial" w:cs="Arial" w:eastAsia="Arial" w:hAnsi="Arial"/>
          <w:sz w:val="19"/>
          <w:szCs w:val="19"/>
          <w:color w:val="000000"/>
          <w:strike w:val="1"/>
        </w:rPr>
        <w:t xml:space="preserve"> </w:t>
      </w:r>
      <w:r>
        <w:rPr>
          <w:rFonts w:ascii="Arial" w:cs="Arial" w:eastAsia="Arial" w:hAnsi="Arial"/>
          <w:sz w:val="19"/>
          <w:szCs w:val="19"/>
          <w:b w:val="1"/>
          <w:bCs w:val="1"/>
          <w:u w:val="single" w:color="auto"/>
          <w:color w:val="0000FF"/>
          <w:strike w:val="1"/>
        </w:rPr>
        <w:t>at such time in the United</w:t>
      </w:r>
    </w:p>
    <w:p>
      <w:pPr>
        <w:spacing w:after="0" w:line="1" w:lineRule="exact"/>
        <w:rPr>
          <w:rFonts w:ascii="Arial" w:cs="Arial" w:eastAsia="Arial" w:hAnsi="Arial"/>
          <w:sz w:val="19"/>
          <w:szCs w:val="19"/>
          <w:b w:val="1"/>
          <w:bCs w:val="1"/>
          <w:color w:val="FF0000"/>
          <w:strike w:val="1"/>
        </w:rPr>
      </w:pPr>
    </w:p>
    <w:p>
      <w:pPr>
        <w:spacing w:after="0"/>
        <w:rPr>
          <w:rFonts w:ascii="Arial" w:cs="Arial" w:eastAsia="Arial" w:hAnsi="Arial"/>
          <w:sz w:val="19"/>
          <w:szCs w:val="19"/>
          <w:b w:val="1"/>
          <w:bCs w:val="1"/>
          <w:color w:val="FF0000"/>
          <w:strike w:val="1"/>
        </w:rPr>
      </w:pPr>
      <w:r>
        <w:rPr>
          <w:rFonts w:ascii="Arial" w:cs="Arial" w:eastAsia="Arial" w:hAnsi="Arial"/>
          <w:sz w:val="21"/>
          <w:szCs w:val="21"/>
          <w:b w:val="1"/>
          <w:bCs w:val="1"/>
          <w:u w:val="single" w:color="auto"/>
          <w:color w:val="0000FF"/>
        </w:rPr>
        <w:t>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76</w:t>
      </w:r>
    </w:p>
    <w:p>
      <w:pPr>
        <w:sectPr>
          <w:pgSz w:w="11900" w:h="16838" w:orient="portrait"/>
          <w:cols w:equalWidth="0" w:num="1">
            <w:col w:w="11240"/>
          </w:cols>
          <w:pgMar w:left="320" w:top="1146" w:right="339" w:bottom="1440" w:gutter="0" w:footer="0" w:header="0"/>
        </w:sectPr>
      </w:pPr>
    </w:p>
    <w:bookmarkStart w:id="215" w:name="page216"/>
    <w:bookmarkEnd w:id="215"/>
    <w:p>
      <w:pPr>
        <w:jc w:val="both"/>
        <w:ind w:firstLine="636"/>
        <w:spacing w:after="0" w:line="232" w:lineRule="auto"/>
        <w:rPr>
          <w:sz w:val="20"/>
          <w:szCs w:val="20"/>
          <w:color w:val="auto"/>
        </w:rPr>
      </w:pPr>
      <w:r>
        <w:rPr>
          <w:rFonts w:ascii="Arial" w:cs="Arial" w:eastAsia="Arial" w:hAnsi="Arial"/>
          <w:sz w:val="21"/>
          <w:szCs w:val="21"/>
          <w:b w:val="1"/>
          <w:bCs w:val="1"/>
          <w:u w:val="single" w:color="auto"/>
          <w:color w:val="FF0000"/>
          <w:strike w:val="1"/>
        </w:rPr>
        <w:t xml:space="preserve">provided </w:t>
      </w:r>
      <w:r>
        <w:rPr>
          <w:rFonts w:ascii="Arial" w:cs="Arial" w:eastAsia="Arial" w:hAnsi="Arial"/>
          <w:sz w:val="21"/>
          <w:szCs w:val="21"/>
          <w:b w:val="1"/>
          <w:bCs w:val="1"/>
          <w:color w:val="FF0000"/>
          <w:strike w:val="1"/>
        </w:rPr>
        <w:t>that, in the case of clause (1) above, such adjustment is displayed on a screen or other information service</w:t>
      </w:r>
      <w:r>
        <w:rPr>
          <w:rFonts w:ascii="Arial" w:cs="Arial" w:eastAsia="Arial" w:hAnsi="Arial"/>
          <w:sz w:val="21"/>
          <w:szCs w:val="21"/>
          <w:b w:val="1"/>
          <w:bCs w:val="1"/>
          <w:u w:val="single" w:color="auto"/>
          <w:color w:val="FF0000"/>
          <w:strike w:val="1"/>
        </w:rPr>
        <w:t xml:space="preserve"> </w:t>
      </w:r>
      <w:r>
        <w:rPr>
          <w:rFonts w:ascii="Arial" w:cs="Arial" w:eastAsia="Arial" w:hAnsi="Arial"/>
          <w:sz w:val="21"/>
          <w:szCs w:val="21"/>
          <w:b w:val="1"/>
          <w:bCs w:val="1"/>
          <w:color w:val="FF0000"/>
          <w:strike w:val="1"/>
        </w:rPr>
        <w:t>that publishes such Benchmark Replacement Adjustment from time to time as selected by the Administrative Agent in its reasonable discretion.</w:t>
      </w:r>
    </w:p>
    <w:p>
      <w:pPr>
        <w:spacing w:after="0" w:line="148" w:lineRule="exact"/>
        <w:rPr>
          <w:sz w:val="20"/>
          <w:szCs w:val="20"/>
          <w:color w:val="auto"/>
        </w:rPr>
      </w:pPr>
    </w:p>
    <w:p>
      <w:pPr>
        <w:jc w:val="both"/>
        <w:ind w:firstLine="636"/>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Replacement Conforming Changes</w:t>
      </w:r>
      <w:r>
        <w:rPr>
          <w:rFonts w:ascii="Arial" w:cs="Arial" w:eastAsia="Arial" w:hAnsi="Arial"/>
          <w:sz w:val="20"/>
          <w:szCs w:val="20"/>
          <w:color w:val="auto"/>
        </w:rPr>
        <w:t xml:space="preserve">” means, with respect to any Benchmark Replacement </w:t>
      </w:r>
      <w:r>
        <w:rPr>
          <w:rFonts w:ascii="Arial" w:cs="Arial" w:eastAsia="Arial" w:hAnsi="Arial"/>
          <w:sz w:val="20"/>
          <w:szCs w:val="20"/>
          <w:b w:val="1"/>
          <w:bCs w:val="1"/>
          <w:u w:val="single" w:color="auto"/>
          <w:color w:val="0000FF"/>
        </w:rPr>
        <w:t>and/or any Term</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0000FF"/>
        </w:rPr>
        <w:t>Benchmark Loan</w:t>
      </w:r>
      <w:r>
        <w:rPr>
          <w:rFonts w:ascii="Arial" w:cs="Arial" w:eastAsia="Arial" w:hAnsi="Arial"/>
          <w:sz w:val="20"/>
          <w:szCs w:val="20"/>
          <w:color w:val="000000"/>
        </w:rPr>
        <w:t>, any technical, administrative or operational changes (including changes to the definition of “Base Rate,” the</w:t>
      </w:r>
      <w:r>
        <w:rPr>
          <w:rFonts w:ascii="Arial" w:cs="Arial" w:eastAsia="Arial" w:hAnsi="Arial"/>
          <w:sz w:val="20"/>
          <w:szCs w:val="20"/>
          <w:b w:val="1"/>
          <w:bCs w:val="1"/>
          <w:color w:val="0000FF"/>
        </w:rPr>
        <w:t xml:space="preserve"> </w:t>
      </w:r>
      <w:r>
        <w:rPr>
          <w:rFonts w:ascii="Arial" w:cs="Arial" w:eastAsia="Arial" w:hAnsi="Arial"/>
          <w:sz w:val="20"/>
          <w:szCs w:val="20"/>
          <w:color w:val="000000"/>
        </w:rPr>
        <w:t>definition of “</w:t>
      </w:r>
      <w:r>
        <w:rPr>
          <w:rFonts w:ascii="Arial" w:cs="Arial" w:eastAsia="Arial" w:hAnsi="Arial"/>
          <w:sz w:val="20"/>
          <w:szCs w:val="20"/>
          <w:b w:val="1"/>
          <w:bCs w:val="1"/>
          <w:u w:val="single" w:color="auto"/>
          <w:color w:val="0000FF"/>
        </w:rPr>
        <w:t>Business Day,” the definition of “U.S. Government Securities</w:t>
      </w:r>
      <w:r>
        <w:rPr>
          <w:rFonts w:ascii="Arial" w:cs="Arial" w:eastAsia="Arial" w:hAnsi="Arial"/>
          <w:sz w:val="20"/>
          <w:szCs w:val="20"/>
          <w:color w:val="000000"/>
        </w:rPr>
        <w:t xml:space="preserve">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in its reasonable discretion </w:t>
      </w:r>
      <w:r>
        <w:rPr>
          <w:rFonts w:ascii="Arial" w:cs="Arial" w:eastAsia="Arial" w:hAnsi="Arial"/>
          <w:sz w:val="20"/>
          <w:szCs w:val="20"/>
          <w:b w:val="1"/>
          <w:bCs w:val="1"/>
          <w:u w:val="single" w:color="auto"/>
          <w:color w:val="0000FF"/>
        </w:rPr>
        <w:t>are generally consistent</w:t>
      </w:r>
      <w:r>
        <w:rPr>
          <w:rFonts w:ascii="Arial" w:cs="Arial" w:eastAsia="Arial" w:hAnsi="Arial"/>
          <w:sz w:val="20"/>
          <w:szCs w:val="20"/>
          <w:color w:val="000000"/>
        </w:rPr>
        <w:t xml:space="preserve"> </w:t>
      </w:r>
      <w:r>
        <w:rPr>
          <w:rFonts w:ascii="Arial" w:cs="Arial" w:eastAsia="Arial" w:hAnsi="Arial"/>
          <w:sz w:val="20"/>
          <w:szCs w:val="20"/>
          <w:b w:val="1"/>
          <w:bCs w:val="1"/>
          <w:u w:val="single" w:color="auto"/>
          <w:color w:val="0000FF"/>
        </w:rPr>
        <w:t>with changes made by the Administrative Agent in other syndicated credit facilities agented by it and</w:t>
      </w:r>
      <w:r>
        <w:rPr>
          <w:rFonts w:ascii="Arial" w:cs="Arial" w:eastAsia="Arial" w:hAnsi="Arial"/>
          <w:sz w:val="20"/>
          <w:szCs w:val="20"/>
          <w:b w:val="1"/>
          <w:bCs w:val="1"/>
          <w:color w:val="0000FF"/>
        </w:rPr>
        <w:t xml:space="preserve"> </w:t>
      </w:r>
      <w:r>
        <w:rPr>
          <w:rFonts w:ascii="Arial" w:cs="Arial" w:eastAsia="Arial" w:hAnsi="Arial"/>
          <w:sz w:val="20"/>
          <w:szCs w:val="20"/>
          <w:color w:val="000000"/>
        </w:rPr>
        <w:t>may be appropriate to</w:t>
      </w:r>
      <w:r>
        <w:rPr>
          <w:rFonts w:ascii="Arial" w:cs="Arial" w:eastAsia="Arial" w:hAnsi="Arial"/>
          <w:sz w:val="20"/>
          <w:szCs w:val="20"/>
          <w:b w:val="1"/>
          <w:bCs w:val="1"/>
          <w:color w:val="0000FF"/>
        </w:rPr>
        <w:t xml:space="preserve"> </w:t>
      </w:r>
      <w:r>
        <w:rPr>
          <w:rFonts w:ascii="Arial" w:cs="Arial" w:eastAsia="Arial" w:hAnsi="Arial"/>
          <w:sz w:val="20"/>
          <w:szCs w:val="20"/>
          <w:color w:val="000000"/>
        </w:rPr>
        <w:t xml:space="preserve">reflect the adoption and implementation of such Benchmark </w:t>
      </w:r>
      <w:r>
        <w:rPr>
          <w:rFonts w:ascii="Arial" w:cs="Arial" w:eastAsia="Arial" w:hAnsi="Arial"/>
          <w:sz w:val="20"/>
          <w:szCs w:val="20"/>
          <w:b w:val="1"/>
          <w:bCs w:val="1"/>
          <w:color w:val="FF0000"/>
          <w:strike w:val="1"/>
        </w:rPr>
        <w:t>Replacement</w:t>
      </w:r>
      <w:r>
        <w:rPr>
          <w:rFonts w:ascii="Arial" w:cs="Arial" w:eastAsia="Arial" w:hAnsi="Arial"/>
          <w:sz w:val="20"/>
          <w:szCs w:val="20"/>
          <w:color w:val="000000"/>
        </w:rPr>
        <w:t xml:space="preserve">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w:t>
      </w:r>
      <w:r>
        <w:rPr>
          <w:rFonts w:ascii="Arial" w:cs="Arial" w:eastAsia="Arial" w:hAnsi="Arial"/>
          <w:sz w:val="20"/>
          <w:szCs w:val="20"/>
          <w:b w:val="1"/>
          <w:bCs w:val="1"/>
          <w:color w:val="FF0000"/>
          <w:strike w:val="1"/>
        </w:rPr>
        <w:t>Replacement</w:t>
      </w:r>
      <w:r>
        <w:rPr>
          <w:rFonts w:ascii="Arial" w:cs="Arial" w:eastAsia="Arial" w:hAnsi="Arial"/>
          <w:sz w:val="20"/>
          <w:szCs w:val="20"/>
          <w:color w:val="000000"/>
        </w:rPr>
        <w:t xml:space="preserve"> exists, in such other manner of administration as the Administrative Agent decides is </w:t>
      </w:r>
      <w:r>
        <w:rPr>
          <w:rFonts w:ascii="Arial" w:cs="Arial" w:eastAsia="Arial" w:hAnsi="Arial"/>
          <w:sz w:val="20"/>
          <w:szCs w:val="20"/>
          <w:b w:val="1"/>
          <w:bCs w:val="1"/>
          <w:u w:val="single" w:color="auto"/>
          <w:color w:val="0000FF"/>
        </w:rPr>
        <w:t>generally consistent with changes made by the Administrative Agent in other syndicated</w:t>
      </w:r>
      <w:r>
        <w:rPr>
          <w:rFonts w:ascii="Arial" w:cs="Arial" w:eastAsia="Arial" w:hAnsi="Arial"/>
          <w:sz w:val="20"/>
          <w:szCs w:val="20"/>
          <w:color w:val="000000"/>
        </w:rPr>
        <w:t xml:space="preserve"> </w:t>
      </w:r>
      <w:r>
        <w:rPr>
          <w:rFonts w:ascii="Arial" w:cs="Arial" w:eastAsia="Arial" w:hAnsi="Arial"/>
          <w:sz w:val="20"/>
          <w:szCs w:val="20"/>
          <w:b w:val="1"/>
          <w:bCs w:val="1"/>
          <w:u w:val="single" w:color="auto"/>
          <w:color w:val="0000FF"/>
        </w:rPr>
        <w:t>credit facilities agented by it and is</w:t>
      </w:r>
      <w:r>
        <w:rPr>
          <w:rFonts w:ascii="Arial" w:cs="Arial" w:eastAsia="Arial" w:hAnsi="Arial"/>
          <w:sz w:val="20"/>
          <w:szCs w:val="20"/>
          <w:b w:val="1"/>
          <w:bCs w:val="1"/>
          <w:color w:val="0000FF"/>
        </w:rPr>
        <w:t xml:space="preserve"> </w:t>
      </w:r>
      <w:r>
        <w:rPr>
          <w:rFonts w:ascii="Arial" w:cs="Arial" w:eastAsia="Arial" w:hAnsi="Arial"/>
          <w:sz w:val="20"/>
          <w:szCs w:val="20"/>
          <w:color w:val="000000"/>
        </w:rPr>
        <w:t>reasonably necessary in connection with the administration of this Agreement and the other</w:t>
      </w:r>
      <w:r>
        <w:rPr>
          <w:rFonts w:ascii="Arial" w:cs="Arial" w:eastAsia="Arial" w:hAnsi="Arial"/>
          <w:sz w:val="20"/>
          <w:szCs w:val="20"/>
          <w:b w:val="1"/>
          <w:bCs w:val="1"/>
          <w:color w:val="0000FF"/>
        </w:rPr>
        <w:t xml:space="preserve"> </w:t>
      </w:r>
      <w:r>
        <w:rPr>
          <w:rFonts w:ascii="Arial" w:cs="Arial" w:eastAsia="Arial" w:hAnsi="Arial"/>
          <w:sz w:val="20"/>
          <w:szCs w:val="20"/>
          <w:color w:val="000000"/>
        </w:rPr>
        <w:t>Loan Documents).</w:t>
      </w:r>
    </w:p>
    <w:p>
      <w:pPr>
        <w:spacing w:after="0" w:line="154"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Replacement Date</w:t>
      </w:r>
      <w:r>
        <w:rPr>
          <w:rFonts w:ascii="Arial" w:cs="Arial" w:eastAsia="Arial" w:hAnsi="Arial"/>
          <w:sz w:val="21"/>
          <w:szCs w:val="21"/>
          <w:color w:val="auto"/>
        </w:rPr>
        <w:t>” means, with respect to any Benchmark, the earliest to occur of the following events with respect to such then-current Benchmark:</w:t>
      </w:r>
    </w:p>
    <w:p>
      <w:pPr>
        <w:spacing w:after="0" w:line="155" w:lineRule="exact"/>
        <w:rPr>
          <w:sz w:val="20"/>
          <w:szCs w:val="20"/>
          <w:color w:val="auto"/>
        </w:rPr>
      </w:pPr>
    </w:p>
    <w:p>
      <w:pPr>
        <w:jc w:val="both"/>
        <w:ind w:left="640" w:firstLine="638"/>
        <w:spacing w:after="0" w:line="225" w:lineRule="auto"/>
        <w:tabs>
          <w:tab w:leader="none" w:pos="1586" w:val="left"/>
        </w:tabs>
        <w:numPr>
          <w:ilvl w:val="0"/>
          <w:numId w:val="171"/>
        </w:numPr>
        <w:rPr>
          <w:rFonts w:ascii="Arial" w:cs="Arial" w:eastAsia="Arial" w:hAnsi="Arial"/>
          <w:sz w:val="21"/>
          <w:szCs w:val="21"/>
          <w:color w:val="auto"/>
        </w:rPr>
      </w:pPr>
      <w:r>
        <w:rPr>
          <w:rFonts w:ascii="Arial" w:cs="Arial" w:eastAsia="Arial" w:hAnsi="Arial"/>
          <w:sz w:val="21"/>
          <w:szCs w:val="21"/>
          <w:color w:val="auto"/>
        </w:rPr>
        <w:t xml:space="preserve">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w:t>
      </w:r>
      <w:r>
        <w:rPr>
          <w:rFonts w:ascii="Arial" w:cs="Arial" w:eastAsia="Arial" w:hAnsi="Arial"/>
          <w:sz w:val="21"/>
          <w:szCs w:val="21"/>
          <w:b w:val="1"/>
          <w:bCs w:val="1"/>
          <w:color w:val="0000FF"/>
        </w:rPr>
        <w:t>or</w:t>
      </w:r>
    </w:p>
    <w:p>
      <w:pPr>
        <w:spacing w:after="0" w:line="154" w:lineRule="exact"/>
        <w:rPr>
          <w:rFonts w:ascii="Arial" w:cs="Arial" w:eastAsia="Arial" w:hAnsi="Arial"/>
          <w:sz w:val="21"/>
          <w:szCs w:val="21"/>
          <w:color w:val="auto"/>
        </w:rPr>
      </w:pPr>
    </w:p>
    <w:p>
      <w:pPr>
        <w:jc w:val="both"/>
        <w:ind w:left="640" w:firstLine="638"/>
        <w:spacing w:after="0" w:line="220" w:lineRule="auto"/>
        <w:tabs>
          <w:tab w:leader="none" w:pos="1623" w:val="left"/>
        </w:tabs>
        <w:numPr>
          <w:ilvl w:val="0"/>
          <w:numId w:val="171"/>
        </w:numPr>
        <w:rPr>
          <w:rFonts w:ascii="Arial" w:cs="Arial" w:eastAsia="Arial" w:hAnsi="Arial"/>
          <w:sz w:val="21"/>
          <w:szCs w:val="21"/>
          <w:color w:val="auto"/>
        </w:rPr>
      </w:pPr>
      <w:r>
        <w:rPr>
          <w:rFonts w:ascii="Arial" w:cs="Arial" w:eastAsia="Arial" w:hAnsi="Arial"/>
          <w:sz w:val="21"/>
          <w:szCs w:val="21"/>
          <w:color w:val="auto"/>
        </w:rPr>
        <w:t>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any Available Tenor of such Benchmark (or such component thereof) continues to be provided on such date</w:t>
      </w:r>
      <w:r>
        <w:rPr>
          <w:rFonts w:ascii="Arial" w:cs="Arial" w:eastAsia="Arial" w:hAnsi="Arial"/>
          <w:sz w:val="21"/>
          <w:szCs w:val="21"/>
          <w:b w:val="1"/>
          <w:bCs w:val="1"/>
          <w:color w:val="FF0000"/>
          <w:strike w:val="1"/>
        </w:rPr>
        <w:t>;</w:t>
      </w:r>
      <w:r>
        <w:rPr>
          <w:rFonts w:ascii="Arial" w:cs="Arial" w:eastAsia="Arial" w:hAnsi="Arial"/>
          <w:sz w:val="21"/>
          <w:szCs w:val="21"/>
          <w:b w:val="1"/>
          <w:bCs w:val="1"/>
          <w:u w:val="single" w:color="auto"/>
          <w:color w:val="0000FF"/>
        </w:rPr>
        <w:t>.</w:t>
      </w:r>
    </w:p>
    <w:p>
      <w:pPr>
        <w:spacing w:after="0" w:line="149" w:lineRule="exact"/>
        <w:rPr>
          <w:rFonts w:ascii="Arial" w:cs="Arial" w:eastAsia="Arial" w:hAnsi="Arial"/>
          <w:sz w:val="21"/>
          <w:szCs w:val="21"/>
          <w:color w:val="auto"/>
        </w:rPr>
      </w:pPr>
    </w:p>
    <w:p>
      <w:pPr>
        <w:ind w:left="640" w:firstLine="638"/>
        <w:spacing w:after="0" w:line="245" w:lineRule="auto"/>
        <w:tabs>
          <w:tab w:leader="none" w:pos="1583" w:val="left"/>
        </w:tabs>
        <w:numPr>
          <w:ilvl w:val="0"/>
          <w:numId w:val="171"/>
        </w:numPr>
        <w:rPr>
          <w:rFonts w:ascii="Arial" w:cs="Arial" w:eastAsia="Arial" w:hAnsi="Arial"/>
          <w:sz w:val="21"/>
          <w:szCs w:val="21"/>
          <w:b w:val="1"/>
          <w:bCs w:val="1"/>
          <w:color w:val="FF0000"/>
          <w:strike w:val="1"/>
        </w:rPr>
      </w:pPr>
      <w:r>
        <w:rPr>
          <w:rFonts w:ascii="Arial" w:cs="Arial" w:eastAsia="Arial" w:hAnsi="Arial"/>
          <w:sz w:val="21"/>
          <w:szCs w:val="21"/>
          <w:b w:val="1"/>
          <w:bCs w:val="1"/>
          <w:color w:val="FF0000"/>
          <w:strike w:val="1"/>
        </w:rPr>
        <w:t>in the case of a Term SOFR Transition Event, the date that is thirty (30) days after the date a Term SOFR Notice is provided to the Lenders and the Borrower pursuant to Section 2.17(c); or</w:t>
      </w:r>
    </w:p>
    <w:p>
      <w:pPr>
        <w:spacing w:after="0" w:line="137" w:lineRule="exact"/>
        <w:rPr>
          <w:rFonts w:ascii="Arial" w:cs="Arial" w:eastAsia="Arial" w:hAnsi="Arial"/>
          <w:sz w:val="21"/>
          <w:szCs w:val="21"/>
          <w:b w:val="1"/>
          <w:bCs w:val="1"/>
          <w:color w:val="FF0000"/>
          <w:strike w:val="1"/>
        </w:rPr>
      </w:pPr>
    </w:p>
    <w:p>
      <w:pPr>
        <w:jc w:val="both"/>
        <w:ind w:left="640" w:firstLine="638"/>
        <w:spacing w:after="0" w:line="213" w:lineRule="auto"/>
        <w:tabs>
          <w:tab w:leader="none" w:pos="1584" w:val="left"/>
        </w:tabs>
        <w:numPr>
          <w:ilvl w:val="0"/>
          <w:numId w:val="171"/>
        </w:numPr>
        <w:rPr>
          <w:rFonts w:ascii="Arial" w:cs="Arial" w:eastAsia="Arial" w:hAnsi="Arial"/>
          <w:sz w:val="21"/>
          <w:szCs w:val="21"/>
          <w:b w:val="1"/>
          <w:bCs w:val="1"/>
          <w:color w:val="FF0000"/>
          <w:strike w:val="1"/>
        </w:rPr>
      </w:pPr>
      <w:r>
        <w:rPr>
          <w:rFonts w:ascii="Arial" w:cs="Arial" w:eastAsia="Arial" w:hAnsi="Arial"/>
          <w:sz w:val="21"/>
          <w:szCs w:val="21"/>
          <w:b w:val="1"/>
          <w:bCs w:val="1"/>
          <w:color w:val="FF0000"/>
          <w:strike w:val="1"/>
        </w:rPr>
        <w:t>in the case of an Early Opt-in Election or an Other Benchmark Rate Election, the sixth (6</w:t>
      </w:r>
      <w:r>
        <w:rPr>
          <w:rFonts w:ascii="Arial" w:cs="Arial" w:eastAsia="Arial" w:hAnsi="Arial"/>
          <w:sz w:val="27"/>
          <w:szCs w:val="27"/>
          <w:b w:val="1"/>
          <w:bCs w:val="1"/>
          <w:color w:val="FF0000"/>
          <w:strike w:val="1"/>
          <w:vertAlign w:val="superscript"/>
        </w:rPr>
        <w:t>th</w:t>
      </w:r>
      <w:r>
        <w:rPr>
          <w:rFonts w:ascii="Arial" w:cs="Arial" w:eastAsia="Arial" w:hAnsi="Arial"/>
          <w:sz w:val="21"/>
          <w:szCs w:val="21"/>
          <w:b w:val="1"/>
          <w:bCs w:val="1"/>
          <w:color w:val="FF0000"/>
          <w:strike w:val="1"/>
        </w:rPr>
        <w:t>) Business Day after the date notice of such Early Opt-in Election or Other Benchmark Rate Election, as applicable, is provided to the Lenders, so long as the Administrative Agent has not received, by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3996690</wp:posOffset>
            </wp:positionH>
            <wp:positionV relativeFrom="paragraph">
              <wp:posOffset>-1915160</wp:posOffset>
            </wp:positionV>
            <wp:extent cx="1606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606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77</w:t>
      </w:r>
    </w:p>
    <w:p>
      <w:pPr>
        <w:sectPr>
          <w:pgSz w:w="11900" w:h="16838" w:orient="portrait"/>
          <w:cols w:equalWidth="0" w:num="1">
            <w:col w:w="11240"/>
          </w:cols>
          <w:pgMar w:left="320" w:top="1146" w:right="339" w:bottom="1440" w:gutter="0" w:footer="0" w:header="0"/>
        </w:sectPr>
      </w:pPr>
    </w:p>
    <w:bookmarkStart w:id="216" w:name="page217"/>
    <w:bookmarkEnd w:id="216"/>
    <w:p>
      <w:pPr>
        <w:jc w:val="both"/>
        <w:ind w:left="640"/>
        <w:spacing w:after="0" w:line="237" w:lineRule="auto"/>
        <w:rPr>
          <w:sz w:val="20"/>
          <w:szCs w:val="20"/>
          <w:color w:val="auto"/>
        </w:rPr>
      </w:pPr>
      <w:r>
        <w:rPr>
          <w:rFonts w:ascii="Arial" w:cs="Arial" w:eastAsia="Arial" w:hAnsi="Arial"/>
          <w:sz w:val="19"/>
          <w:szCs w:val="19"/>
          <w:b w:val="1"/>
          <w:bCs w:val="1"/>
          <w:color w:val="FF0000"/>
          <w:strike w:val="1"/>
        </w:rPr>
        <w:t xml:space="preserve">p.m. (New York City time) on the fifth (5 </w:t>
      </w:r>
      <w:r>
        <w:rPr>
          <w:rFonts w:ascii="Arial" w:cs="Arial" w:eastAsia="Arial" w:hAnsi="Arial"/>
          <w:sz w:val="24"/>
          <w:szCs w:val="24"/>
          <w:b w:val="1"/>
          <w:bCs w:val="1"/>
          <w:color w:val="FF0000"/>
          <w:strike w:val="1"/>
          <w:vertAlign w:val="superscript"/>
        </w:rPr>
        <w:t>th</w:t>
      </w:r>
      <w:r>
        <w:rPr>
          <w:rFonts w:ascii="Arial" w:cs="Arial" w:eastAsia="Arial" w:hAnsi="Arial"/>
          <w:sz w:val="19"/>
          <w:szCs w:val="19"/>
          <w:b w:val="1"/>
          <w:bCs w:val="1"/>
          <w:color w:val="FF0000"/>
          <w:strike w:val="1"/>
        </w:rPr>
        <w:t>) Business Day after the date notice of such Early Opt-in Election or Other Benchmark Rate Election, as applicable, is provided to the Lenders, written notice of objection to such Early Opt-in Election or Other Benchmark Rate Election, as applicable, from Lenders comprising the Required Lenders.</w:t>
      </w:r>
    </w:p>
    <w:p>
      <w:pPr>
        <w:spacing w:after="0" w:line="155" w:lineRule="exact"/>
        <w:rPr>
          <w:sz w:val="20"/>
          <w:szCs w:val="20"/>
          <w:color w:val="auto"/>
        </w:rPr>
      </w:pPr>
    </w:p>
    <w:p>
      <w:pPr>
        <w:jc w:val="both"/>
        <w:ind w:firstLine="636"/>
        <w:spacing w:after="0" w:line="220" w:lineRule="auto"/>
        <w:rPr>
          <w:sz w:val="20"/>
          <w:szCs w:val="20"/>
          <w:color w:val="auto"/>
        </w:rPr>
      </w:pPr>
      <w:r>
        <w:rPr>
          <w:rFonts w:ascii="Arial" w:cs="Arial" w:eastAsia="Arial" w:hAnsi="Arial"/>
          <w:sz w:val="21"/>
          <w:szCs w:val="21"/>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56"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Transition Event</w:t>
      </w:r>
      <w:r>
        <w:rPr>
          <w:rFonts w:ascii="Arial" w:cs="Arial" w:eastAsia="Arial" w:hAnsi="Arial"/>
          <w:sz w:val="21"/>
          <w:szCs w:val="21"/>
          <w:color w:val="auto"/>
        </w:rPr>
        <w:t>” means, with respect to any Benchmark, the occurrence of one or more of the following events with respect to such then-current Benchmark:</w:t>
      </w:r>
    </w:p>
    <w:p>
      <w:pPr>
        <w:spacing w:after="0" w:line="155" w:lineRule="exact"/>
        <w:rPr>
          <w:sz w:val="20"/>
          <w:szCs w:val="20"/>
          <w:color w:val="auto"/>
        </w:rPr>
      </w:pPr>
    </w:p>
    <w:p>
      <w:pPr>
        <w:jc w:val="both"/>
        <w:ind w:left="640" w:firstLine="638"/>
        <w:spacing w:after="0" w:line="222" w:lineRule="auto"/>
        <w:tabs>
          <w:tab w:leader="none" w:pos="1588" w:val="left"/>
        </w:tabs>
        <w:numPr>
          <w:ilvl w:val="0"/>
          <w:numId w:val="172"/>
        </w:numPr>
        <w:rPr>
          <w:rFonts w:ascii="Arial" w:cs="Arial" w:eastAsia="Arial" w:hAnsi="Arial"/>
          <w:sz w:val="21"/>
          <w:szCs w:val="21"/>
          <w:color w:val="auto"/>
        </w:rPr>
      </w:pPr>
      <w:r>
        <w:rPr>
          <w:rFonts w:ascii="Arial" w:cs="Arial" w:eastAsia="Arial" w:hAnsi="Arial"/>
          <w:sz w:val="21"/>
          <w:szCs w:val="21"/>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55" w:lineRule="exact"/>
        <w:rPr>
          <w:rFonts w:ascii="Arial" w:cs="Arial" w:eastAsia="Arial" w:hAnsi="Arial"/>
          <w:sz w:val="21"/>
          <w:szCs w:val="21"/>
          <w:color w:val="auto"/>
        </w:rPr>
      </w:pPr>
    </w:p>
    <w:p>
      <w:pPr>
        <w:jc w:val="both"/>
        <w:ind w:left="640" w:firstLine="638"/>
        <w:spacing w:after="0" w:line="228" w:lineRule="auto"/>
        <w:tabs>
          <w:tab w:leader="none" w:pos="1620" w:val="left"/>
        </w:tabs>
        <w:numPr>
          <w:ilvl w:val="0"/>
          <w:numId w:val="172"/>
        </w:numPr>
        <w:rPr>
          <w:rFonts w:ascii="Arial" w:cs="Arial" w:eastAsia="Arial" w:hAnsi="Arial"/>
          <w:sz w:val="20"/>
          <w:szCs w:val="20"/>
          <w:color w:val="auto"/>
        </w:rPr>
      </w:pPr>
      <w:r>
        <w:rPr>
          <w:rFonts w:ascii="Arial" w:cs="Arial" w:eastAsia="Arial" w:hAnsi="Arial"/>
          <w:sz w:val="20"/>
          <w:szCs w:val="20"/>
          <w:color w:val="auto"/>
        </w:rPr>
        <w:t xml:space="preserve">a public statement or publication of information by the regulatory supervisor for the administrator of such Benchmark (or the published component used in the calculation thereof), the Board, the NYFRB, </w:t>
      </w:r>
      <w:r>
        <w:rPr>
          <w:rFonts w:ascii="Arial" w:cs="Arial" w:eastAsia="Arial" w:hAnsi="Arial"/>
          <w:sz w:val="20"/>
          <w:szCs w:val="20"/>
          <w:b w:val="1"/>
          <w:bCs w:val="1"/>
          <w:u w:val="single" w:color="auto"/>
          <w:color w:val="0000FF"/>
        </w:rPr>
        <w:t>the CME Term SOFR</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0000FF"/>
        </w:rPr>
        <w:t>Administrator,</w:t>
      </w:r>
      <w:r>
        <w:rPr>
          <w:rFonts w:ascii="Arial" w:cs="Arial" w:eastAsia="Arial" w:hAnsi="Arial"/>
          <w:sz w:val="20"/>
          <w:szCs w:val="20"/>
          <w:b w:val="1"/>
          <w:bCs w:val="1"/>
          <w:color w:val="0000FF"/>
        </w:rPr>
        <w:t xml:space="preserve"> </w:t>
      </w:r>
      <w:r>
        <w:rPr>
          <w:rFonts w:ascii="Arial" w:cs="Arial" w:eastAsia="Arial" w:hAnsi="Arial"/>
          <w:sz w:val="20"/>
          <w:szCs w:val="20"/>
          <w:color w:val="000000"/>
        </w:rPr>
        <w:t>an insolvency official with jurisdiction over the administrator for such Benchmark (or such component), a</w:t>
      </w:r>
      <w:r>
        <w:rPr>
          <w:rFonts w:ascii="Arial" w:cs="Arial" w:eastAsia="Arial" w:hAnsi="Arial"/>
          <w:sz w:val="20"/>
          <w:szCs w:val="20"/>
          <w:b w:val="1"/>
          <w:bCs w:val="1"/>
          <w:color w:val="0000FF"/>
        </w:rPr>
        <w:t xml:space="preserve"> </w:t>
      </w:r>
      <w:r>
        <w:rPr>
          <w:rFonts w:ascii="Arial" w:cs="Arial" w:eastAsia="Arial" w:hAnsi="Arial"/>
          <w:sz w:val="20"/>
          <w:szCs w:val="20"/>
          <w:color w:val="000000"/>
        </w:rPr>
        <w:t>resolution authority with jurisdiction over the administrator for such Benchmark (or such component) or a court or an entity with similar insolvency or resolution authority over the administrator for such Benchmark (or such component), in each case</w:t>
      </w:r>
      <w:r>
        <w:rPr>
          <w:rFonts w:ascii="Arial" w:cs="Arial" w:eastAsia="Arial" w:hAnsi="Arial"/>
          <w:sz w:val="20"/>
          <w:szCs w:val="20"/>
          <w:b w:val="1"/>
          <w:bCs w:val="1"/>
          <w:color w:val="FF0000"/>
          <w:strike w:val="1"/>
        </w:rPr>
        <w:t>,</w:t>
      </w:r>
      <w:r>
        <w:rPr>
          <w:rFonts w:ascii="Arial" w:cs="Arial" w:eastAsia="Arial" w:hAnsi="Arial"/>
          <w:sz w:val="20"/>
          <w:szCs w:val="20"/>
          <w:color w:val="000000"/>
        </w:rPr>
        <w:t xml:space="preserve"> which states that the administrator of such Benchmark (or such component) has ceased or will cease to provide all Available Tenors of such Benchmark (or such component thereof) permanently or indefinitely; </w:t>
      </w:r>
      <w:r>
        <w:rPr>
          <w:rFonts w:ascii="Arial" w:cs="Arial" w:eastAsia="Arial" w:hAnsi="Arial"/>
          <w:sz w:val="20"/>
          <w:szCs w:val="20"/>
          <w:u w:val="single" w:color="auto"/>
          <w:color w:val="000000"/>
        </w:rPr>
        <w:t>provided</w:t>
      </w:r>
      <w:r>
        <w:rPr>
          <w:rFonts w:ascii="Arial" w:cs="Arial" w:eastAsia="Arial" w:hAnsi="Arial"/>
          <w:sz w:val="20"/>
          <w:szCs w:val="20"/>
          <w:color w:val="000000"/>
        </w:rPr>
        <w:t xml:space="preserve"> that, at the time of such statement or publication, there is no successor administrator that will continue to provide any Available Tenor of such Benchmark (or such component thereof); or</w:t>
      </w:r>
    </w:p>
    <w:p>
      <w:pPr>
        <w:spacing w:after="0" w:line="153" w:lineRule="exact"/>
        <w:rPr>
          <w:rFonts w:ascii="Arial" w:cs="Arial" w:eastAsia="Arial" w:hAnsi="Arial"/>
          <w:sz w:val="20"/>
          <w:szCs w:val="20"/>
          <w:color w:val="auto"/>
        </w:rPr>
      </w:pPr>
    </w:p>
    <w:p>
      <w:pPr>
        <w:jc w:val="both"/>
        <w:ind w:left="640" w:firstLine="638"/>
        <w:spacing w:after="0" w:line="242" w:lineRule="auto"/>
        <w:tabs>
          <w:tab w:leader="none" w:pos="1620" w:val="left"/>
        </w:tabs>
        <w:numPr>
          <w:ilvl w:val="0"/>
          <w:numId w:val="172"/>
        </w:numPr>
        <w:rPr>
          <w:rFonts w:ascii="Arial" w:cs="Arial" w:eastAsia="Arial" w:hAnsi="Arial"/>
          <w:sz w:val="20"/>
          <w:szCs w:val="20"/>
          <w:color w:val="auto"/>
        </w:rPr>
      </w:pPr>
      <w:r>
        <w:rPr>
          <w:rFonts w:ascii="Arial" w:cs="Arial" w:eastAsia="Arial" w:hAnsi="Arial"/>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4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For the avoidance of doubt, a “Benchmark Transition Event” will be deemed to have occurred with respect to any</w:t>
      </w:r>
    </w:p>
    <w:p>
      <w:pPr>
        <w:spacing w:after="0" w:line="221" w:lineRule="auto"/>
        <w:rPr>
          <w:sz w:val="20"/>
          <w:szCs w:val="20"/>
          <w:color w:val="auto"/>
        </w:rPr>
      </w:pPr>
      <w:r>
        <w:rPr>
          <w:rFonts w:ascii="Arial" w:cs="Arial" w:eastAsia="Arial" w:hAnsi="Arial"/>
          <w:sz w:val="20"/>
          <w:szCs w:val="20"/>
          <w:color w:val="auto"/>
        </w:rPr>
        <w:t>Benchmark if a public statement or publication of information set forth above has occurred with respect to each then-current</w:t>
      </w:r>
    </w:p>
    <w:p>
      <w:pPr>
        <w:spacing w:after="0"/>
        <w:rPr>
          <w:sz w:val="20"/>
          <w:szCs w:val="20"/>
          <w:color w:val="auto"/>
        </w:rPr>
      </w:pPr>
      <w:r>
        <w:rPr>
          <w:rFonts w:ascii="Arial" w:cs="Arial" w:eastAsia="Arial" w:hAnsi="Arial"/>
          <w:sz w:val="21"/>
          <w:szCs w:val="21"/>
          <w:color w:val="auto"/>
        </w:rPr>
        <w:t>Available Tenor of such Benchmark (or the published component used in the calculation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78</w:t>
      </w:r>
    </w:p>
    <w:p>
      <w:pPr>
        <w:sectPr>
          <w:pgSz w:w="11900" w:h="16838" w:orient="portrait"/>
          <w:cols w:equalWidth="0" w:num="1">
            <w:col w:w="11240"/>
          </w:cols>
          <w:pgMar w:left="320" w:top="1140" w:right="339" w:bottom="1440" w:gutter="0" w:footer="0" w:header="0"/>
        </w:sectPr>
      </w:pPr>
    </w:p>
    <w:bookmarkStart w:id="217" w:name="page218"/>
    <w:bookmarkEnd w:id="217"/>
    <w:p>
      <w:pPr>
        <w:jc w:val="both"/>
        <w:ind w:firstLine="636"/>
        <w:spacing w:after="0" w:line="22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Unavailability Period</w:t>
      </w:r>
      <w:r>
        <w:rPr>
          <w:rFonts w:ascii="Arial" w:cs="Arial" w:eastAsia="Arial" w:hAnsi="Arial"/>
          <w:sz w:val="21"/>
          <w:szCs w:val="21"/>
          <w:color w:val="auto"/>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2.17 and (y) ending at the time that a Benchmark Replacement has replaced such then-current Benchmark for all purposes hereunder and under any Loan Document in accordance with Section 2.17.</w:t>
      </w:r>
    </w:p>
    <w:p>
      <w:pPr>
        <w:spacing w:after="0" w:line="155" w:lineRule="exact"/>
        <w:rPr>
          <w:sz w:val="20"/>
          <w:szCs w:val="20"/>
          <w:color w:val="auto"/>
        </w:rPr>
      </w:pPr>
    </w:p>
    <w:p>
      <w:pPr>
        <w:jc w:val="both"/>
        <w:ind w:firstLine="636"/>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Corresponding Tenor</w:t>
      </w:r>
      <w:r>
        <w:rPr>
          <w:rFonts w:ascii="Arial" w:cs="Arial" w:eastAsia="Arial" w:hAnsi="Arial"/>
          <w:sz w:val="19"/>
          <w:szCs w:val="19"/>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02" w:lineRule="exact"/>
        <w:rPr>
          <w:sz w:val="20"/>
          <w:szCs w:val="20"/>
          <w:color w:val="auto"/>
        </w:rPr>
      </w:pPr>
    </w:p>
    <w:p>
      <w:pPr>
        <w:jc w:val="both"/>
        <w:ind w:firstLine="636"/>
        <w:spacing w:after="0" w:line="219" w:lineRule="auto"/>
        <w:rPr>
          <w:sz w:val="20"/>
          <w:szCs w:val="20"/>
          <w:color w:val="auto"/>
        </w:rPr>
      </w:pPr>
      <w:r>
        <w:rPr>
          <w:rFonts w:ascii="Arial" w:cs="Arial" w:eastAsia="Arial" w:hAnsi="Arial"/>
          <w:sz w:val="21"/>
          <w:szCs w:val="21"/>
          <w:b w:val="1"/>
          <w:bCs w:val="1"/>
          <w:u w:val="single" w:color="auto"/>
          <w:color w:val="0000FF"/>
        </w:rPr>
        <w:t>“Daily Simple SOFR” means, for any day (a “SOFR Rate Day”), a rate per annum equal to SOFR for the day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w:t>
      </w:r>
    </w:p>
    <w:p>
      <w:pPr>
        <w:spacing w:after="0" w:line="154" w:lineRule="exact"/>
        <w:rPr>
          <w:sz w:val="20"/>
          <w:szCs w:val="20"/>
          <w:color w:val="auto"/>
        </w:rPr>
      </w:pPr>
    </w:p>
    <w:p>
      <w:pPr>
        <w:jc w:val="both"/>
        <w:ind w:firstLine="636"/>
        <w:spacing w:after="0" w:line="234" w:lineRule="auto"/>
        <w:rPr>
          <w:sz w:val="20"/>
          <w:szCs w:val="20"/>
          <w:color w:val="auto"/>
        </w:rPr>
      </w:pPr>
      <w:r>
        <w:rPr>
          <w:rFonts w:ascii="Arial" w:cs="Arial" w:eastAsia="Arial" w:hAnsi="Arial"/>
          <w:sz w:val="20"/>
          <w:szCs w:val="20"/>
          <w:b w:val="1"/>
          <w:bCs w:val="1"/>
          <w:color w:val="FF0000"/>
          <w:strike w:val="1"/>
        </w:rPr>
        <w:t>“</w:t>
      </w:r>
      <w:r>
        <w:rPr>
          <w:rFonts w:ascii="Arial" w:cs="Arial" w:eastAsia="Arial" w:hAnsi="Arial"/>
          <w:sz w:val="20"/>
          <w:szCs w:val="20"/>
          <w:b w:val="1"/>
          <w:bCs w:val="1"/>
          <w:u w:val="single" w:color="auto"/>
          <w:color w:val="FF0000"/>
          <w:strike w:val="1"/>
        </w:rPr>
        <w:t>Daily Simple SOFR</w:t>
      </w:r>
      <w:r>
        <w:rPr>
          <w:rFonts w:ascii="Arial" w:cs="Arial" w:eastAsia="Arial" w:hAnsi="Arial"/>
          <w:sz w:val="20"/>
          <w:szCs w:val="20"/>
          <w:b w:val="1"/>
          <w:bCs w:val="1"/>
          <w:color w:val="FF0000"/>
          <w:strike w:val="1"/>
        </w:rPr>
        <w:t>” means, for any day, SOFR, with the conventions for this rate (which may include a lookback) being established by the Administrative Agent in accordance with the conventions for this rate selected or recommended by the Relevant Governmental Body for determining “Daily Simple SOFR” for business loans; provided that, if the Administrative Agent decides that any such convention is not administratively feasible for the Administrative Agent, then the Administrative Agent may establish another convention in its reasonable discretion.</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FF0000"/>
          <w:strike w:val="1"/>
        </w:rPr>
        <w:t>“</w:t>
      </w:r>
      <w:r>
        <w:rPr>
          <w:rFonts w:ascii="Arial" w:cs="Arial" w:eastAsia="Arial" w:hAnsi="Arial"/>
          <w:sz w:val="21"/>
          <w:szCs w:val="21"/>
          <w:b w:val="1"/>
          <w:bCs w:val="1"/>
          <w:u w:val="single" w:color="auto"/>
          <w:color w:val="FF0000"/>
          <w:strike w:val="1"/>
        </w:rPr>
        <w:t>Early Opt-in Election</w:t>
      </w:r>
      <w:r>
        <w:rPr>
          <w:rFonts w:ascii="Arial" w:cs="Arial" w:eastAsia="Arial" w:hAnsi="Arial"/>
          <w:sz w:val="21"/>
          <w:szCs w:val="21"/>
          <w:b w:val="1"/>
          <w:bCs w:val="1"/>
          <w:color w:val="FF0000"/>
          <w:strike w:val="1"/>
        </w:rPr>
        <w:t>” means, if the then-current Benchmark is the LIBO Rate, the occurrence of:</w:t>
      </w:r>
    </w:p>
    <w:p>
      <w:pPr>
        <w:spacing w:after="0" w:line="183" w:lineRule="exact"/>
        <w:rPr>
          <w:sz w:val="20"/>
          <w:szCs w:val="20"/>
          <w:color w:val="auto"/>
        </w:rPr>
      </w:pPr>
    </w:p>
    <w:p>
      <w:pPr>
        <w:jc w:val="both"/>
        <w:ind w:left="640" w:firstLine="638"/>
        <w:spacing w:after="0" w:line="234" w:lineRule="auto"/>
        <w:tabs>
          <w:tab w:leader="none" w:pos="1586" w:val="left"/>
        </w:tabs>
        <w:numPr>
          <w:ilvl w:val="0"/>
          <w:numId w:val="173"/>
        </w:numPr>
        <w:rPr>
          <w:rFonts w:ascii="Arial" w:cs="Arial" w:eastAsia="Arial" w:hAnsi="Arial"/>
          <w:sz w:val="20"/>
          <w:szCs w:val="20"/>
          <w:b w:val="1"/>
          <w:bCs w:val="1"/>
          <w:color w:val="FF0000"/>
          <w:strike w:val="1"/>
        </w:rPr>
      </w:pPr>
      <w:r>
        <w:rPr>
          <w:rFonts w:ascii="Arial" w:cs="Arial" w:eastAsia="Arial" w:hAnsi="Arial"/>
          <w:sz w:val="20"/>
          <w:szCs w:val="20"/>
          <w:b w:val="1"/>
          <w:bCs w:val="1"/>
          <w:color w:val="FF0000"/>
          <w:strike w:val="1"/>
        </w:rPr>
        <w:t>a notification by the Administrative Agent to (or the request by the Borrower to the Administrative Agent to notify) each of the other parties hereto that at least five currently outstanding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150" w:lineRule="exact"/>
        <w:rPr>
          <w:rFonts w:ascii="Arial" w:cs="Arial" w:eastAsia="Arial" w:hAnsi="Arial"/>
          <w:sz w:val="20"/>
          <w:szCs w:val="20"/>
          <w:b w:val="1"/>
          <w:bCs w:val="1"/>
          <w:color w:val="FF0000"/>
          <w:strike w:val="1"/>
        </w:rPr>
      </w:pPr>
    </w:p>
    <w:p>
      <w:pPr>
        <w:jc w:val="both"/>
        <w:ind w:left="640" w:firstLine="638"/>
        <w:spacing w:after="0" w:line="232" w:lineRule="auto"/>
        <w:tabs>
          <w:tab w:leader="none" w:pos="1585" w:val="left"/>
        </w:tabs>
        <w:numPr>
          <w:ilvl w:val="0"/>
          <w:numId w:val="173"/>
        </w:numPr>
        <w:rPr>
          <w:rFonts w:ascii="Arial" w:cs="Arial" w:eastAsia="Arial" w:hAnsi="Arial"/>
          <w:sz w:val="21"/>
          <w:szCs w:val="21"/>
          <w:b w:val="1"/>
          <w:bCs w:val="1"/>
          <w:color w:val="FF0000"/>
          <w:strike w:val="1"/>
        </w:rPr>
      </w:pPr>
      <w:r>
        <w:rPr>
          <w:rFonts w:ascii="Arial" w:cs="Arial" w:eastAsia="Arial" w:hAnsi="Arial"/>
          <w:sz w:val="21"/>
          <w:szCs w:val="21"/>
          <w:b w:val="1"/>
          <w:bCs w:val="1"/>
          <w:color w:val="FF0000"/>
          <w:strike w:val="1"/>
        </w:rPr>
        <w:t>the joint election by the Administrative Agent and the Borrower to trigger a fallback from the LIBO Rate and the provision, as applicable, by the Administrative Agent of written notice of such election to the Borrower and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-1066165</wp:posOffset>
            </wp:positionV>
            <wp:extent cx="4381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3815" cy="8255"/>
                    </a:xfrm>
                    <a:prstGeom prst="rect">
                      <a:avLst/>
                    </a:prstGeom>
                    <a:noFill/>
                  </pic:spPr>
                </pic:pic>
              </a:graphicData>
            </a:graphic>
          </wp:anchor>
        </w:drawing>
      </w:r>
    </w:p>
    <w:p>
      <w:pPr>
        <w:spacing w:after="0" w:line="134" w:lineRule="exact"/>
        <w:rPr>
          <w:sz w:val="20"/>
          <w:szCs w:val="20"/>
          <w:color w:val="auto"/>
        </w:rPr>
      </w:pPr>
    </w:p>
    <w:p>
      <w:pPr>
        <w:ind w:firstLine="636"/>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Floor</w:t>
      </w:r>
      <w:r>
        <w:rPr>
          <w:rFonts w:ascii="Arial" w:cs="Arial" w:eastAsia="Arial" w:hAnsi="Arial"/>
          <w:sz w:val="19"/>
          <w:szCs w:val="19"/>
          <w:color w:val="auto"/>
        </w:rPr>
        <w:t xml:space="preserve">” means the benchmark rate floor, if any, provided in this Agreement initially (as of the execution of this Agreement, the modification, amendment or renewal of this Agreement or otherwise) with respect to the </w:t>
      </w:r>
      <w:r>
        <w:rPr>
          <w:rFonts w:ascii="Arial" w:cs="Arial" w:eastAsia="Arial" w:hAnsi="Arial"/>
          <w:sz w:val="19"/>
          <w:szCs w:val="19"/>
          <w:b w:val="1"/>
          <w:bCs w:val="1"/>
          <w:color w:val="FF0000"/>
          <w:strike w:val="1"/>
        </w:rPr>
        <w:t>LIBO Rate.</w:t>
      </w:r>
      <w:r>
        <w:rPr>
          <w:rFonts w:ascii="Arial" w:cs="Arial" w:eastAsia="Arial" w:hAnsi="Arial"/>
          <w:sz w:val="19"/>
          <w:szCs w:val="19"/>
          <w:b w:val="1"/>
          <w:bCs w:val="1"/>
          <w:u w:val="single" w:color="auto"/>
          <w:color w:val="0000FF"/>
        </w:rPr>
        <w:t>Adjusted Term SOFR</w:t>
      </w:r>
    </w:p>
    <w:p>
      <w:pPr>
        <w:spacing w:after="0" w:line="1" w:lineRule="exact"/>
        <w:rPr>
          <w:sz w:val="20"/>
          <w:szCs w:val="20"/>
          <w:color w:val="auto"/>
        </w:rPr>
      </w:pPr>
    </w:p>
    <w:p>
      <w:pPr>
        <w:spacing w:after="0" w:line="231" w:lineRule="auto"/>
        <w:rPr>
          <w:sz w:val="20"/>
          <w:szCs w:val="20"/>
          <w:color w:val="auto"/>
        </w:rPr>
      </w:pPr>
      <w:r>
        <w:rPr>
          <w:rFonts w:ascii="Arial" w:cs="Arial" w:eastAsia="Arial" w:hAnsi="Arial"/>
          <w:sz w:val="21"/>
          <w:szCs w:val="21"/>
          <w:b w:val="1"/>
          <w:bCs w:val="1"/>
          <w:u w:val="single" w:color="auto"/>
          <w:color w:val="0000FF"/>
        </w:rPr>
        <w:t>Rate or the Adjusted Daily Simple SOFR, as applicable. For the avoidance of doubt the initial Floor for each of Adjusted Term SOFR Rate or the Adjusted Daily Simple SOFR shall be 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79</w:t>
      </w:r>
    </w:p>
    <w:p>
      <w:pPr>
        <w:sectPr>
          <w:pgSz w:w="11900" w:h="16838" w:orient="portrait"/>
          <w:cols w:equalWidth="0" w:num="1">
            <w:col w:w="11240"/>
          </w:cols>
          <w:pgMar w:left="320" w:top="1152" w:right="339" w:bottom="1440" w:gutter="0" w:footer="0" w:header="0"/>
        </w:sectPr>
      </w:pPr>
    </w:p>
    <w:bookmarkStart w:id="218" w:name="page219"/>
    <w:bookmarkEnd w:id="218"/>
    <w:p>
      <w:pPr>
        <w:jc w:val="both"/>
        <w:ind w:firstLine="636"/>
        <w:spacing w:after="0" w:line="226" w:lineRule="auto"/>
        <w:rPr>
          <w:sz w:val="20"/>
          <w:szCs w:val="20"/>
          <w:color w:val="auto"/>
        </w:rPr>
      </w:pPr>
      <w:r>
        <w:rPr>
          <w:rFonts w:ascii="Arial" w:cs="Arial" w:eastAsia="Arial" w:hAnsi="Arial"/>
          <w:sz w:val="21"/>
          <w:szCs w:val="21"/>
          <w:b w:val="1"/>
          <w:bCs w:val="1"/>
          <w:color w:val="FF0000"/>
          <w:strike w:val="1"/>
        </w:rPr>
        <w:t>“</w:t>
      </w:r>
      <w:r>
        <w:rPr>
          <w:rFonts w:ascii="Arial" w:cs="Arial" w:eastAsia="Arial" w:hAnsi="Arial"/>
          <w:sz w:val="21"/>
          <w:szCs w:val="21"/>
          <w:b w:val="1"/>
          <w:bCs w:val="1"/>
          <w:u w:val="single" w:color="auto"/>
          <w:color w:val="FF0000"/>
          <w:strike w:val="1"/>
        </w:rPr>
        <w:t>ISDA Definitions</w:t>
      </w:r>
      <w:r>
        <w:rPr>
          <w:rFonts w:ascii="Arial" w:cs="Arial" w:eastAsia="Arial" w:hAnsi="Arial"/>
          <w:sz w:val="21"/>
          <w:szCs w:val="21"/>
          <w:b w:val="1"/>
          <w:bCs w:val="1"/>
          <w:color w:val="FF0000"/>
          <w:strike w:val="1"/>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FF0000"/>
          <w:strike w:val="1"/>
        </w:rPr>
        <w:t>“</w:t>
      </w:r>
      <w:r>
        <w:rPr>
          <w:rFonts w:ascii="Arial" w:cs="Arial" w:eastAsia="Arial" w:hAnsi="Arial"/>
          <w:sz w:val="21"/>
          <w:szCs w:val="21"/>
          <w:b w:val="1"/>
          <w:bCs w:val="1"/>
          <w:u w:val="single" w:color="auto"/>
          <w:color w:val="FF0000"/>
          <w:strike w:val="1"/>
        </w:rPr>
        <w:t>Other Benchmark Rate Election</w:t>
      </w:r>
      <w:r>
        <w:rPr>
          <w:rFonts w:ascii="Arial" w:cs="Arial" w:eastAsia="Arial" w:hAnsi="Arial"/>
          <w:sz w:val="21"/>
          <w:szCs w:val="21"/>
          <w:b w:val="1"/>
          <w:bCs w:val="1"/>
          <w:color w:val="FF0000"/>
          <w:strike w:val="1"/>
        </w:rPr>
        <w:t>” means, if the then-current Benchmark is the LIBO Rate, the occurrence of:</w:t>
      </w:r>
    </w:p>
    <w:p>
      <w:pPr>
        <w:spacing w:after="0" w:line="183" w:lineRule="exact"/>
        <w:rPr>
          <w:sz w:val="20"/>
          <w:szCs w:val="20"/>
          <w:color w:val="auto"/>
        </w:rPr>
      </w:pPr>
    </w:p>
    <w:p>
      <w:pPr>
        <w:jc w:val="both"/>
        <w:ind w:left="640" w:firstLine="638"/>
        <w:spacing w:after="0" w:line="226" w:lineRule="auto"/>
        <w:tabs>
          <w:tab w:leader="none" w:pos="1578" w:val="left"/>
        </w:tabs>
        <w:numPr>
          <w:ilvl w:val="0"/>
          <w:numId w:val="174"/>
        </w:numPr>
        <w:rPr>
          <w:rFonts w:ascii="Arial" w:cs="Arial" w:eastAsia="Arial" w:hAnsi="Arial"/>
          <w:sz w:val="21"/>
          <w:szCs w:val="21"/>
          <w:b w:val="1"/>
          <w:bCs w:val="1"/>
          <w:color w:val="FF0000"/>
          <w:strike w:val="1"/>
        </w:rPr>
      </w:pPr>
      <w:r>
        <w:rPr>
          <w:rFonts w:ascii="Arial" w:cs="Arial" w:eastAsia="Arial" w:hAnsi="Arial"/>
          <w:sz w:val="21"/>
          <w:szCs w:val="21"/>
          <w:b w:val="1"/>
          <w:bCs w:val="1"/>
          <w:color w:val="FF0000"/>
          <w:strike w:val="1"/>
        </w:rPr>
        <w:t>a request by the Borrower to the Administrative Agent to notify each of the other parties hereto that, at the determination of the Borrower, Dollar-denominated syndicated credit facilities at such time contain (as a result of amendment or as originally executed), in lieu of a LIBOR-based rate, a term benchmark rate as a benchmark rate, and</w:t>
      </w:r>
    </w:p>
    <w:p>
      <w:pPr>
        <w:spacing w:after="0" w:line="150" w:lineRule="exact"/>
        <w:rPr>
          <w:rFonts w:ascii="Arial" w:cs="Arial" w:eastAsia="Arial" w:hAnsi="Arial"/>
          <w:sz w:val="21"/>
          <w:szCs w:val="21"/>
          <w:b w:val="1"/>
          <w:bCs w:val="1"/>
          <w:color w:val="FF0000"/>
          <w:strike w:val="1"/>
        </w:rPr>
      </w:pPr>
    </w:p>
    <w:p>
      <w:pPr>
        <w:jc w:val="both"/>
        <w:ind w:left="640" w:firstLine="638"/>
        <w:spacing w:after="0" w:line="232" w:lineRule="auto"/>
        <w:tabs>
          <w:tab w:leader="none" w:pos="1608" w:val="left"/>
        </w:tabs>
        <w:numPr>
          <w:ilvl w:val="0"/>
          <w:numId w:val="174"/>
        </w:numPr>
        <w:rPr>
          <w:rFonts w:ascii="Arial" w:cs="Arial" w:eastAsia="Arial" w:hAnsi="Arial"/>
          <w:sz w:val="21"/>
          <w:szCs w:val="21"/>
          <w:b w:val="1"/>
          <w:bCs w:val="1"/>
          <w:color w:val="FF0000"/>
          <w:strike w:val="1"/>
        </w:rPr>
      </w:pPr>
      <w:r>
        <w:rPr>
          <w:rFonts w:ascii="Arial" w:cs="Arial" w:eastAsia="Arial" w:hAnsi="Arial"/>
          <w:sz w:val="21"/>
          <w:szCs w:val="21"/>
          <w:b w:val="1"/>
          <w:bCs w:val="1"/>
          <w:color w:val="FF0000"/>
          <w:strike w:val="1"/>
        </w:rPr>
        <w:t>the Administrative Agent, in its sole discretion, and the Borrower jointly elect to trigger a fallback from the LIBO Rate and the provision, as applicable, by the Administrative Agent of written notice of such election to the Borrower and the Lenders.</w:t>
      </w:r>
    </w:p>
    <w:p>
      <w:pPr>
        <w:spacing w:after="0" w:line="148" w:lineRule="exact"/>
        <w:rPr>
          <w:sz w:val="20"/>
          <w:szCs w:val="20"/>
          <w:color w:val="auto"/>
        </w:rPr>
      </w:pPr>
    </w:p>
    <w:p>
      <w:pPr>
        <w:jc w:val="both"/>
        <w:ind w:firstLine="636"/>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Reference Time</w:t>
      </w:r>
      <w:r>
        <w:rPr>
          <w:rFonts w:ascii="Arial" w:cs="Arial" w:eastAsia="Arial" w:hAnsi="Arial"/>
          <w:sz w:val="21"/>
          <w:szCs w:val="21"/>
          <w:color w:val="auto"/>
        </w:rPr>
        <w:t>” with respect to any setting of the then-current Benchmark means (</w:t>
      </w:r>
      <w:r>
        <w:rPr>
          <w:rFonts w:ascii="Arial" w:cs="Arial" w:eastAsia="Arial" w:hAnsi="Arial"/>
          <w:sz w:val="21"/>
          <w:szCs w:val="21"/>
          <w:b w:val="1"/>
          <w:bCs w:val="1"/>
          <w:color w:val="FF0000"/>
          <w:strike w:val="1"/>
        </w:rPr>
        <w:t>1</w:t>
      </w:r>
      <w:r>
        <w:rPr>
          <w:rFonts w:ascii="Arial" w:cs="Arial" w:eastAsia="Arial" w:hAnsi="Arial"/>
          <w:sz w:val="21"/>
          <w:szCs w:val="21"/>
          <w:b w:val="1"/>
          <w:bCs w:val="1"/>
          <w:u w:val="single" w:color="auto"/>
          <w:color w:val="0000FF"/>
        </w:rPr>
        <w:t>i</w:t>
      </w:r>
      <w:r>
        <w:rPr>
          <w:rFonts w:ascii="Arial" w:cs="Arial" w:eastAsia="Arial" w:hAnsi="Arial"/>
          <w:sz w:val="21"/>
          <w:szCs w:val="21"/>
          <w:color w:val="auto"/>
        </w:rPr>
        <w:t xml:space="preserve">) if such Benchmark is the </w:t>
      </w:r>
      <w:r>
        <w:rPr>
          <w:rFonts w:ascii="Arial" w:cs="Arial" w:eastAsia="Arial" w:hAnsi="Arial"/>
          <w:sz w:val="21"/>
          <w:szCs w:val="21"/>
          <w:b w:val="1"/>
          <w:bCs w:val="1"/>
          <w:color w:val="FF0000"/>
          <w:strike w:val="1"/>
        </w:rPr>
        <w:t>LIBO</w:t>
      </w:r>
      <w:r>
        <w:rPr>
          <w:rFonts w:ascii="Arial" w:cs="Arial" w:eastAsia="Arial" w:hAnsi="Arial"/>
          <w:sz w:val="21"/>
          <w:szCs w:val="21"/>
          <w:b w:val="1"/>
          <w:bCs w:val="1"/>
          <w:u w:val="single" w:color="auto"/>
          <w:color w:val="0000FF"/>
        </w:rPr>
        <w:t>Term SOFR</w:t>
      </w:r>
      <w:r>
        <w:rPr>
          <w:rFonts w:ascii="Arial" w:cs="Arial" w:eastAsia="Arial" w:hAnsi="Arial"/>
          <w:sz w:val="21"/>
          <w:szCs w:val="21"/>
          <w:b w:val="1"/>
          <w:bCs w:val="1"/>
          <w:color w:val="FF0000"/>
        </w:rPr>
        <w:t xml:space="preserve"> </w:t>
      </w:r>
      <w:r>
        <w:rPr>
          <w:rFonts w:ascii="Arial" w:cs="Arial" w:eastAsia="Arial" w:hAnsi="Arial"/>
          <w:sz w:val="21"/>
          <w:szCs w:val="21"/>
          <w:color w:val="000000"/>
        </w:rPr>
        <w:t>Rate,</w:t>
      </w:r>
      <w:r>
        <w:rPr>
          <w:rFonts w:ascii="Arial" w:cs="Arial" w:eastAsia="Arial" w:hAnsi="Arial"/>
          <w:sz w:val="21"/>
          <w:szCs w:val="21"/>
          <w:b w:val="1"/>
          <w:bCs w:val="1"/>
          <w:color w:val="FF0000"/>
        </w:rPr>
        <w:t xml:space="preserve"> </w:t>
      </w:r>
      <w:r>
        <w:rPr>
          <w:rFonts w:ascii="Arial" w:cs="Arial" w:eastAsia="Arial" w:hAnsi="Arial"/>
          <w:sz w:val="21"/>
          <w:szCs w:val="21"/>
          <w:b w:val="1"/>
          <w:bCs w:val="1"/>
          <w:color w:val="FF0000"/>
          <w:strike w:val="1"/>
        </w:rPr>
        <w:t>11:00 a.m., London</w:t>
      </w:r>
      <w:r>
        <w:rPr>
          <w:rFonts w:ascii="Arial" w:cs="Arial" w:eastAsia="Arial" w:hAnsi="Arial"/>
          <w:sz w:val="21"/>
          <w:szCs w:val="21"/>
          <w:b w:val="1"/>
          <w:bCs w:val="1"/>
          <w:u w:val="single" w:color="auto"/>
          <w:color w:val="0000FF"/>
        </w:rPr>
        <w:t>5:00 a.m., Chicago</w:t>
      </w:r>
      <w:r>
        <w:rPr>
          <w:rFonts w:ascii="Arial" w:cs="Arial" w:eastAsia="Arial" w:hAnsi="Arial"/>
          <w:sz w:val="21"/>
          <w:szCs w:val="21"/>
          <w:b w:val="1"/>
          <w:bCs w:val="1"/>
          <w:color w:val="FF0000"/>
        </w:rPr>
        <w:t xml:space="preserve"> </w:t>
      </w:r>
      <w:r>
        <w:rPr>
          <w:rFonts w:ascii="Arial" w:cs="Arial" w:eastAsia="Arial" w:hAnsi="Arial"/>
          <w:sz w:val="21"/>
          <w:szCs w:val="21"/>
          <w:color w:val="000000"/>
        </w:rPr>
        <w:t>time, on the day that is two</w:t>
      </w:r>
      <w:r>
        <w:rPr>
          <w:rFonts w:ascii="Arial" w:cs="Arial" w:eastAsia="Arial" w:hAnsi="Arial"/>
          <w:sz w:val="21"/>
          <w:szCs w:val="21"/>
          <w:b w:val="1"/>
          <w:bCs w:val="1"/>
          <w:color w:val="FF0000"/>
        </w:rPr>
        <w:t xml:space="preserve"> </w:t>
      </w:r>
      <w:r>
        <w:rPr>
          <w:rFonts w:ascii="Arial" w:cs="Arial" w:eastAsia="Arial" w:hAnsi="Arial"/>
          <w:sz w:val="21"/>
          <w:szCs w:val="21"/>
          <w:b w:val="1"/>
          <w:bCs w:val="1"/>
          <w:color w:val="FF0000"/>
          <w:strike w:val="1"/>
        </w:rPr>
        <w:t>London banking days</w:t>
      </w:r>
      <w:r>
        <w:rPr>
          <w:rFonts w:ascii="Arial" w:cs="Arial" w:eastAsia="Arial" w:hAnsi="Arial"/>
          <w:sz w:val="21"/>
          <w:szCs w:val="21"/>
          <w:b w:val="1"/>
          <w:bCs w:val="1"/>
          <w:u w:val="single" w:color="auto"/>
          <w:color w:val="0000FF"/>
        </w:rPr>
        <w:t>(2) U.S.</w:t>
      </w:r>
      <w:r>
        <w:rPr>
          <w:rFonts w:ascii="Arial" w:cs="Arial" w:eastAsia="Arial" w:hAnsi="Arial"/>
          <w:sz w:val="21"/>
          <w:szCs w:val="21"/>
          <w:b w:val="1"/>
          <w:bCs w:val="1"/>
          <w:color w:val="FF0000"/>
        </w:rPr>
        <w:t xml:space="preserve"> </w:t>
      </w:r>
      <w:r>
        <w:rPr>
          <w:rFonts w:ascii="Arial" w:cs="Arial" w:eastAsia="Arial" w:hAnsi="Arial"/>
          <w:sz w:val="21"/>
          <w:szCs w:val="21"/>
          <w:b w:val="1"/>
          <w:bCs w:val="1"/>
          <w:u w:val="single" w:color="auto"/>
          <w:color w:val="0000FF"/>
        </w:rPr>
        <w:t>Government Securities Business Days</w:t>
      </w:r>
      <w:r>
        <w:rPr>
          <w:rFonts w:ascii="Arial" w:cs="Arial" w:eastAsia="Arial" w:hAnsi="Arial"/>
          <w:sz w:val="21"/>
          <w:szCs w:val="21"/>
          <w:b w:val="1"/>
          <w:bCs w:val="1"/>
          <w:color w:val="0000FF"/>
        </w:rPr>
        <w:t xml:space="preserve"> </w:t>
      </w:r>
      <w:r>
        <w:rPr>
          <w:rFonts w:ascii="Arial" w:cs="Arial" w:eastAsia="Arial" w:hAnsi="Arial"/>
          <w:sz w:val="21"/>
          <w:szCs w:val="21"/>
          <w:color w:val="000000"/>
        </w:rPr>
        <w:t>preceding the date of such setting,</w:t>
      </w:r>
      <w:r>
        <w:rPr>
          <w:rFonts w:ascii="Arial" w:cs="Arial" w:eastAsia="Arial" w:hAnsi="Arial"/>
          <w:sz w:val="21"/>
          <w:szCs w:val="21"/>
          <w:b w:val="1"/>
          <w:bCs w:val="1"/>
          <w:color w:val="0000FF"/>
        </w:rPr>
        <w:t xml:space="preserve"> </w:t>
      </w:r>
      <w:r>
        <w:rPr>
          <w:rFonts w:ascii="Arial" w:cs="Arial" w:eastAsia="Arial" w:hAnsi="Arial"/>
          <w:sz w:val="21"/>
          <w:szCs w:val="21"/>
          <w:b w:val="1"/>
          <w:bCs w:val="1"/>
          <w:color w:val="FF0000"/>
          <w:strike w:val="1"/>
        </w:rPr>
        <w:t>and (2</w:t>
      </w:r>
      <w:r>
        <w:rPr>
          <w:rFonts w:ascii="Arial" w:cs="Arial" w:eastAsia="Arial" w:hAnsi="Arial"/>
          <w:sz w:val="21"/>
          <w:szCs w:val="21"/>
          <w:b w:val="1"/>
          <w:bCs w:val="1"/>
          <w:color w:val="0000FF"/>
        </w:rPr>
        <w:t xml:space="preserve"> </w:t>
      </w:r>
      <w:r>
        <w:rPr>
          <w:rFonts w:ascii="Arial" w:cs="Arial" w:eastAsia="Arial" w:hAnsi="Arial"/>
          <w:sz w:val="21"/>
          <w:szCs w:val="21"/>
          <w:b w:val="1"/>
          <w:bCs w:val="1"/>
          <w:u w:val="single" w:color="auto"/>
          <w:color w:val="0000FF"/>
        </w:rPr>
        <w:t>(ii) if the RFR for such Benchmark is Daily</w:t>
      </w:r>
      <w:r>
        <w:rPr>
          <w:rFonts w:ascii="Arial" w:cs="Arial" w:eastAsia="Arial" w:hAnsi="Arial"/>
          <w:sz w:val="21"/>
          <w:szCs w:val="21"/>
          <w:b w:val="1"/>
          <w:bCs w:val="1"/>
          <w:color w:val="0000FF"/>
        </w:rPr>
        <w:t xml:space="preserve"> </w:t>
      </w:r>
      <w:r>
        <w:rPr>
          <w:rFonts w:ascii="Arial" w:cs="Arial" w:eastAsia="Arial" w:hAnsi="Arial"/>
          <w:sz w:val="21"/>
          <w:szCs w:val="21"/>
          <w:b w:val="1"/>
          <w:bCs w:val="1"/>
          <w:u w:val="single" w:color="auto"/>
          <w:color w:val="0000FF"/>
        </w:rPr>
        <w:t>Simple SOFR, then four (4) U.S. Government Securities Business Days prior to such setting or (iii</w:t>
      </w:r>
      <w:r>
        <w:rPr>
          <w:rFonts w:ascii="Arial" w:cs="Arial" w:eastAsia="Arial" w:hAnsi="Arial"/>
          <w:sz w:val="21"/>
          <w:szCs w:val="21"/>
          <w:color w:val="000000"/>
        </w:rPr>
        <w:t>) if such Benchmark is</w:t>
      </w:r>
      <w:r>
        <w:rPr>
          <w:rFonts w:ascii="Arial" w:cs="Arial" w:eastAsia="Arial" w:hAnsi="Arial"/>
          <w:sz w:val="21"/>
          <w:szCs w:val="21"/>
          <w:b w:val="1"/>
          <w:bCs w:val="1"/>
          <w:color w:val="0000FF"/>
        </w:rPr>
        <w:t xml:space="preserve"> </w:t>
      </w:r>
      <w:r>
        <w:rPr>
          <w:rFonts w:ascii="Arial" w:cs="Arial" w:eastAsia="Arial" w:hAnsi="Arial"/>
          <w:sz w:val="21"/>
          <w:szCs w:val="21"/>
          <w:b w:val="1"/>
          <w:bCs w:val="1"/>
          <w:color w:val="FF0000"/>
          <w:strike w:val="1"/>
        </w:rPr>
        <w:t>not</w:t>
      </w:r>
      <w:r>
        <w:rPr>
          <w:rFonts w:ascii="Arial" w:cs="Arial" w:eastAsia="Arial" w:hAnsi="Arial"/>
          <w:sz w:val="21"/>
          <w:szCs w:val="21"/>
          <w:b w:val="1"/>
          <w:bCs w:val="1"/>
          <w:u w:val="single" w:color="auto"/>
          <w:color w:val="0000FF"/>
        </w:rPr>
        <w:t>none of</w:t>
      </w:r>
      <w:r>
        <w:rPr>
          <w:rFonts w:ascii="Arial" w:cs="Arial" w:eastAsia="Arial" w:hAnsi="Arial"/>
          <w:sz w:val="21"/>
          <w:szCs w:val="21"/>
          <w:b w:val="1"/>
          <w:bCs w:val="1"/>
          <w:color w:val="FF0000"/>
        </w:rPr>
        <w:t xml:space="preserve"> </w:t>
      </w:r>
      <w:r>
        <w:rPr>
          <w:rFonts w:ascii="Arial" w:cs="Arial" w:eastAsia="Arial" w:hAnsi="Arial"/>
          <w:sz w:val="21"/>
          <w:szCs w:val="21"/>
          <w:color w:val="000000"/>
        </w:rPr>
        <w:t>the</w:t>
      </w:r>
      <w:r>
        <w:rPr>
          <w:rFonts w:ascii="Arial" w:cs="Arial" w:eastAsia="Arial" w:hAnsi="Arial"/>
          <w:sz w:val="21"/>
          <w:szCs w:val="21"/>
          <w:b w:val="1"/>
          <w:bCs w:val="1"/>
          <w:color w:val="FF0000"/>
        </w:rPr>
        <w:t xml:space="preserve"> </w:t>
      </w:r>
      <w:r>
        <w:rPr>
          <w:rFonts w:ascii="Arial" w:cs="Arial" w:eastAsia="Arial" w:hAnsi="Arial"/>
          <w:sz w:val="21"/>
          <w:szCs w:val="21"/>
          <w:b w:val="1"/>
          <w:bCs w:val="1"/>
          <w:color w:val="FF0000"/>
          <w:strike w:val="1"/>
        </w:rPr>
        <w:t>LIBO</w:t>
      </w:r>
      <w:r>
        <w:rPr>
          <w:rFonts w:ascii="Arial" w:cs="Arial" w:eastAsia="Arial" w:hAnsi="Arial"/>
          <w:sz w:val="21"/>
          <w:szCs w:val="21"/>
          <w:b w:val="1"/>
          <w:bCs w:val="1"/>
          <w:u w:val="single" w:color="auto"/>
          <w:color w:val="0000FF"/>
        </w:rPr>
        <w:t>Term SOFR</w:t>
      </w:r>
      <w:r>
        <w:rPr>
          <w:rFonts w:ascii="Arial" w:cs="Arial" w:eastAsia="Arial" w:hAnsi="Arial"/>
          <w:sz w:val="21"/>
          <w:szCs w:val="21"/>
          <w:b w:val="1"/>
          <w:bCs w:val="1"/>
          <w:color w:val="FF0000"/>
        </w:rPr>
        <w:t xml:space="preserve"> </w:t>
      </w:r>
      <w:r>
        <w:rPr>
          <w:rFonts w:ascii="Arial" w:cs="Arial" w:eastAsia="Arial" w:hAnsi="Arial"/>
          <w:sz w:val="21"/>
          <w:szCs w:val="21"/>
          <w:color w:val="000000"/>
        </w:rPr>
        <w:t>Rate</w:t>
      </w:r>
      <w:r>
        <w:rPr>
          <w:rFonts w:ascii="Arial" w:cs="Arial" w:eastAsia="Arial" w:hAnsi="Arial"/>
          <w:sz w:val="21"/>
          <w:szCs w:val="21"/>
          <w:b w:val="1"/>
          <w:bCs w:val="1"/>
          <w:color w:val="FF0000"/>
        </w:rPr>
        <w:t xml:space="preserve"> </w:t>
      </w:r>
      <w:r>
        <w:rPr>
          <w:rFonts w:ascii="Arial" w:cs="Arial" w:eastAsia="Arial" w:hAnsi="Arial"/>
          <w:sz w:val="21"/>
          <w:szCs w:val="21"/>
          <w:b w:val="1"/>
          <w:bCs w:val="1"/>
          <w:color w:val="0000FF"/>
        </w:rPr>
        <w:t>or Daily Simple SOFR</w:t>
      </w:r>
      <w:r>
        <w:rPr>
          <w:rFonts w:ascii="Arial" w:cs="Arial" w:eastAsia="Arial" w:hAnsi="Arial"/>
          <w:sz w:val="21"/>
          <w:szCs w:val="21"/>
          <w:color w:val="000000"/>
        </w:rPr>
        <w:t>, the time determined by the Administrative Agent in its reasonable</w:t>
      </w:r>
      <w:r>
        <w:rPr>
          <w:rFonts w:ascii="Arial" w:cs="Arial" w:eastAsia="Arial" w:hAnsi="Arial"/>
          <w:sz w:val="21"/>
          <w:szCs w:val="21"/>
          <w:b w:val="1"/>
          <w:bCs w:val="1"/>
          <w:color w:val="FF0000"/>
        </w:rPr>
        <w:t xml:space="preserve"> </w:t>
      </w:r>
      <w:r>
        <w:rPr>
          <w:rFonts w:ascii="Arial" w:cs="Arial" w:eastAsia="Arial" w:hAnsi="Arial"/>
          <w:sz w:val="21"/>
          <w:szCs w:val="21"/>
          <w:color w:val="000000"/>
        </w:rPr>
        <w:t>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2176145</wp:posOffset>
            </wp:positionH>
            <wp:positionV relativeFrom="paragraph">
              <wp:posOffset>-164465</wp:posOffset>
            </wp:positionV>
            <wp:extent cx="13309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spacing w:after="0" w:line="136"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Relevant Governmental Body</w:t>
      </w:r>
      <w:r>
        <w:rPr>
          <w:rFonts w:ascii="Arial" w:cs="Arial" w:eastAsia="Arial" w:hAnsi="Arial"/>
          <w:sz w:val="21"/>
          <w:szCs w:val="21"/>
          <w:color w:val="auto"/>
        </w:rPr>
        <w:t>” means the Board and/or the NYFRB, or a committee officially endorsed or convened by the Board and/or the NYFRB or, in each case, any successor thereto.</w:t>
      </w:r>
    </w:p>
    <w:p>
      <w:pPr>
        <w:spacing w:after="0" w:line="149"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1"/>
          <w:szCs w:val="21"/>
          <w:b w:val="1"/>
          <w:bCs w:val="1"/>
          <w:u w:val="single" w:color="auto"/>
          <w:color w:val="0000FF"/>
        </w:rPr>
        <w:t>“Relevant Rate” means (i) with respect to any Term Benchmark Borrowing, the Adjusted Term SOFR Rate or (ii) with respect to any RFR Borrowing, the Adjusted Daily Simple SOFR, as applicable.</w:t>
      </w:r>
    </w:p>
    <w:p>
      <w:pPr>
        <w:spacing w:after="0" w:line="143" w:lineRule="exact"/>
        <w:rPr>
          <w:sz w:val="20"/>
          <w:szCs w:val="20"/>
          <w:color w:val="auto"/>
        </w:rPr>
      </w:pPr>
    </w:p>
    <w:p>
      <w:pPr>
        <w:jc w:val="both"/>
        <w:ind w:firstLine="636"/>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SOFR</w:t>
      </w:r>
      <w:r>
        <w:rPr>
          <w:rFonts w:ascii="Arial" w:cs="Arial" w:eastAsia="Arial" w:hAnsi="Arial"/>
          <w:sz w:val="21"/>
          <w:szCs w:val="21"/>
          <w:color w:val="auto"/>
        </w:rPr>
        <w:t>” means</w:t>
      </w:r>
      <w:r>
        <w:rPr>
          <w:rFonts w:ascii="Arial" w:cs="Arial" w:eastAsia="Arial" w:hAnsi="Arial"/>
          <w:sz w:val="21"/>
          <w:szCs w:val="21"/>
          <w:b w:val="1"/>
          <w:bCs w:val="1"/>
          <w:color w:val="FF0000"/>
          <w:strike w:val="1"/>
        </w:rPr>
        <w:t>, with respect to any Business Day,</w:t>
      </w:r>
      <w:r>
        <w:rPr>
          <w:rFonts w:ascii="Arial" w:cs="Arial" w:eastAsia="Arial" w:hAnsi="Arial"/>
          <w:sz w:val="21"/>
          <w:szCs w:val="21"/>
          <w:color w:val="auto"/>
        </w:rPr>
        <w:t xml:space="preserve"> a rate </w:t>
      </w:r>
      <w:r>
        <w:rPr>
          <w:rFonts w:ascii="Arial" w:cs="Arial" w:eastAsia="Arial" w:hAnsi="Arial"/>
          <w:sz w:val="21"/>
          <w:szCs w:val="21"/>
          <w:b w:val="1"/>
          <w:bCs w:val="1"/>
          <w:color w:val="FF0000"/>
          <w:strike w:val="1"/>
        </w:rPr>
        <w:t>per annum</w:t>
      </w:r>
      <w:r>
        <w:rPr>
          <w:rFonts w:ascii="Arial" w:cs="Arial" w:eastAsia="Arial" w:hAnsi="Arial"/>
          <w:sz w:val="21"/>
          <w:szCs w:val="21"/>
          <w:color w:val="auto"/>
        </w:rPr>
        <w:t xml:space="preserve"> equal to the secured overnight financing rate </w:t>
      </w:r>
      <w:r>
        <w:rPr>
          <w:rFonts w:ascii="Arial" w:cs="Arial" w:eastAsia="Arial" w:hAnsi="Arial"/>
          <w:sz w:val="21"/>
          <w:szCs w:val="21"/>
          <w:b w:val="1"/>
          <w:bCs w:val="1"/>
          <w:color w:val="FF0000"/>
          <w:strike w:val="1"/>
        </w:rPr>
        <w:t>for such</w:t>
      </w:r>
      <w:r>
        <w:rPr>
          <w:rFonts w:ascii="Arial" w:cs="Arial" w:eastAsia="Arial" w:hAnsi="Arial"/>
          <w:sz w:val="21"/>
          <w:szCs w:val="21"/>
          <w:color w:val="auto"/>
        </w:rPr>
        <w:t xml:space="preserve"> </w:t>
      </w:r>
      <w:r>
        <w:rPr>
          <w:rFonts w:ascii="Arial" w:cs="Arial" w:eastAsia="Arial" w:hAnsi="Arial"/>
          <w:sz w:val="21"/>
          <w:szCs w:val="21"/>
          <w:b w:val="1"/>
          <w:bCs w:val="1"/>
          <w:color w:val="FF0000"/>
          <w:strike w:val="1"/>
        </w:rPr>
        <w:t>Business Day published</w:t>
      </w:r>
      <w:r>
        <w:rPr>
          <w:rFonts w:ascii="Arial" w:cs="Arial" w:eastAsia="Arial" w:hAnsi="Arial"/>
          <w:sz w:val="21"/>
          <w:szCs w:val="21"/>
          <w:b w:val="1"/>
          <w:bCs w:val="1"/>
          <w:u w:val="single" w:color="auto"/>
          <w:color w:val="0000FF"/>
        </w:rPr>
        <w:t>as administered</w:t>
      </w:r>
      <w:r>
        <w:rPr>
          <w:rFonts w:ascii="Arial" w:cs="Arial" w:eastAsia="Arial" w:hAnsi="Arial"/>
          <w:sz w:val="21"/>
          <w:szCs w:val="21"/>
          <w:b w:val="1"/>
          <w:bCs w:val="1"/>
          <w:color w:val="FF0000"/>
        </w:rPr>
        <w:t xml:space="preserve"> </w:t>
      </w:r>
      <w:r>
        <w:rPr>
          <w:rFonts w:ascii="Arial" w:cs="Arial" w:eastAsia="Arial" w:hAnsi="Arial"/>
          <w:sz w:val="21"/>
          <w:szCs w:val="21"/>
          <w:color w:val="000000"/>
        </w:rPr>
        <w:t>by the SOFR Administrator</w:t>
      </w:r>
      <w:r>
        <w:rPr>
          <w:rFonts w:ascii="Arial" w:cs="Arial" w:eastAsia="Arial" w:hAnsi="Arial"/>
          <w:sz w:val="21"/>
          <w:szCs w:val="21"/>
          <w:b w:val="1"/>
          <w:bCs w:val="1"/>
          <w:color w:val="FF0000"/>
        </w:rPr>
        <w:t xml:space="preserve"> on the SOFR Administrator’s Website on the immediately </w:t>
      </w:r>
      <w:r>
        <w:rPr>
          <w:rFonts w:ascii="Arial" w:cs="Arial" w:eastAsia="Arial" w:hAnsi="Arial"/>
          <w:sz w:val="21"/>
          <w:szCs w:val="21"/>
          <w:b w:val="1"/>
          <w:bCs w:val="1"/>
          <w:color w:val="FF0000"/>
          <w:strike w:val="1"/>
        </w:rPr>
        <w:t>succeeding Business Day</w:t>
      </w:r>
      <w:r>
        <w:rPr>
          <w:rFonts w:ascii="Arial" w:cs="Arial" w:eastAsia="Arial" w:hAnsi="Arial"/>
          <w:sz w:val="21"/>
          <w:szCs w:val="2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3784600</wp:posOffset>
            </wp:positionH>
            <wp:positionV relativeFrom="paragraph">
              <wp:posOffset>-216535</wp:posOffset>
            </wp:positionV>
            <wp:extent cx="335470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54705" cy="8255"/>
                    </a:xfrm>
                    <a:prstGeom prst="rect">
                      <a:avLst/>
                    </a:prstGeom>
                    <a:noFill/>
                  </pic:spPr>
                </pic:pic>
              </a:graphicData>
            </a:graphic>
          </wp:anchor>
        </w:drawing>
      </w:r>
    </w:p>
    <w:p>
      <w:pPr>
        <w:spacing w:after="0" w:line="13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SOFR Administrator</w:t>
      </w:r>
      <w:r>
        <w:rPr>
          <w:rFonts w:ascii="Arial" w:cs="Arial" w:eastAsia="Arial" w:hAnsi="Arial"/>
          <w:sz w:val="21"/>
          <w:szCs w:val="21"/>
          <w:color w:val="auto"/>
        </w:rPr>
        <w:t>” means the NYFRB (or a successor administrator of the secured overnight financing rate).</w:t>
      </w:r>
    </w:p>
    <w:p>
      <w:pPr>
        <w:spacing w:after="0" w:line="183" w:lineRule="exact"/>
        <w:rPr>
          <w:sz w:val="20"/>
          <w:szCs w:val="20"/>
          <w:color w:val="auto"/>
        </w:rPr>
      </w:pPr>
    </w:p>
    <w:p>
      <w:pPr>
        <w:jc w:val="both"/>
        <w:ind w:firstLine="636"/>
        <w:spacing w:after="0" w:line="26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 Administrator’s Website</w:t>
      </w:r>
      <w:r>
        <w:rPr>
          <w:rFonts w:ascii="Arial" w:cs="Arial" w:eastAsia="Arial" w:hAnsi="Arial"/>
          <w:sz w:val="20"/>
          <w:szCs w:val="20"/>
          <w:color w:val="auto"/>
        </w:rPr>
        <w:t>” means the NYFRB’s Website, currently at http://www.newyorkfed.org, or any successor source for the secured overnight financing rate identified as such by the SOFR Administrator from time to time.</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21"/>
          <w:szCs w:val="21"/>
          <w:b w:val="1"/>
          <w:bCs w:val="1"/>
          <w:u w:val="single" w:color="auto"/>
          <w:color w:val="0000FF"/>
        </w:rPr>
        <w:t>“SOFR Rate Day” has the meaning specified in the definition of “Daily Simple SOFR”.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80</w:t>
      </w:r>
    </w:p>
    <w:p>
      <w:pPr>
        <w:sectPr>
          <w:pgSz w:w="11900" w:h="16838" w:orient="portrait"/>
          <w:cols w:equalWidth="0" w:num="1">
            <w:col w:w="11240"/>
          </w:cols>
          <w:pgMar w:left="320" w:top="1146" w:right="339" w:bottom="1440" w:gutter="0" w:footer="0" w:header="0"/>
        </w:sectPr>
      </w:pPr>
    </w:p>
    <w:bookmarkStart w:id="219" w:name="page220"/>
    <w:bookmarkEnd w:id="219"/>
    <w:p>
      <w:pPr>
        <w:jc w:val="both"/>
        <w:ind w:firstLine="636"/>
        <w:spacing w:after="0" w:line="270" w:lineRule="auto"/>
        <w:rPr>
          <w:sz w:val="20"/>
          <w:szCs w:val="20"/>
          <w:color w:val="auto"/>
        </w:rPr>
      </w:pPr>
      <w:r>
        <w:rPr>
          <w:rFonts w:ascii="Arial" w:cs="Arial" w:eastAsia="Arial" w:hAnsi="Arial"/>
          <w:sz w:val="20"/>
          <w:szCs w:val="20"/>
          <w:b w:val="1"/>
          <w:bCs w:val="1"/>
          <w:color w:val="FF0000"/>
          <w:strike w:val="1"/>
        </w:rPr>
        <w:t>“</w:t>
      </w:r>
      <w:r>
        <w:rPr>
          <w:rFonts w:ascii="Arial" w:cs="Arial" w:eastAsia="Arial" w:hAnsi="Arial"/>
          <w:sz w:val="20"/>
          <w:szCs w:val="20"/>
          <w:b w:val="1"/>
          <w:bCs w:val="1"/>
          <w:u w:val="single" w:color="auto"/>
          <w:color w:val="FF0000"/>
          <w:strike w:val="1"/>
        </w:rPr>
        <w:t>Term SOFR</w:t>
      </w:r>
      <w:r>
        <w:rPr>
          <w:rFonts w:ascii="Arial" w:cs="Arial" w:eastAsia="Arial" w:hAnsi="Arial"/>
          <w:sz w:val="20"/>
          <w:szCs w:val="20"/>
          <w:b w:val="1"/>
          <w:bCs w:val="1"/>
          <w:color w:val="FF0000"/>
          <w:strike w:val="1"/>
        </w:rPr>
        <w:t>” means, for the applicable Corresponding Tenor as of the applicable Reference Time, the forward-looking term rate based on SOFR that has been selected or recommended by the Relevant Governmental Body.</w:t>
      </w:r>
    </w:p>
    <w:p>
      <w:pPr>
        <w:spacing w:after="0" w:line="119"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1"/>
          <w:szCs w:val="21"/>
          <w:b w:val="1"/>
          <w:bCs w:val="1"/>
          <w:color w:val="FF0000"/>
          <w:strike w:val="1"/>
        </w:rPr>
        <w:t>“</w:t>
      </w:r>
      <w:r>
        <w:rPr>
          <w:rFonts w:ascii="Arial" w:cs="Arial" w:eastAsia="Arial" w:hAnsi="Arial"/>
          <w:sz w:val="21"/>
          <w:szCs w:val="21"/>
          <w:b w:val="1"/>
          <w:bCs w:val="1"/>
          <w:u w:val="single" w:color="auto"/>
          <w:color w:val="FF0000"/>
          <w:strike w:val="1"/>
        </w:rPr>
        <w:t>Term SOFR Notice</w:t>
      </w:r>
      <w:r>
        <w:rPr>
          <w:rFonts w:ascii="Arial" w:cs="Arial" w:eastAsia="Arial" w:hAnsi="Arial"/>
          <w:sz w:val="21"/>
          <w:szCs w:val="21"/>
          <w:b w:val="1"/>
          <w:bCs w:val="1"/>
          <w:color w:val="FF0000"/>
          <w:strike w:val="1"/>
        </w:rPr>
        <w:t>” means a notification by the Administrative Agent to the Lenders and the Borrower of the occurrence of a Term SOFR Transition Event.</w:t>
      </w:r>
    </w:p>
    <w:p>
      <w:pPr>
        <w:spacing w:after="0" w:line="143" w:lineRule="exact"/>
        <w:rPr>
          <w:sz w:val="20"/>
          <w:szCs w:val="20"/>
          <w:color w:val="auto"/>
        </w:rPr>
      </w:pPr>
    </w:p>
    <w:p>
      <w:pPr>
        <w:jc w:val="both"/>
        <w:ind w:firstLine="636"/>
        <w:spacing w:after="0" w:line="234" w:lineRule="auto"/>
        <w:rPr>
          <w:sz w:val="20"/>
          <w:szCs w:val="20"/>
          <w:color w:val="auto"/>
        </w:rPr>
      </w:pPr>
      <w:r>
        <w:rPr>
          <w:rFonts w:ascii="Arial" w:cs="Arial" w:eastAsia="Arial" w:hAnsi="Arial"/>
          <w:sz w:val="20"/>
          <w:szCs w:val="20"/>
          <w:b w:val="1"/>
          <w:bCs w:val="1"/>
          <w:color w:val="FF0000"/>
          <w:strike w:val="1"/>
        </w:rPr>
        <w:t>“</w:t>
      </w:r>
      <w:r>
        <w:rPr>
          <w:rFonts w:ascii="Arial" w:cs="Arial" w:eastAsia="Arial" w:hAnsi="Arial"/>
          <w:sz w:val="20"/>
          <w:szCs w:val="20"/>
          <w:b w:val="1"/>
          <w:bCs w:val="1"/>
          <w:u w:val="single" w:color="auto"/>
          <w:color w:val="FF0000"/>
          <w:strike w:val="1"/>
        </w:rPr>
        <w:t>Term SOFR Transition Event</w:t>
      </w:r>
      <w:r>
        <w:rPr>
          <w:rFonts w:ascii="Arial" w:cs="Arial" w:eastAsia="Arial" w:hAnsi="Arial"/>
          <w:sz w:val="20"/>
          <w:szCs w:val="20"/>
          <w:b w:val="1"/>
          <w:bCs w:val="1"/>
          <w:color w:val="FF0000"/>
          <w:strike w:val="1"/>
        </w:rPr>
        <w:t xml:space="preserve"> ” means the determination by the Administrative Agent that (a) Term SOFR has been recommended for use by the Relevant Governmental Body, (b) the administration of Term SOFR is administratively feasible for the Administrative Agent and (c) a Benchmark Transition Event or an Early Opt-in Election, as applicable (and, for the avoidance of doubt, not in the case of an Other Benchmark Rate Election), has previously occurred resulting in a Benchmark Replacement in accordance with Section 2.17 that is not Term SOFR.</w:t>
      </w:r>
    </w:p>
    <w:p>
      <w:pPr>
        <w:spacing w:after="0" w:line="157"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Unadjusted Benchmark Replacement</w:t>
      </w:r>
      <w:r>
        <w:rPr>
          <w:rFonts w:ascii="Arial" w:cs="Arial" w:eastAsia="Arial" w:hAnsi="Arial"/>
          <w:sz w:val="21"/>
          <w:szCs w:val="21"/>
          <w:color w:val="auto"/>
        </w:rPr>
        <w:t>” means the applicable Benchmark Replacement excluding the related Benchmark Replacement Adjustment.</w:t>
      </w:r>
    </w:p>
    <w:p>
      <w:pPr>
        <w:spacing w:after="0" w:line="155" w:lineRule="exact"/>
        <w:rPr>
          <w:sz w:val="20"/>
          <w:szCs w:val="20"/>
          <w:color w:val="auto"/>
        </w:rPr>
      </w:pPr>
    </w:p>
    <w:p>
      <w:pPr>
        <w:ind w:left="5000"/>
        <w:spacing w:after="0"/>
        <w:rPr>
          <w:sz w:val="20"/>
          <w:szCs w:val="20"/>
          <w:color w:val="auto"/>
        </w:rPr>
      </w:pPr>
      <w:r>
        <w:rPr>
          <w:rFonts w:ascii="Arial" w:cs="Arial" w:eastAsia="Arial" w:hAnsi="Arial"/>
          <w:sz w:val="21"/>
          <w:szCs w:val="21"/>
          <w:color w:val="auto"/>
        </w:rPr>
        <w:t>ARTICLE 3</w:t>
      </w:r>
    </w:p>
    <w:p>
      <w:pPr>
        <w:spacing w:after="0" w:line="183" w:lineRule="exact"/>
        <w:rPr>
          <w:sz w:val="20"/>
          <w:szCs w:val="20"/>
          <w:color w:val="auto"/>
        </w:rPr>
      </w:pPr>
    </w:p>
    <w:p>
      <w:pPr>
        <w:ind w:left="3340"/>
        <w:spacing w:after="0"/>
        <w:rPr>
          <w:sz w:val="20"/>
          <w:szCs w:val="20"/>
          <w:color w:val="auto"/>
        </w:rPr>
      </w:pPr>
      <w:r>
        <w:rPr>
          <w:rFonts w:ascii="Arial" w:cs="Arial" w:eastAsia="Arial" w:hAnsi="Arial"/>
          <w:sz w:val="21"/>
          <w:szCs w:val="21"/>
          <w:color w:val="auto"/>
        </w:rPr>
        <w:t>TAXES, YIELD PROTECTION AND ILLEGALITY</w:t>
      </w:r>
    </w:p>
    <w:p>
      <w:pPr>
        <w:spacing w:after="0" w:line="183" w:lineRule="exact"/>
        <w:rPr>
          <w:sz w:val="20"/>
          <w:szCs w:val="20"/>
          <w:color w:val="auto"/>
        </w:rPr>
      </w:pPr>
    </w:p>
    <w:p>
      <w:pPr>
        <w:ind w:left="960"/>
        <w:spacing w:after="0"/>
        <w:tabs>
          <w:tab w:leader="none" w:pos="2220" w:val="left"/>
        </w:tabs>
        <w:rPr>
          <w:sz w:val="20"/>
          <w:szCs w:val="20"/>
          <w:color w:val="auto"/>
        </w:rPr>
      </w:pPr>
      <w:r>
        <w:rPr>
          <w:rFonts w:ascii="Arial" w:cs="Arial" w:eastAsia="Arial" w:hAnsi="Arial"/>
          <w:sz w:val="21"/>
          <w:szCs w:val="21"/>
          <w:color w:val="auto"/>
        </w:rPr>
        <w:t>Section 3.01</w:t>
      </w:r>
      <w:r>
        <w:rPr>
          <w:sz w:val="20"/>
          <w:szCs w:val="20"/>
          <w:color w:val="auto"/>
        </w:rPr>
        <w:tab/>
      </w:r>
      <w:r>
        <w:rPr>
          <w:rFonts w:ascii="Arial" w:cs="Arial" w:eastAsia="Arial" w:hAnsi="Arial"/>
          <w:sz w:val="17"/>
          <w:szCs w:val="17"/>
          <w:u w:val="single" w:color="auto"/>
          <w:color w:val="auto"/>
        </w:rPr>
        <w:t>Taxes</w:t>
      </w:r>
      <w:r>
        <w:rPr>
          <w:rFonts w:ascii="Arial" w:cs="Arial" w:eastAsia="Arial" w:hAnsi="Arial"/>
          <w:sz w:val="17"/>
          <w:szCs w:val="17"/>
          <w:color w:val="auto"/>
        </w:rPr>
        <w:t>.</w:t>
      </w:r>
    </w:p>
    <w:p>
      <w:pPr>
        <w:spacing w:after="0" w:line="183" w:lineRule="exact"/>
        <w:rPr>
          <w:sz w:val="20"/>
          <w:szCs w:val="20"/>
          <w:color w:val="auto"/>
        </w:rPr>
      </w:pPr>
    </w:p>
    <w:p>
      <w:pPr>
        <w:jc w:val="both"/>
        <w:ind w:firstLine="630"/>
        <w:spacing w:after="0" w:line="226" w:lineRule="auto"/>
        <w:tabs>
          <w:tab w:leader="none" w:pos="938" w:val="left"/>
        </w:tabs>
        <w:numPr>
          <w:ilvl w:val="0"/>
          <w:numId w:val="175"/>
        </w:numPr>
        <w:rPr>
          <w:rFonts w:ascii="Arial" w:cs="Arial" w:eastAsia="Arial" w:hAnsi="Arial"/>
          <w:sz w:val="20"/>
          <w:szCs w:val="20"/>
          <w:color w:val="auto"/>
        </w:rPr>
      </w:pPr>
      <w:r>
        <w:rPr>
          <w:rFonts w:ascii="Arial" w:cs="Arial" w:eastAsia="Arial" w:hAnsi="Arial"/>
          <w:sz w:val="20"/>
          <w:szCs w:val="20"/>
          <w:u w:val="single" w:color="auto"/>
          <w:color w:val="auto"/>
        </w:rPr>
        <w:t>Payments Free of Taxes; Obligation to Withhold; Payments on Account of Taxes</w:t>
      </w:r>
      <w:r>
        <w:rPr>
          <w:rFonts w:ascii="Arial" w:cs="Arial" w:eastAsia="Arial" w:hAnsi="Arial"/>
          <w:sz w:val="20"/>
          <w:szCs w:val="20"/>
          <w:color w:val="auto"/>
        </w:rPr>
        <w:t xml:space="preserve">. (i) Any and all payments by or on account of any obligation of any Loan Party hereunder or under any other Loan Document shall to the extent permitted by applicable Laws be made free and clear of and without reduction or withholding for any Taxes. If, however, any Withholding Agent shall be required by applicable Law to withhold or deduct any Taxes from any payment, then (A) such Withholding Agent shall be entitled to withhold or make such deductions as are determined by such Withholding Agent to be required, including based upon the information and documentation it has received pursuant to </w:t>
      </w:r>
      <w:r>
        <w:rPr>
          <w:rFonts w:ascii="Arial" w:cs="Arial" w:eastAsia="Arial" w:hAnsi="Arial"/>
          <w:sz w:val="20"/>
          <w:szCs w:val="20"/>
          <w:u w:val="single" w:color="auto"/>
          <w:color w:val="auto"/>
        </w:rPr>
        <w:t>Section 3.01(e)</w:t>
      </w:r>
      <w:r>
        <w:rPr>
          <w:rFonts w:ascii="Arial" w:cs="Arial" w:eastAsia="Arial" w:hAnsi="Arial"/>
          <w:sz w:val="20"/>
          <w:szCs w:val="20"/>
          <w:color w:val="auto"/>
        </w:rPr>
        <w:t xml:space="preserve">, (B) such Withholding Agent shall timely pay the full amount withheld or deducted to the relevant Governmental Authority in accordance with applicable Law, and (C) to the extent that the withholding or deduction is made on account of Indemnified Taxes, the sum payable by such Loan Party shall be increased as necessary so that after any required withholding or the making of all required deductions (including withholding or deductions applicable to additional sums payable under this </w:t>
      </w:r>
      <w:r>
        <w:rPr>
          <w:rFonts w:ascii="Arial" w:cs="Arial" w:eastAsia="Arial" w:hAnsi="Arial"/>
          <w:sz w:val="20"/>
          <w:szCs w:val="20"/>
          <w:u w:val="single" w:color="auto"/>
          <w:color w:val="auto"/>
        </w:rPr>
        <w:t>Section 3.01</w:t>
      </w:r>
      <w:r>
        <w:rPr>
          <w:rFonts w:ascii="Arial" w:cs="Arial" w:eastAsia="Arial" w:hAnsi="Arial"/>
          <w:sz w:val="20"/>
          <w:szCs w:val="20"/>
          <w:color w:val="auto"/>
        </w:rPr>
        <w:t>) the Administrative Agent, the applicable Lender or the applicable L/C Issuer, as the case may be, receives an amount equal to the sum it would have received had no such withholding or deduction been made.</w:t>
      </w:r>
    </w:p>
    <w:p>
      <w:pPr>
        <w:spacing w:after="0" w:line="157" w:lineRule="exact"/>
        <w:rPr>
          <w:rFonts w:ascii="Arial" w:cs="Arial" w:eastAsia="Arial" w:hAnsi="Arial"/>
          <w:sz w:val="20"/>
          <w:szCs w:val="20"/>
          <w:color w:val="auto"/>
        </w:rPr>
      </w:pPr>
    </w:p>
    <w:p>
      <w:pPr>
        <w:jc w:val="both"/>
        <w:ind w:right="40" w:firstLine="1036"/>
        <w:spacing w:after="0" w:line="230" w:lineRule="auto"/>
        <w:tabs>
          <w:tab w:leader="none" w:pos="1562" w:val="left"/>
        </w:tabs>
        <w:numPr>
          <w:ilvl w:val="1"/>
          <w:numId w:val="175"/>
        </w:numPr>
        <w:rPr>
          <w:rFonts w:ascii="Arial" w:cs="Arial" w:eastAsia="Arial" w:hAnsi="Arial"/>
          <w:sz w:val="21"/>
          <w:szCs w:val="21"/>
          <w:color w:val="auto"/>
        </w:rPr>
      </w:pPr>
      <w:r>
        <w:rPr>
          <w:rFonts w:ascii="Arial" w:cs="Arial" w:eastAsia="Arial" w:hAnsi="Arial"/>
          <w:sz w:val="21"/>
          <w:szCs w:val="21"/>
          <w:u w:val="single" w:color="auto"/>
          <w:color w:val="auto"/>
        </w:rPr>
        <w:t>Payment of Other Taxes by the Loan Parties</w:t>
      </w:r>
      <w:r>
        <w:rPr>
          <w:rFonts w:ascii="Arial" w:cs="Arial" w:eastAsia="Arial" w:hAnsi="Arial"/>
          <w:sz w:val="21"/>
          <w:szCs w:val="21"/>
          <w:color w:val="auto"/>
        </w:rPr>
        <w:t xml:space="preserve">. Without limiting the provisions of </w:t>
      </w:r>
      <w:r>
        <w:rPr>
          <w:rFonts w:ascii="Arial" w:cs="Arial" w:eastAsia="Arial" w:hAnsi="Arial"/>
          <w:sz w:val="21"/>
          <w:szCs w:val="21"/>
          <w:u w:val="single" w:color="auto"/>
          <w:color w:val="auto"/>
        </w:rPr>
        <w:t>Section 3.01(a)</w:t>
      </w:r>
      <w:r>
        <w:rPr>
          <w:rFonts w:ascii="Arial" w:cs="Arial" w:eastAsia="Arial" w:hAnsi="Arial"/>
          <w:sz w:val="21"/>
          <w:szCs w:val="21"/>
          <w:color w:val="auto"/>
        </w:rPr>
        <w:t>, the Loan Parties shall timely pay any Other Taxes to the relevant Governmental Authority in accordance with applicable Laws or at the option of the Administrative Agent timely reimburse it for the payment of any Other Taxes.</w:t>
      </w:r>
    </w:p>
    <w:p>
      <w:pPr>
        <w:spacing w:after="0" w:line="153" w:lineRule="exact"/>
        <w:rPr>
          <w:rFonts w:ascii="Arial" w:cs="Arial" w:eastAsia="Arial" w:hAnsi="Arial"/>
          <w:sz w:val="21"/>
          <w:szCs w:val="21"/>
          <w:color w:val="auto"/>
        </w:rPr>
      </w:pPr>
    </w:p>
    <w:p>
      <w:pPr>
        <w:jc w:val="both"/>
        <w:ind w:right="40" w:firstLine="1036"/>
        <w:spacing w:after="0" w:line="225" w:lineRule="auto"/>
        <w:tabs>
          <w:tab w:leader="none" w:pos="1633" w:val="left"/>
        </w:tabs>
        <w:numPr>
          <w:ilvl w:val="1"/>
          <w:numId w:val="175"/>
        </w:numPr>
        <w:rPr>
          <w:rFonts w:ascii="Arial" w:cs="Arial" w:eastAsia="Arial" w:hAnsi="Arial"/>
          <w:sz w:val="21"/>
          <w:szCs w:val="21"/>
          <w:color w:val="auto"/>
        </w:rPr>
      </w:pPr>
      <w:r>
        <w:rPr>
          <w:rFonts w:ascii="Arial" w:cs="Arial" w:eastAsia="Arial" w:hAnsi="Arial"/>
          <w:sz w:val="21"/>
          <w:szCs w:val="21"/>
          <w:u w:val="single" w:color="auto"/>
          <w:color w:val="auto"/>
        </w:rPr>
        <w:t>Tax Indemnifications</w:t>
      </w:r>
      <w:r>
        <w:rPr>
          <w:rFonts w:ascii="Arial" w:cs="Arial" w:eastAsia="Arial" w:hAnsi="Arial"/>
          <w:sz w:val="21"/>
          <w:szCs w:val="21"/>
          <w:color w:val="auto"/>
        </w:rPr>
        <w:t xml:space="preserve">. (i) Without limiting or duplication of the provisions of </w:t>
      </w:r>
      <w:r>
        <w:rPr>
          <w:rFonts w:ascii="Arial" w:cs="Arial" w:eastAsia="Arial" w:hAnsi="Arial"/>
          <w:sz w:val="21"/>
          <w:szCs w:val="21"/>
          <w:u w:val="single" w:color="auto"/>
          <w:color w:val="auto"/>
        </w:rPr>
        <w:t>Section 3.01(a)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3.01(b)</w:t>
      </w:r>
      <w:r>
        <w:rPr>
          <w:rFonts w:ascii="Arial" w:cs="Arial" w:eastAsia="Arial" w:hAnsi="Arial"/>
          <w:sz w:val="21"/>
          <w:szCs w:val="21"/>
          <w:color w:val="auto"/>
        </w:rPr>
        <w:t>, each Loan Party shall, and does hereby, indemnify the Administrative Agent, each Lender and each L/C Issuer, and shall make payment in respect thereof within 20 days after written demand therefor, for the full amount of any Indemnified Taxes (including Indemnified Taxes imposed or asserted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81</w:t>
      </w:r>
    </w:p>
    <w:p>
      <w:pPr>
        <w:sectPr>
          <w:pgSz w:w="11900" w:h="16838" w:orient="portrait"/>
          <w:cols w:equalWidth="0" w:num="1">
            <w:col w:w="11240"/>
          </w:cols>
          <w:pgMar w:left="320" w:top="1146" w:right="339" w:bottom="1440" w:gutter="0" w:footer="0" w:header="0"/>
        </w:sectPr>
      </w:pPr>
    </w:p>
    <w:bookmarkStart w:id="220" w:name="page221"/>
    <w:bookmarkEnd w:id="220"/>
    <w:p>
      <w:pPr>
        <w:jc w:val="both"/>
        <w:spacing w:after="0" w:line="242" w:lineRule="auto"/>
        <w:rPr>
          <w:sz w:val="20"/>
          <w:szCs w:val="20"/>
          <w:color w:val="auto"/>
        </w:rPr>
      </w:pPr>
      <w:r>
        <w:rPr>
          <w:rFonts w:ascii="Arial" w:cs="Arial" w:eastAsia="Arial" w:hAnsi="Arial"/>
          <w:sz w:val="19"/>
          <w:szCs w:val="19"/>
          <w:color w:val="auto"/>
        </w:rPr>
        <w:t xml:space="preserve">or attributable to amounts payable under this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payable or paid by the Administrative Agent, such Lender or such L/C Issuer or required to be withheld or deducted from a payment to such Lender or such L/C Issuer, as the case may be, and any penalties, interest and reasonable expenses (including the fees, charges and disbursements of any counsel for the Administrative Agent, such Lender or such L/C Issuer) arising therefrom or with respect thereto, whether or not such Indemnified Taxes were correctly or legally imposed or asserted by the relevant Governmental Authority. A certificate as to any amount due pursuant to this </w:t>
      </w:r>
      <w:r>
        <w:rPr>
          <w:rFonts w:ascii="Arial" w:cs="Arial" w:eastAsia="Arial" w:hAnsi="Arial"/>
          <w:sz w:val="19"/>
          <w:szCs w:val="19"/>
          <w:u w:val="single" w:color="auto"/>
          <w:color w:val="auto"/>
        </w:rPr>
        <w:t>Section 3.01(c)(i)</w:t>
      </w:r>
      <w:r>
        <w:rPr>
          <w:rFonts w:ascii="Arial" w:cs="Arial" w:eastAsia="Arial" w:hAnsi="Arial"/>
          <w:sz w:val="19"/>
          <w:szCs w:val="19"/>
          <w:color w:val="auto"/>
        </w:rPr>
        <w:t xml:space="preserve"> delivered to the Borrower by a Lender or a L/C Issuer (with a copy to the Administrative Agent), or by the Administrative Agent on its own behalf or on behalf of a Lender or an L/C Issuer, shall be conclusive absent manifest error.</w:t>
      </w:r>
    </w:p>
    <w:p>
      <w:pPr>
        <w:spacing w:after="0" w:line="154" w:lineRule="exact"/>
        <w:rPr>
          <w:sz w:val="20"/>
          <w:szCs w:val="20"/>
          <w:color w:val="auto"/>
        </w:rPr>
      </w:pPr>
    </w:p>
    <w:p>
      <w:pPr>
        <w:jc w:val="both"/>
        <w:ind w:left="640" w:firstLine="956"/>
        <w:spacing w:after="0" w:line="224" w:lineRule="auto"/>
        <w:tabs>
          <w:tab w:leader="none" w:pos="2116" w:val="left"/>
        </w:tabs>
        <w:numPr>
          <w:ilvl w:val="1"/>
          <w:numId w:val="176"/>
        </w:numPr>
        <w:rPr>
          <w:rFonts w:ascii="Arial" w:cs="Arial" w:eastAsia="Arial" w:hAnsi="Arial"/>
          <w:sz w:val="20"/>
          <w:szCs w:val="20"/>
          <w:color w:val="auto"/>
        </w:rPr>
      </w:pPr>
      <w:r>
        <w:rPr>
          <w:rFonts w:ascii="Arial" w:cs="Arial" w:eastAsia="Arial" w:hAnsi="Arial"/>
          <w:sz w:val="20"/>
          <w:szCs w:val="20"/>
          <w:color w:val="auto"/>
        </w:rPr>
        <w:t xml:space="preserve">Without limiting the provisions of </w:t>
      </w:r>
      <w:r>
        <w:rPr>
          <w:rFonts w:ascii="Arial" w:cs="Arial" w:eastAsia="Arial" w:hAnsi="Arial"/>
          <w:sz w:val="20"/>
          <w:szCs w:val="20"/>
          <w:u w:val="single" w:color="auto"/>
          <w:color w:val="auto"/>
        </w:rPr>
        <w:t>Section 3.01(a)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3.01(b)</w:t>
      </w:r>
      <w:r>
        <w:rPr>
          <w:rFonts w:ascii="Arial" w:cs="Arial" w:eastAsia="Arial" w:hAnsi="Arial"/>
          <w:sz w:val="20"/>
          <w:szCs w:val="20"/>
          <w:color w:val="auto"/>
        </w:rPr>
        <w:t xml:space="preserve">, and except as provided below, each Lender and each L/C Issuer shall, and does hereby, severally indemnify the Administrative Agent, and shall make payment in respect thereof within 20 days after written demand therefor, against any and all (A) Indemnified Taxes (but only to the extent that any Loan Party has not already indemnified the Administrative Agent for such Indemnified Taxes and without limiting the obligation of the Loan Parties to do so), (B) any Taxes attributable to such Lender’s or such L/C Issuer’s failure to comply with the provisions of Section 11.06(e) relating to the maintenance of a Participant Register, and (C)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or any L/C Issuer by the Administrative Agent shall be conclusive absent manifest error. Each Lender and each L/C Issuer hereby authorizes the Administrative Agent (on its own behalf or on behalf of such Lender or such L/C Issuer) to set off and apply any and all amounts (including interest and fees) at any time owing to such Lender or such L/C Issuer, as the case may be, under this Agreement or any other Loan Document against any amount due to the Administrative Agent under this </w:t>
      </w:r>
      <w:r>
        <w:rPr>
          <w:rFonts w:ascii="Arial" w:cs="Arial" w:eastAsia="Arial" w:hAnsi="Arial"/>
          <w:sz w:val="20"/>
          <w:szCs w:val="20"/>
          <w:u w:val="single" w:color="auto"/>
          <w:color w:val="auto"/>
        </w:rPr>
        <w:t>Section 3.01(c)(ii)</w:t>
      </w:r>
      <w:r>
        <w:rPr>
          <w:rFonts w:ascii="Arial" w:cs="Arial" w:eastAsia="Arial" w:hAnsi="Arial"/>
          <w:sz w:val="20"/>
          <w:szCs w:val="20"/>
          <w:color w:val="auto"/>
        </w:rPr>
        <w:t xml:space="preserve">. The agreements in this </w:t>
      </w:r>
      <w:r>
        <w:rPr>
          <w:rFonts w:ascii="Arial" w:cs="Arial" w:eastAsia="Arial" w:hAnsi="Arial"/>
          <w:sz w:val="20"/>
          <w:szCs w:val="20"/>
          <w:u w:val="single" w:color="auto"/>
          <w:color w:val="auto"/>
        </w:rPr>
        <w:t>Section 3.01(c)(ii)</w:t>
      </w:r>
      <w:r>
        <w:rPr>
          <w:rFonts w:ascii="Arial" w:cs="Arial" w:eastAsia="Arial" w:hAnsi="Arial"/>
          <w:sz w:val="20"/>
          <w:szCs w:val="20"/>
          <w:color w:val="auto"/>
        </w:rPr>
        <w:t xml:space="preserve"> shall survive the resignation and/or replacement of the Administrative Agent, any assignment of rights by, or the replacement of, a Lender or an L/C Issuer, the termination of the Aggregate Commitments and the repayment, satisfaction or discharge of all other Obligations.</w:t>
      </w:r>
    </w:p>
    <w:p>
      <w:pPr>
        <w:spacing w:after="0" w:line="167" w:lineRule="exact"/>
        <w:rPr>
          <w:rFonts w:ascii="Arial" w:cs="Arial" w:eastAsia="Arial" w:hAnsi="Arial"/>
          <w:sz w:val="20"/>
          <w:szCs w:val="20"/>
          <w:color w:val="auto"/>
        </w:rPr>
      </w:pPr>
    </w:p>
    <w:p>
      <w:pPr>
        <w:jc w:val="both"/>
        <w:ind w:firstLine="1036"/>
        <w:spacing w:after="0" w:line="247" w:lineRule="auto"/>
        <w:tabs>
          <w:tab w:leader="none" w:pos="1596" w:val="left"/>
        </w:tabs>
        <w:numPr>
          <w:ilvl w:val="0"/>
          <w:numId w:val="177"/>
        </w:numPr>
        <w:rPr>
          <w:rFonts w:ascii="Arial" w:cs="Arial" w:eastAsia="Arial" w:hAnsi="Arial"/>
          <w:sz w:val="19"/>
          <w:szCs w:val="19"/>
          <w:color w:val="auto"/>
        </w:rPr>
      </w:pPr>
      <w:r>
        <w:rPr>
          <w:rFonts w:ascii="Arial" w:cs="Arial" w:eastAsia="Arial" w:hAnsi="Arial"/>
          <w:sz w:val="19"/>
          <w:szCs w:val="19"/>
          <w:u w:val="single" w:color="auto"/>
          <w:color w:val="auto"/>
        </w:rPr>
        <w:t>Evidence of Payments</w:t>
      </w:r>
      <w:r>
        <w:rPr>
          <w:rFonts w:ascii="Arial" w:cs="Arial" w:eastAsia="Arial" w:hAnsi="Arial"/>
          <w:sz w:val="19"/>
          <w:szCs w:val="19"/>
          <w:color w:val="auto"/>
        </w:rPr>
        <w:t xml:space="preserve">. As soon as reasonably practicable after any payment of Taxes by the Loan Parties or by the Administrative Agent to a Governmental Authority as provided in this </w:t>
      </w:r>
      <w:r>
        <w:rPr>
          <w:rFonts w:ascii="Arial" w:cs="Arial" w:eastAsia="Arial" w:hAnsi="Arial"/>
          <w:sz w:val="19"/>
          <w:szCs w:val="19"/>
          <w:u w:val="single" w:color="auto"/>
          <w:color w:val="auto"/>
        </w:rPr>
        <w:t>Section 3.01</w:t>
      </w:r>
      <w:r>
        <w:rPr>
          <w:rFonts w:ascii="Arial" w:cs="Arial" w:eastAsia="Arial" w:hAnsi="Arial"/>
          <w:sz w:val="19"/>
          <w:szCs w:val="19"/>
          <w:color w:val="auto"/>
        </w:rPr>
        <w:t>, the Borrower shall deliver to the Administrative Agent or the Administrative Agent shall deliver to the Borrower the original or a certified copy of a receipt issued by such Governmental Authority evidencing such payment, a copy of any return required by applicable Laws to report such payment or other evidence of such payment reasonably satisfactory to Borrower or the Administrative Agent, as the case may be.</w:t>
      </w:r>
    </w:p>
    <w:p>
      <w:pPr>
        <w:spacing w:after="0" w:line="147" w:lineRule="exact"/>
        <w:rPr>
          <w:rFonts w:ascii="Arial" w:cs="Arial" w:eastAsia="Arial" w:hAnsi="Arial"/>
          <w:sz w:val="19"/>
          <w:szCs w:val="19"/>
          <w:color w:val="auto"/>
        </w:rPr>
      </w:pPr>
    </w:p>
    <w:p>
      <w:pPr>
        <w:jc w:val="both"/>
        <w:ind w:firstLine="1036"/>
        <w:spacing w:after="0" w:line="222" w:lineRule="auto"/>
        <w:tabs>
          <w:tab w:leader="none" w:pos="1655" w:val="left"/>
        </w:tabs>
        <w:numPr>
          <w:ilvl w:val="0"/>
          <w:numId w:val="177"/>
        </w:numPr>
        <w:rPr>
          <w:rFonts w:ascii="Arial" w:cs="Arial" w:eastAsia="Arial" w:hAnsi="Arial"/>
          <w:sz w:val="21"/>
          <w:szCs w:val="21"/>
          <w:color w:val="auto"/>
        </w:rPr>
      </w:pPr>
      <w:r>
        <w:rPr>
          <w:rFonts w:ascii="Arial" w:cs="Arial" w:eastAsia="Arial" w:hAnsi="Arial"/>
          <w:sz w:val="21"/>
          <w:szCs w:val="21"/>
          <w:u w:val="single" w:color="auto"/>
          <w:color w:val="auto"/>
        </w:rPr>
        <w:t>Status of Lenders; Tax Documentation</w:t>
      </w:r>
      <w:r>
        <w:rPr>
          <w:rFonts w:ascii="Arial" w:cs="Arial" w:eastAsia="Arial" w:hAnsi="Arial"/>
          <w:sz w:val="21"/>
          <w:szCs w:val="21"/>
          <w:color w:val="auto"/>
        </w:rPr>
        <w:t>. (i) The Administrative Agent, each Lender and each L/C Issuer shall deliver to the Borrower and to the Administrative Agent (if applicable), if reasonably requested by the Borrower or the Administrative Agent in writing, such properly completed and executed documentation prescribed by applicable Laws or by the taxing authorities of any jurisdiction and such other reasonably requested information as will permit the Borrower or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82</w:t>
      </w:r>
    </w:p>
    <w:p>
      <w:pPr>
        <w:sectPr>
          <w:pgSz w:w="11900" w:h="16838" w:orient="portrait"/>
          <w:cols w:equalWidth="0" w:num="1">
            <w:col w:w="11200"/>
          </w:cols>
          <w:pgMar w:left="320" w:top="1152" w:right="379" w:bottom="1440" w:gutter="0" w:footer="0" w:header="0"/>
        </w:sectPr>
      </w:pPr>
    </w:p>
    <w:bookmarkStart w:id="221" w:name="page222"/>
    <w:bookmarkEnd w:id="221"/>
    <w:p>
      <w:pPr>
        <w:jc w:val="both"/>
        <w:spacing w:after="0"/>
        <w:rPr>
          <w:sz w:val="20"/>
          <w:szCs w:val="20"/>
          <w:color w:val="auto"/>
        </w:rPr>
      </w:pPr>
      <w:r>
        <w:rPr>
          <w:rFonts w:ascii="Arial" w:cs="Arial" w:eastAsia="Arial" w:hAnsi="Arial"/>
          <w:sz w:val="19"/>
          <w:szCs w:val="19"/>
          <w:color w:val="auto"/>
        </w:rPr>
        <w:t xml:space="preserve">Agent, as the case may be, to determine (A) whether or not payments made by the Loan Parties hereunder or under any other Loan Document are subject to Taxes, (B) if applicable, the required rate of withholding or deduction, and (C) the entitlement of the Administrative Agent, such Lender or such L/C Issuer to any available exemption from, or reduction of, applicable Taxes in respect of all payments to be made to such Person by the Loan Parties pursuant to this Agreement or otherwise to establish such Person’s status for withholding tax or information reporting purposes in the applicable jurisdictions. Notwithstanding anything to the contrary in this </w:t>
      </w:r>
      <w:r>
        <w:rPr>
          <w:rFonts w:ascii="Arial" w:cs="Arial" w:eastAsia="Arial" w:hAnsi="Arial"/>
          <w:sz w:val="19"/>
          <w:szCs w:val="19"/>
          <w:u w:val="single" w:color="auto"/>
          <w:color w:val="auto"/>
        </w:rPr>
        <w:t>Section 3.01(e)</w:t>
      </w:r>
      <w:r>
        <w:rPr>
          <w:rFonts w:ascii="Arial" w:cs="Arial" w:eastAsia="Arial" w:hAnsi="Arial"/>
          <w:sz w:val="19"/>
          <w:szCs w:val="19"/>
          <w:color w:val="auto"/>
        </w:rPr>
        <w:t xml:space="preserve">, the completion, execution and submission of the documentation referred to in this </w:t>
      </w:r>
      <w:r>
        <w:rPr>
          <w:rFonts w:ascii="Arial" w:cs="Arial" w:eastAsia="Arial" w:hAnsi="Arial"/>
          <w:sz w:val="19"/>
          <w:szCs w:val="19"/>
          <w:u w:val="single" w:color="auto"/>
          <w:color w:val="auto"/>
        </w:rPr>
        <w:t>Section 3.01(e)</w:t>
      </w:r>
      <w:r>
        <w:rPr>
          <w:rFonts w:ascii="Arial" w:cs="Arial" w:eastAsia="Arial" w:hAnsi="Arial"/>
          <w:sz w:val="19"/>
          <w:szCs w:val="19"/>
          <w:color w:val="auto"/>
        </w:rPr>
        <w:t xml:space="preserve"> (other than such documentation set forth in Sections </w:t>
      </w:r>
      <w:r>
        <w:rPr>
          <w:rFonts w:ascii="Arial" w:cs="Arial" w:eastAsia="Arial" w:hAnsi="Arial"/>
          <w:sz w:val="19"/>
          <w:szCs w:val="19"/>
          <w:u w:val="single" w:color="auto"/>
          <w:color w:val="auto"/>
        </w:rPr>
        <w:t>3.01(e)(ii)(A)</w:t>
      </w:r>
      <w:r>
        <w:rPr>
          <w:rFonts w:ascii="Arial" w:cs="Arial" w:eastAsia="Arial" w:hAnsi="Arial"/>
          <w:sz w:val="19"/>
          <w:szCs w:val="19"/>
          <w:color w:val="auto"/>
        </w:rPr>
        <w:t xml:space="preserve">, </w:t>
      </w:r>
      <w:r>
        <w:rPr>
          <w:rFonts w:ascii="Arial" w:cs="Arial" w:eastAsia="Arial" w:hAnsi="Arial"/>
          <w:sz w:val="19"/>
          <w:szCs w:val="19"/>
          <w:u w:val="single" w:color="auto"/>
          <w:color w:val="auto"/>
        </w:rPr>
        <w:t>(ii)(B)(I)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(ii)(B)(II)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(ii)(B)(III)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(ii)(B)(IV)</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3.01(g)</w:t>
      </w:r>
      <w:r>
        <w:rPr>
          <w:rFonts w:ascii="Arial" w:cs="Arial" w:eastAsia="Arial" w:hAnsi="Arial"/>
          <w:sz w:val="19"/>
          <w:szCs w:val="19"/>
          <w:color w:val="auto"/>
        </w:rPr>
        <w:t>) shall not be required if in such Lender’s reasonable judgment such completion, execution or submission would subject such Lender to any material unreimbursed cost or expense or materially prejudice the legal or commercial position of such Lender.</w:t>
      </w:r>
    </w:p>
    <w:p>
      <w:pPr>
        <w:spacing w:after="0" w:line="154" w:lineRule="exact"/>
        <w:rPr>
          <w:sz w:val="20"/>
          <w:szCs w:val="20"/>
          <w:color w:val="auto"/>
        </w:rPr>
      </w:pPr>
    </w:p>
    <w:p>
      <w:pPr>
        <w:ind w:left="2060" w:hanging="464"/>
        <w:spacing w:after="0"/>
        <w:tabs>
          <w:tab w:leader="none" w:pos="2060" w:val="left"/>
        </w:tabs>
        <w:numPr>
          <w:ilvl w:val="0"/>
          <w:numId w:val="178"/>
        </w:numPr>
        <w:rPr>
          <w:rFonts w:ascii="Arial" w:cs="Arial" w:eastAsia="Arial" w:hAnsi="Arial"/>
          <w:sz w:val="21"/>
          <w:szCs w:val="21"/>
          <w:color w:val="auto"/>
        </w:rPr>
      </w:pPr>
      <w:r>
        <w:rPr>
          <w:rFonts w:ascii="Arial" w:cs="Arial" w:eastAsia="Arial" w:hAnsi="Arial"/>
          <w:sz w:val="21"/>
          <w:szCs w:val="21"/>
          <w:color w:val="auto"/>
        </w:rPr>
        <w:t>Without limiting the generality of the foregoing,</w:t>
      </w:r>
    </w:p>
    <w:p>
      <w:pPr>
        <w:spacing w:after="0" w:line="182" w:lineRule="exact"/>
        <w:rPr>
          <w:rFonts w:ascii="Arial" w:cs="Arial" w:eastAsia="Arial" w:hAnsi="Arial"/>
          <w:sz w:val="21"/>
          <w:szCs w:val="21"/>
          <w:color w:val="auto"/>
        </w:rPr>
      </w:pPr>
    </w:p>
    <w:p>
      <w:pPr>
        <w:jc w:val="both"/>
        <w:ind w:left="1280" w:firstLine="634"/>
        <w:spacing w:after="0" w:line="220" w:lineRule="auto"/>
        <w:tabs>
          <w:tab w:leader="none" w:pos="2552" w:val="left"/>
        </w:tabs>
        <w:numPr>
          <w:ilvl w:val="1"/>
          <w:numId w:val="178"/>
        </w:numPr>
        <w:rPr>
          <w:rFonts w:ascii="Arial" w:cs="Arial" w:eastAsia="Arial" w:hAnsi="Arial"/>
          <w:sz w:val="21"/>
          <w:szCs w:val="21"/>
          <w:color w:val="auto"/>
        </w:rPr>
      </w:pPr>
      <w:r>
        <w:rPr>
          <w:rFonts w:ascii="Arial" w:cs="Arial" w:eastAsia="Arial" w:hAnsi="Arial"/>
          <w:sz w:val="21"/>
          <w:szCs w:val="21"/>
          <w:color w:val="auto"/>
        </w:rPr>
        <w:t>any Lender that is a US Person shall, on or prior to the date it becomes a party to this Agreement (and from time to time thereafter upon the expiration, obsolescence or invalidity of any form, documentation or information previously delivered pursuant to this clause (A)), deliver to the Borrower and the Administrative Agent two properly completed and executed copies of Internal Revenue Service Form W-9 or such other documentation or information prescribed by applicable Laws or reasonably requested by the Borrower or the Administrative Agent as will establish its exemption from backup withholding; and</w:t>
      </w:r>
    </w:p>
    <w:p>
      <w:pPr>
        <w:spacing w:after="0" w:line="155" w:lineRule="exact"/>
        <w:rPr>
          <w:rFonts w:ascii="Arial" w:cs="Arial" w:eastAsia="Arial" w:hAnsi="Arial"/>
          <w:sz w:val="21"/>
          <w:szCs w:val="21"/>
          <w:color w:val="auto"/>
        </w:rPr>
      </w:pPr>
    </w:p>
    <w:p>
      <w:pPr>
        <w:jc w:val="both"/>
        <w:ind w:left="1280" w:firstLine="634"/>
        <w:spacing w:after="0" w:line="219" w:lineRule="auto"/>
        <w:tabs>
          <w:tab w:leader="none" w:pos="2552" w:val="left"/>
        </w:tabs>
        <w:numPr>
          <w:ilvl w:val="1"/>
          <w:numId w:val="178"/>
        </w:numPr>
        <w:rPr>
          <w:rFonts w:ascii="Arial" w:cs="Arial" w:eastAsia="Arial" w:hAnsi="Arial"/>
          <w:sz w:val="21"/>
          <w:szCs w:val="21"/>
          <w:color w:val="auto"/>
        </w:rPr>
      </w:pPr>
      <w:r>
        <w:rPr>
          <w:rFonts w:ascii="Arial" w:cs="Arial" w:eastAsia="Arial" w:hAnsi="Arial"/>
          <w:sz w:val="21"/>
          <w:szCs w:val="21"/>
          <w:color w:val="auto"/>
        </w:rPr>
        <w:t>each Foreign Lender that is entitled under the Code or any applicable treaty to an exemption from or reduction of withholding Tax with respect to payments hereunder or under any other Loan Document shall deliver to the Borrower and the Administrative Agent on or prior to the date on which such Foreign Lender becomes a Foreign Lender under this Agreement (and from time to time thereafter upon the expiration, obsolescence or invalidity of any form, documentation or information previously delivered pursuant to this clause (B), or upon the request of the Borrower or the Administrative Agent, but only if such Foreign Lender is legally entitled to do so), two of whichever of the following is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83</w:t>
      </w:r>
    </w:p>
    <w:p>
      <w:pPr>
        <w:sectPr>
          <w:pgSz w:w="11900" w:h="16838" w:orient="portrait"/>
          <w:cols w:equalWidth="0" w:num="1">
            <w:col w:w="11200"/>
          </w:cols>
          <w:pgMar w:left="320" w:top="1152" w:right="379" w:bottom="1440" w:gutter="0" w:footer="0" w:header="0"/>
        </w:sectPr>
      </w:pPr>
    </w:p>
    <w:bookmarkStart w:id="222" w:name="page223"/>
    <w:bookmarkEnd w:id="222"/>
    <w:p>
      <w:pPr>
        <w:jc w:val="both"/>
        <w:ind w:left="800" w:firstLine="436"/>
        <w:spacing w:after="0" w:line="239" w:lineRule="auto"/>
        <w:rPr>
          <w:sz w:val="20"/>
          <w:szCs w:val="20"/>
          <w:color w:val="auto"/>
        </w:rPr>
      </w:pPr>
      <w:r>
        <w:rPr>
          <w:rFonts w:ascii="Arial" w:cs="Arial" w:eastAsia="Arial" w:hAnsi="Arial"/>
          <w:sz w:val="21"/>
          <w:szCs w:val="21"/>
          <w:color w:val="auto"/>
        </w:rPr>
        <w:t>(i)properly completed and executed copies of IRS Form W-8BEN or W-8BEN-E (or successor form) claiming eligibility for benefits of an income tax treaty to which the United States is a party,</w:t>
      </w:r>
    </w:p>
    <w:p>
      <w:pPr>
        <w:spacing w:after="0" w:line="155" w:lineRule="exact"/>
        <w:rPr>
          <w:sz w:val="20"/>
          <w:szCs w:val="20"/>
          <w:color w:val="auto"/>
        </w:rPr>
      </w:pPr>
    </w:p>
    <w:p>
      <w:pPr>
        <w:ind w:left="1180"/>
        <w:spacing w:after="0"/>
        <w:rPr>
          <w:sz w:val="20"/>
          <w:szCs w:val="20"/>
          <w:color w:val="auto"/>
        </w:rPr>
      </w:pPr>
      <w:r>
        <w:rPr>
          <w:rFonts w:ascii="Arial" w:cs="Arial" w:eastAsia="Arial" w:hAnsi="Arial"/>
          <w:sz w:val="20"/>
          <w:szCs w:val="20"/>
          <w:color w:val="auto"/>
        </w:rPr>
        <w:t>(ii)properly completed and executed copies of IRS Form W-8ECI or W-8EXP (or successor form),</w:t>
      </w:r>
    </w:p>
    <w:p>
      <w:pPr>
        <w:spacing w:after="0" w:line="194" w:lineRule="exact"/>
        <w:rPr>
          <w:sz w:val="20"/>
          <w:szCs w:val="20"/>
          <w:color w:val="auto"/>
        </w:rPr>
      </w:pPr>
    </w:p>
    <w:p>
      <w:pPr>
        <w:jc w:val="both"/>
        <w:ind w:left="800" w:firstLine="318"/>
        <w:spacing w:after="0" w:line="230" w:lineRule="auto"/>
        <w:rPr>
          <w:sz w:val="20"/>
          <w:szCs w:val="20"/>
          <w:color w:val="auto"/>
        </w:rPr>
      </w:pPr>
      <w:r>
        <w:rPr>
          <w:rFonts w:ascii="Arial" w:cs="Arial" w:eastAsia="Arial" w:hAnsi="Arial"/>
          <w:sz w:val="20"/>
          <w:szCs w:val="20"/>
          <w:color w:val="auto"/>
        </w:rPr>
        <w:t xml:space="preserve">(iii)to the extent a Foreign Lender is not the beneficial owner of such payments, properly completed and executed copies of IRS Form W-8IMY (or successor form), accompanied by IRS Form W-8ECI, IRS Form W-8BEN or W-8BEN-E (or successor form), and all required supporting documentation, IRS Form W-9, and/or other certification documents from each beneficial owner, as applicable;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Foreign Lender is a partnership for U.S. federal income tax purposes and one or more direct or indirect partners of such Foreign Lender are claiming the portfolio interest exemption, such Foreign Lender may provide certification documents on behalf of each such direct and indirect partner,</w:t>
      </w:r>
    </w:p>
    <w:p>
      <w:pPr>
        <w:spacing w:after="0" w:line="153" w:lineRule="exact"/>
        <w:rPr>
          <w:sz w:val="20"/>
          <w:szCs w:val="20"/>
          <w:color w:val="auto"/>
        </w:rPr>
      </w:pPr>
    </w:p>
    <w:p>
      <w:pPr>
        <w:jc w:val="both"/>
        <w:ind w:left="800" w:firstLine="330"/>
        <w:spacing w:after="0" w:line="225" w:lineRule="auto"/>
        <w:rPr>
          <w:sz w:val="20"/>
          <w:szCs w:val="20"/>
          <w:color w:val="auto"/>
        </w:rPr>
      </w:pPr>
      <w:r>
        <w:rPr>
          <w:rFonts w:ascii="Arial" w:cs="Arial" w:eastAsia="Arial" w:hAnsi="Arial"/>
          <w:sz w:val="21"/>
          <w:szCs w:val="21"/>
          <w:color w:val="auto"/>
        </w:rPr>
        <w:t xml:space="preserve">(iv)in the case of a Foreign Lender claiming the benefits of the exemption for portfolio interest under Section 881(c) of the Code, (x) a certificate substantially in the form of </w:t>
      </w:r>
      <w:r>
        <w:rPr>
          <w:rFonts w:ascii="Arial" w:cs="Arial" w:eastAsia="Arial" w:hAnsi="Arial"/>
          <w:sz w:val="21"/>
          <w:szCs w:val="21"/>
          <w:u w:val="single" w:color="auto"/>
          <w:color w:val="auto"/>
        </w:rPr>
        <w:t>Exhibit H-1</w:t>
      </w:r>
      <w:r>
        <w:rPr>
          <w:rFonts w:ascii="Arial" w:cs="Arial" w:eastAsia="Arial" w:hAnsi="Arial"/>
          <w:sz w:val="21"/>
          <w:szCs w:val="21"/>
          <w:color w:val="auto"/>
        </w:rPr>
        <w:t xml:space="preserve">, </w:t>
      </w:r>
      <w:r>
        <w:rPr>
          <w:rFonts w:ascii="Arial" w:cs="Arial" w:eastAsia="Arial" w:hAnsi="Arial"/>
          <w:sz w:val="21"/>
          <w:szCs w:val="21"/>
          <w:u w:val="single" w:color="auto"/>
          <w:color w:val="auto"/>
        </w:rPr>
        <w:t>H-2</w:t>
      </w:r>
      <w:r>
        <w:rPr>
          <w:rFonts w:ascii="Arial" w:cs="Arial" w:eastAsia="Arial" w:hAnsi="Arial"/>
          <w:sz w:val="21"/>
          <w:szCs w:val="21"/>
          <w:color w:val="auto"/>
        </w:rPr>
        <w:t xml:space="preserve"> , </w:t>
      </w:r>
      <w:r>
        <w:rPr>
          <w:rFonts w:ascii="Arial" w:cs="Arial" w:eastAsia="Arial" w:hAnsi="Arial"/>
          <w:sz w:val="21"/>
          <w:szCs w:val="21"/>
          <w:u w:val="single" w:color="auto"/>
          <w:color w:val="auto"/>
        </w:rPr>
        <w:t>H-3</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H-4</w:t>
      </w:r>
      <w:r>
        <w:rPr>
          <w:rFonts w:ascii="Arial" w:cs="Arial" w:eastAsia="Arial" w:hAnsi="Arial"/>
          <w:sz w:val="21"/>
          <w:szCs w:val="21"/>
          <w:color w:val="auto"/>
        </w:rPr>
        <w:t xml:space="preserve"> , as applicable, and (y) properly completed and executed copies of IRS Form W-8BEN or W-8BEN-E (or successor form), or</w:t>
      </w:r>
    </w:p>
    <w:p>
      <w:pPr>
        <w:spacing w:after="0" w:line="154" w:lineRule="exact"/>
        <w:rPr>
          <w:sz w:val="20"/>
          <w:szCs w:val="20"/>
          <w:color w:val="auto"/>
        </w:rPr>
      </w:pPr>
    </w:p>
    <w:p>
      <w:pPr>
        <w:jc w:val="both"/>
        <w:ind w:left="800" w:firstLine="389"/>
        <w:spacing w:after="0" w:line="236" w:lineRule="auto"/>
        <w:rPr>
          <w:sz w:val="20"/>
          <w:szCs w:val="20"/>
          <w:color w:val="auto"/>
        </w:rPr>
      </w:pPr>
      <w:r>
        <w:rPr>
          <w:rFonts w:ascii="Arial" w:cs="Arial" w:eastAsia="Arial" w:hAnsi="Arial"/>
          <w:sz w:val="20"/>
          <w:szCs w:val="20"/>
          <w:color w:val="auto"/>
        </w:rPr>
        <w:t>(v)properly completed and executed copies of any other form prescribed by applicable Laws as a basis for claiming exemption from or a reduction in United States federal withholding tax together with such supplementary documentation as may be prescribed by applicable Laws to permit the Borrower or the Administrative Agent to determine the withholding or deduction required to be made.</w:t>
      </w:r>
    </w:p>
    <w:p>
      <w:pPr>
        <w:spacing w:after="0" w:line="155" w:lineRule="exact"/>
        <w:rPr>
          <w:sz w:val="20"/>
          <w:szCs w:val="20"/>
          <w:color w:val="auto"/>
        </w:rPr>
      </w:pPr>
    </w:p>
    <w:p>
      <w:pPr>
        <w:jc w:val="both"/>
        <w:ind w:left="-480" w:firstLine="956"/>
        <w:spacing w:after="0" w:line="231" w:lineRule="auto"/>
        <w:tabs>
          <w:tab w:leader="none" w:pos="1058" w:val="left"/>
        </w:tabs>
        <w:numPr>
          <w:ilvl w:val="0"/>
          <w:numId w:val="179"/>
        </w:numPr>
        <w:rPr>
          <w:rFonts w:ascii="Arial" w:cs="Arial" w:eastAsia="Arial" w:hAnsi="Arial"/>
          <w:sz w:val="20"/>
          <w:szCs w:val="20"/>
          <w:color w:val="auto"/>
        </w:rPr>
      </w:pPr>
      <w:r>
        <w:rPr>
          <w:rFonts w:ascii="Arial" w:cs="Arial" w:eastAsia="Arial" w:hAnsi="Arial"/>
          <w:sz w:val="20"/>
          <w:szCs w:val="20"/>
          <w:color w:val="auto"/>
        </w:rPr>
        <w:t>The Administrative Agent, each Lender and each L/C Issuer shall promptly (A) notify the Borrower and the Administrative Agent (if applicable) of any change in circumstances which would modify or render invalid any claimed exemption or reduction, and (B) take such steps as shall not be disadvantageous to it, in the reasonable judgment of such Person, and as may be reasonably necessary (including, in the case of any Lender, the re-designation of its Lending Office) to avoid any requirement of applicable Laws of any jurisdiction that any Loan Party or the Administrative Agent make any withholding or deduction for Taxes from amounts payable to such Person.</w:t>
      </w:r>
    </w:p>
    <w:p>
      <w:pPr>
        <w:spacing w:after="0" w:line="155" w:lineRule="exact"/>
        <w:rPr>
          <w:rFonts w:ascii="Arial" w:cs="Arial" w:eastAsia="Arial" w:hAnsi="Arial"/>
          <w:sz w:val="20"/>
          <w:szCs w:val="20"/>
          <w:color w:val="auto"/>
        </w:rPr>
      </w:pPr>
    </w:p>
    <w:p>
      <w:pPr>
        <w:jc w:val="both"/>
        <w:ind w:left="-480" w:firstLine="956"/>
        <w:spacing w:after="0" w:line="222" w:lineRule="auto"/>
        <w:tabs>
          <w:tab w:leader="none" w:pos="1124" w:val="left"/>
        </w:tabs>
        <w:numPr>
          <w:ilvl w:val="0"/>
          <w:numId w:val="179"/>
        </w:numPr>
        <w:rPr>
          <w:rFonts w:ascii="Arial" w:cs="Arial" w:eastAsia="Arial" w:hAnsi="Arial"/>
          <w:sz w:val="21"/>
          <w:szCs w:val="21"/>
          <w:color w:val="auto"/>
        </w:rPr>
      </w:pPr>
      <w:r>
        <w:rPr>
          <w:rFonts w:ascii="Arial" w:cs="Arial" w:eastAsia="Arial" w:hAnsi="Arial"/>
          <w:sz w:val="21"/>
          <w:szCs w:val="21"/>
          <w:color w:val="auto"/>
        </w:rPr>
        <w:t>The Borrower shall promptly deliver to the Administrative Agent, any Lender or any L/C Issuer, as the Administrative Agent, such Lender or such L/C Issuer shall reasonably request in writing, in a timely fashion after the Effective Date, such documents and forms required by any relevant taxing authorities under the Laws of any jurisdiction, duly executed and completed by the Borrower, as are required to be furnished by the Administrative Agent, such Lender or such L/C Issuer under such Laws in connection with any payment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400"/>
        <w:spacing w:after="0"/>
        <w:rPr>
          <w:sz w:val="20"/>
          <w:szCs w:val="20"/>
          <w:color w:val="auto"/>
        </w:rPr>
      </w:pPr>
      <w:r>
        <w:rPr>
          <w:rFonts w:ascii="Arial" w:cs="Arial" w:eastAsia="Arial" w:hAnsi="Arial"/>
          <w:sz w:val="21"/>
          <w:szCs w:val="21"/>
          <w:color w:val="auto"/>
        </w:rPr>
        <w:t>84</w:t>
      </w:r>
    </w:p>
    <w:p>
      <w:pPr>
        <w:sectPr>
          <w:pgSz w:w="11900" w:h="16838" w:orient="portrait"/>
          <w:cols w:equalWidth="0" w:num="1">
            <w:col w:w="10080"/>
          </w:cols>
          <w:pgMar w:left="1440" w:top="1152" w:right="379" w:bottom="1440" w:gutter="0" w:footer="0" w:header="0"/>
        </w:sectPr>
      </w:pPr>
    </w:p>
    <w:bookmarkStart w:id="223" w:name="page224"/>
    <w:bookmarkEnd w:id="223"/>
    <w:p>
      <w:pPr>
        <w:ind w:left="640"/>
        <w:spacing w:after="0" w:line="239" w:lineRule="auto"/>
        <w:rPr>
          <w:sz w:val="20"/>
          <w:szCs w:val="20"/>
          <w:color w:val="auto"/>
        </w:rPr>
      </w:pPr>
      <w:r>
        <w:rPr>
          <w:rFonts w:ascii="Arial" w:cs="Arial" w:eastAsia="Arial" w:hAnsi="Arial"/>
          <w:sz w:val="21"/>
          <w:szCs w:val="21"/>
          <w:color w:val="auto"/>
        </w:rPr>
        <w:t>the Administrative Agent, such Lender or such L/C Issuer of Taxes, or otherwise in connection with the Loan Documents, with respect to such jurisdiction.</w:t>
      </w:r>
    </w:p>
    <w:p>
      <w:pPr>
        <w:spacing w:after="0" w:line="155" w:lineRule="exact"/>
        <w:rPr>
          <w:sz w:val="20"/>
          <w:szCs w:val="20"/>
          <w:color w:val="auto"/>
        </w:rPr>
      </w:pPr>
    </w:p>
    <w:p>
      <w:pPr>
        <w:jc w:val="both"/>
        <w:ind w:firstLine="1036"/>
        <w:spacing w:after="0" w:line="236" w:lineRule="auto"/>
        <w:tabs>
          <w:tab w:leader="none" w:pos="1508" w:val="left"/>
        </w:tabs>
        <w:numPr>
          <w:ilvl w:val="0"/>
          <w:numId w:val="180"/>
        </w:numPr>
        <w:rPr>
          <w:rFonts w:ascii="Arial" w:cs="Arial" w:eastAsia="Arial" w:hAnsi="Arial"/>
          <w:sz w:val="19"/>
          <w:szCs w:val="19"/>
          <w:color w:val="auto"/>
        </w:rPr>
      </w:pPr>
      <w:r>
        <w:rPr>
          <w:rFonts w:ascii="Arial" w:cs="Arial" w:eastAsia="Arial" w:hAnsi="Arial"/>
          <w:sz w:val="19"/>
          <w:szCs w:val="19"/>
          <w:u w:val="single" w:color="auto"/>
          <w:color w:val="auto"/>
        </w:rPr>
        <w:t>Treatment of Certain Refunds</w:t>
      </w:r>
      <w:r>
        <w:rPr>
          <w:rFonts w:ascii="Arial" w:cs="Arial" w:eastAsia="Arial" w:hAnsi="Arial"/>
          <w:sz w:val="19"/>
          <w:szCs w:val="19"/>
          <w:color w:val="auto"/>
        </w:rPr>
        <w:t xml:space="preserve">. If the Administrative Agent, any Lender or any L/C Issuer determines, in its sole discretion exercised in good faith, that it has received a refund (including, for this purpose, a credit in lieu of a refund) of any Taxes as to which it has been indemnified by the Loan Parties or with respect to which a Loan Party has paid additional amounts pursuant to this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it shall pay to such Loan Party an amount equal to such refund (but only to the extent of indemnity payments made, or additional amounts paid, by such Loan Party under this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with respect to the Taxes giving rise to such refund), net of all out-of-pocket expenses (including Taxes) incurred by the Administrative Agent, such Lender or such L/C Issuer, as the case may be, and without interest (other than any interest paid by the relevant Governmental Authority with respect to such refund);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Loan Party, upon the request of the Administrative Agent, such Lender or such L/C Issuer, agrees to repay the amount paid over to such Loan Party to the Administrative Agent, such Lender or such L/C Issuer (plus any penalties, interest or other charges imposed by the relevant Governmental Authority) in the event the Administrative Agent, such Lender or such L/C Issuer is required to repay such refund to such Governmental Authority. Notwithstanding anything to the contrary in this paragraph (f), in no event will the indemnified party be required to pay any amount to an indemnifying party pursuant to this paragraph (f)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3.01(f)</w:t>
      </w:r>
      <w:r>
        <w:rPr>
          <w:rFonts w:ascii="Arial" w:cs="Arial" w:eastAsia="Arial" w:hAnsi="Arial"/>
          <w:sz w:val="19"/>
          <w:szCs w:val="19"/>
          <w:color w:val="auto"/>
        </w:rPr>
        <w:t xml:space="preserve"> shall not be construed to require the Administrative Agent, any Lender or any L/C Issuer to make available its Tax returns (or any other information relating to its Taxes that it deems confidential) to the Loan Parties or any other Person.</w:t>
      </w:r>
    </w:p>
    <w:p>
      <w:pPr>
        <w:spacing w:after="0" w:line="163" w:lineRule="exact"/>
        <w:rPr>
          <w:rFonts w:ascii="Arial" w:cs="Arial" w:eastAsia="Arial" w:hAnsi="Arial"/>
          <w:sz w:val="19"/>
          <w:szCs w:val="19"/>
          <w:color w:val="auto"/>
        </w:rPr>
      </w:pPr>
    </w:p>
    <w:p>
      <w:pPr>
        <w:jc w:val="both"/>
        <w:ind w:firstLine="1036"/>
        <w:spacing w:after="0" w:line="242" w:lineRule="auto"/>
        <w:tabs>
          <w:tab w:leader="none" w:pos="1577" w:val="left"/>
        </w:tabs>
        <w:numPr>
          <w:ilvl w:val="0"/>
          <w:numId w:val="180"/>
        </w:numPr>
        <w:rPr>
          <w:rFonts w:ascii="Arial" w:cs="Arial" w:eastAsia="Arial" w:hAnsi="Arial"/>
          <w:sz w:val="19"/>
          <w:szCs w:val="19"/>
          <w:color w:val="auto"/>
        </w:rPr>
      </w:pPr>
      <w:r>
        <w:rPr>
          <w:rFonts w:ascii="Arial" w:cs="Arial" w:eastAsia="Arial" w:hAnsi="Arial"/>
          <w:sz w:val="19"/>
          <w:szCs w:val="19"/>
          <w:u w:val="single" w:color="auto"/>
          <w:color w:val="auto"/>
        </w:rPr>
        <w:t>Additional Withholding Documentation</w:t>
      </w:r>
      <w:r>
        <w:rPr>
          <w:rFonts w:ascii="Arial" w:cs="Arial" w:eastAsia="Arial" w:hAnsi="Arial"/>
          <w:sz w:val="19"/>
          <w:szCs w:val="19"/>
          <w:color w:val="auto"/>
        </w:rPr>
        <w:t xml:space="preserve">. If a payment made to a Lender under this Agreement may be subject to United States federal withholding Tax under FATCA, such Lender shall deliver to the Borrower and the Administrative Agent, at the time or times prescribed by applicable Law and at such time or times reasonably requested by the Borrower or the Administrative Agent, such documentation prescribed by applicable Law and such additional documentation reasonably requested by the Borrower or the Administrative Agent to comply with its withholding obligations, to determine that such Lender has complied with such Lender’s obligations under FATCA or to determine the amount to deduct and withhold from such payment. Solely for purposes of this </w:t>
      </w:r>
      <w:r>
        <w:rPr>
          <w:rFonts w:ascii="Arial" w:cs="Arial" w:eastAsia="Arial" w:hAnsi="Arial"/>
          <w:sz w:val="19"/>
          <w:szCs w:val="19"/>
          <w:u w:val="single" w:color="auto"/>
          <w:color w:val="auto"/>
        </w:rPr>
        <w:t>Section 3.01(g)</w:t>
      </w:r>
      <w:r>
        <w:rPr>
          <w:rFonts w:ascii="Arial" w:cs="Arial" w:eastAsia="Arial" w:hAnsi="Arial"/>
          <w:sz w:val="19"/>
          <w:szCs w:val="19"/>
          <w:color w:val="auto"/>
        </w:rPr>
        <w:t>, “FATCA” shall include any amendments made to FATCA after the Effective Date.</w:t>
      </w:r>
    </w:p>
    <w:p>
      <w:pPr>
        <w:spacing w:after="0" w:line="153" w:lineRule="exact"/>
        <w:rPr>
          <w:rFonts w:ascii="Arial" w:cs="Arial" w:eastAsia="Arial" w:hAnsi="Arial"/>
          <w:sz w:val="19"/>
          <w:szCs w:val="19"/>
          <w:color w:val="auto"/>
        </w:rPr>
      </w:pPr>
    </w:p>
    <w:p>
      <w:pPr>
        <w:ind w:firstLine="1036"/>
        <w:spacing w:after="0" w:line="239" w:lineRule="auto"/>
        <w:tabs>
          <w:tab w:leader="none" w:pos="1626" w:val="left"/>
        </w:tabs>
        <w:numPr>
          <w:ilvl w:val="0"/>
          <w:numId w:val="180"/>
        </w:numPr>
        <w:rPr>
          <w:rFonts w:ascii="Arial" w:cs="Arial" w:eastAsia="Arial" w:hAnsi="Arial"/>
          <w:sz w:val="21"/>
          <w:szCs w:val="21"/>
          <w:color w:val="auto"/>
        </w:rPr>
      </w:pPr>
      <w:r>
        <w:rPr>
          <w:rFonts w:ascii="Arial" w:cs="Arial" w:eastAsia="Arial" w:hAnsi="Arial"/>
          <w:sz w:val="21"/>
          <w:szCs w:val="21"/>
          <w:u w:val="single" w:color="auto"/>
          <w:color w:val="auto"/>
        </w:rPr>
        <w:t>Defined Terms</w:t>
      </w:r>
      <w:r>
        <w:rPr>
          <w:rFonts w:ascii="Arial" w:cs="Arial" w:eastAsia="Arial" w:hAnsi="Arial"/>
          <w:sz w:val="21"/>
          <w:szCs w:val="21"/>
          <w:color w:val="auto"/>
        </w:rPr>
        <w:t xml:space="preserve">. For purposes of this </w:t>
      </w:r>
      <w:r>
        <w:rPr>
          <w:rFonts w:ascii="Arial" w:cs="Arial" w:eastAsia="Arial" w:hAnsi="Arial"/>
          <w:sz w:val="21"/>
          <w:szCs w:val="21"/>
          <w:u w:val="single" w:color="auto"/>
          <w:color w:val="auto"/>
        </w:rPr>
        <w:t>Section 3.01</w:t>
      </w:r>
      <w:r>
        <w:rPr>
          <w:rFonts w:ascii="Arial" w:cs="Arial" w:eastAsia="Arial" w:hAnsi="Arial"/>
          <w:sz w:val="21"/>
          <w:szCs w:val="21"/>
          <w:color w:val="auto"/>
        </w:rPr>
        <w:t>, the term “Lender” includes any L/C Issuer and the term “applicable Law” includes FATCA.</w:t>
      </w:r>
    </w:p>
    <w:p>
      <w:pPr>
        <w:spacing w:after="0" w:line="155" w:lineRule="exact"/>
        <w:rPr>
          <w:sz w:val="20"/>
          <w:szCs w:val="20"/>
          <w:color w:val="auto"/>
        </w:rPr>
      </w:pPr>
    </w:p>
    <w:p>
      <w:pPr>
        <w:jc w:val="both"/>
        <w:ind w:firstLine="954"/>
        <w:spacing w:after="0" w:line="220" w:lineRule="auto"/>
        <w:rPr>
          <w:sz w:val="20"/>
          <w:szCs w:val="20"/>
          <w:color w:val="auto"/>
        </w:rPr>
      </w:pPr>
      <w:r>
        <w:rPr>
          <w:rFonts w:ascii="Arial" w:cs="Arial" w:eastAsia="Arial" w:hAnsi="Arial"/>
          <w:sz w:val="21"/>
          <w:szCs w:val="21"/>
          <w:color w:val="auto"/>
        </w:rPr>
        <w:t xml:space="preserve">Section 3.02 </w:t>
      </w:r>
      <w:r>
        <w:rPr>
          <w:rFonts w:ascii="Arial" w:cs="Arial" w:eastAsia="Arial" w:hAnsi="Arial"/>
          <w:sz w:val="21"/>
          <w:szCs w:val="21"/>
          <w:u w:val="single" w:color="auto"/>
          <w:color w:val="auto"/>
        </w:rPr>
        <w:t>Illegality</w:t>
      </w:r>
      <w:r>
        <w:rPr>
          <w:rFonts w:ascii="Arial" w:cs="Arial" w:eastAsia="Arial" w:hAnsi="Arial"/>
          <w:sz w:val="21"/>
          <w:szCs w:val="21"/>
          <w:color w:val="auto"/>
        </w:rPr>
        <w:t xml:space="preserve">. If any Lender determines that any Law has made it unlawful, or that any Governmental Authority has asserted that it is unlawful, for such Lender or its applicable Lending Office to make, maintain or fund </w:t>
      </w:r>
      <w:r>
        <w:rPr>
          <w:rFonts w:ascii="Arial" w:cs="Arial" w:eastAsia="Arial" w:hAnsi="Arial"/>
          <w:sz w:val="21"/>
          <w:szCs w:val="21"/>
          <w:b w:val="1"/>
          <w:bCs w:val="1"/>
          <w:color w:val="FF0000"/>
          <w:strike w:val="1"/>
        </w:rPr>
        <w:t>Eurocurrency Rate</w:t>
      </w:r>
      <w:r>
        <w:rPr>
          <w:rFonts w:ascii="Arial" w:cs="Arial" w:eastAsia="Arial" w:hAnsi="Arial"/>
          <w:sz w:val="21"/>
          <w:szCs w:val="21"/>
          <w:b w:val="1"/>
          <w:bCs w:val="1"/>
          <w:u w:val="single" w:color="auto"/>
          <w:color w:val="0000FF"/>
        </w:rPr>
        <w:t>Term Benchmark</w:t>
      </w:r>
      <w:r>
        <w:rPr>
          <w:rFonts w:ascii="Arial" w:cs="Arial" w:eastAsia="Arial" w:hAnsi="Arial"/>
          <w:sz w:val="21"/>
          <w:szCs w:val="21"/>
          <w:b w:val="1"/>
          <w:bCs w:val="1"/>
          <w:color w:val="FF0000"/>
        </w:rPr>
        <w:t xml:space="preserve"> </w:t>
      </w:r>
      <w:r>
        <w:rPr>
          <w:rFonts w:ascii="Arial" w:cs="Arial" w:eastAsia="Arial" w:hAnsi="Arial"/>
          <w:sz w:val="21"/>
          <w:szCs w:val="21"/>
          <w:color w:val="000000"/>
        </w:rPr>
        <w:t>Loans (whether denominated in US Dollars, an Alternative Currency or a Discretionary</w:t>
      </w:r>
      <w:r>
        <w:rPr>
          <w:rFonts w:ascii="Arial" w:cs="Arial" w:eastAsia="Arial" w:hAnsi="Arial"/>
          <w:sz w:val="21"/>
          <w:szCs w:val="21"/>
          <w:b w:val="1"/>
          <w:bCs w:val="1"/>
          <w:color w:val="FF0000"/>
        </w:rPr>
        <w:t xml:space="preserve"> </w:t>
      </w:r>
      <w:r>
        <w:rPr>
          <w:rFonts w:ascii="Arial" w:cs="Arial" w:eastAsia="Arial" w:hAnsi="Arial"/>
          <w:sz w:val="21"/>
          <w:szCs w:val="21"/>
          <w:color w:val="000000"/>
        </w:rPr>
        <w:t xml:space="preserve">Alternative Currency), or to determine or charge interest rates based upon the </w:t>
      </w:r>
      <w:r>
        <w:rPr>
          <w:rFonts w:ascii="Arial" w:cs="Arial" w:eastAsia="Arial" w:hAnsi="Arial"/>
          <w:sz w:val="21"/>
          <w:szCs w:val="21"/>
          <w:b w:val="1"/>
          <w:bCs w:val="1"/>
          <w:color w:val="FF0000"/>
          <w:strike w:val="1"/>
        </w:rPr>
        <w:t>Eurocurrency</w:t>
      </w:r>
      <w:r>
        <w:rPr>
          <w:rFonts w:ascii="Arial" w:cs="Arial" w:eastAsia="Arial" w:hAnsi="Arial"/>
          <w:sz w:val="21"/>
          <w:szCs w:val="21"/>
          <w:b w:val="1"/>
          <w:bCs w:val="1"/>
          <w:u w:val="single" w:color="auto"/>
          <w:color w:val="0000FF"/>
        </w:rPr>
        <w:t>Term SOFR</w:t>
      </w:r>
      <w:r>
        <w:rPr>
          <w:rFonts w:ascii="Arial" w:cs="Arial" w:eastAsia="Arial" w:hAnsi="Arial"/>
          <w:sz w:val="21"/>
          <w:szCs w:val="21"/>
          <w:color w:val="000000"/>
        </w:rPr>
        <w:t xml:space="preserve"> Rate, or any Governmental Authority has imposed material restrictions on the authority of such Lender to purchase or sell, or to take deposits of, US Dollars, any Alternative Currency or a Discretionary Alternative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85</w:t>
      </w:r>
    </w:p>
    <w:p>
      <w:pPr>
        <w:sectPr>
          <w:pgSz w:w="11900" w:h="16838" w:orient="portrait"/>
          <w:cols w:equalWidth="0" w:num="1">
            <w:col w:w="11200"/>
          </w:cols>
          <w:pgMar w:left="320" w:top="1152" w:right="379" w:bottom="1440" w:gutter="0" w:footer="0" w:header="0"/>
        </w:sectPr>
      </w:pPr>
    </w:p>
    <w:bookmarkStart w:id="224" w:name="page225"/>
    <w:bookmarkEnd w:id="224"/>
    <w:p>
      <w:pPr>
        <w:jc w:val="both"/>
        <w:spacing w:after="0"/>
        <w:rPr>
          <w:sz w:val="20"/>
          <w:szCs w:val="20"/>
          <w:color w:val="auto"/>
        </w:rPr>
      </w:pPr>
      <w:r>
        <w:rPr>
          <w:rFonts w:ascii="Arial" w:cs="Arial" w:eastAsia="Arial" w:hAnsi="Arial"/>
          <w:sz w:val="19"/>
          <w:szCs w:val="19"/>
          <w:color w:val="auto"/>
        </w:rPr>
        <w:t xml:space="preserve">Currency in the </w:t>
      </w:r>
      <w:r>
        <w:rPr>
          <w:rFonts w:ascii="Arial" w:cs="Arial" w:eastAsia="Arial" w:hAnsi="Arial"/>
          <w:sz w:val="19"/>
          <w:szCs w:val="19"/>
          <w:b w:val="1"/>
          <w:bCs w:val="1"/>
          <w:color w:val="FF0000"/>
          <w:strike w:val="1"/>
        </w:rPr>
        <w:t>Relevant Interbank Market</w:t>
      </w:r>
      <w:r>
        <w:rPr>
          <w:rFonts w:ascii="Arial" w:cs="Arial" w:eastAsia="Arial" w:hAnsi="Arial"/>
          <w:sz w:val="19"/>
          <w:szCs w:val="19"/>
          <w:b w:val="1"/>
          <w:bCs w:val="1"/>
          <w:u w:val="single" w:color="auto"/>
          <w:color w:val="0000FF"/>
        </w:rPr>
        <w:t>applicable offshore interbank market</w:t>
      </w:r>
      <w:r>
        <w:rPr>
          <w:rFonts w:ascii="Arial" w:cs="Arial" w:eastAsia="Arial" w:hAnsi="Arial"/>
          <w:sz w:val="19"/>
          <w:szCs w:val="19"/>
          <w:color w:val="auto"/>
        </w:rPr>
        <w:t xml:space="preserve">, then, on notice thereof by such Lender to the Borrower through the Administrative Agent, (a) any obligation of such Lender to make or continue </w:t>
      </w:r>
      <w:r>
        <w:rPr>
          <w:rFonts w:ascii="Arial" w:cs="Arial" w:eastAsia="Arial" w:hAnsi="Arial"/>
          <w:sz w:val="19"/>
          <w:szCs w:val="19"/>
          <w:b w:val="1"/>
          <w:bCs w:val="1"/>
          <w:color w:val="FF0000"/>
          <w:strike w:val="1"/>
        </w:rPr>
        <w:t>Eurocurrency Rate</w:t>
      </w:r>
      <w:r>
        <w:rPr>
          <w:rFonts w:ascii="Arial" w:cs="Arial" w:eastAsia="Arial" w:hAnsi="Arial"/>
          <w:sz w:val="19"/>
          <w:szCs w:val="19"/>
          <w:b w:val="1"/>
          <w:bCs w:val="1"/>
          <w:u w:val="single" w:color="auto"/>
          <w:color w:val="0000FF"/>
        </w:rPr>
        <w:t>Term</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Benchmark</w:t>
      </w:r>
      <w:r>
        <w:rPr>
          <w:rFonts w:ascii="Arial" w:cs="Arial" w:eastAsia="Arial" w:hAnsi="Arial"/>
          <w:sz w:val="19"/>
          <w:szCs w:val="19"/>
          <w:b w:val="1"/>
          <w:bCs w:val="1"/>
          <w:color w:val="0000FF"/>
        </w:rPr>
        <w:t xml:space="preserve"> </w:t>
      </w:r>
      <w:r>
        <w:rPr>
          <w:rFonts w:ascii="Arial" w:cs="Arial" w:eastAsia="Arial" w:hAnsi="Arial"/>
          <w:sz w:val="19"/>
          <w:szCs w:val="19"/>
          <w:color w:val="000000"/>
        </w:rPr>
        <w:t>Loans in the affected currency or currencies or, in the case of</w:t>
      </w:r>
      <w:r>
        <w:rPr>
          <w:rFonts w:ascii="Arial" w:cs="Arial" w:eastAsia="Arial" w:hAnsi="Arial"/>
          <w:sz w:val="19"/>
          <w:szCs w:val="19"/>
          <w:b w:val="1"/>
          <w:bCs w:val="1"/>
          <w:color w:val="0000FF"/>
        </w:rPr>
        <w:t xml:space="preserve"> </w:t>
      </w:r>
      <w:r>
        <w:rPr>
          <w:rFonts w:ascii="Arial" w:cs="Arial" w:eastAsia="Arial" w:hAnsi="Arial"/>
          <w:sz w:val="19"/>
          <w:szCs w:val="19"/>
          <w:b w:val="1"/>
          <w:bCs w:val="1"/>
          <w:color w:val="FF0000"/>
          <w:strike w:val="1"/>
        </w:rPr>
        <w:t>Eurocurrency Rate</w:t>
      </w:r>
      <w:r>
        <w:rPr>
          <w:rFonts w:ascii="Arial" w:cs="Arial" w:eastAsia="Arial" w:hAnsi="Arial"/>
          <w:sz w:val="19"/>
          <w:szCs w:val="19"/>
          <w:b w:val="1"/>
          <w:bCs w:val="1"/>
          <w:u w:val="single" w:color="auto"/>
          <w:color w:val="0000FF"/>
        </w:rPr>
        <w:t>Term Benchmark</w:t>
      </w:r>
      <w:r>
        <w:rPr>
          <w:rFonts w:ascii="Arial" w:cs="Arial" w:eastAsia="Arial" w:hAnsi="Arial"/>
          <w:sz w:val="19"/>
          <w:szCs w:val="19"/>
          <w:b w:val="1"/>
          <w:bCs w:val="1"/>
          <w:color w:val="0000FF"/>
        </w:rPr>
        <w:t xml:space="preserve"> </w:t>
      </w:r>
      <w:r>
        <w:rPr>
          <w:rFonts w:ascii="Arial" w:cs="Arial" w:eastAsia="Arial" w:hAnsi="Arial"/>
          <w:sz w:val="19"/>
          <w:szCs w:val="19"/>
          <w:color w:val="000000"/>
        </w:rPr>
        <w:t>Committed</w:t>
      </w:r>
      <w:r>
        <w:rPr>
          <w:rFonts w:ascii="Arial" w:cs="Arial" w:eastAsia="Arial" w:hAnsi="Arial"/>
          <w:sz w:val="19"/>
          <w:szCs w:val="19"/>
          <w:b w:val="1"/>
          <w:bCs w:val="1"/>
          <w:color w:val="0000FF"/>
        </w:rPr>
        <w:t xml:space="preserve"> </w:t>
      </w:r>
      <w:r>
        <w:rPr>
          <w:rFonts w:ascii="Arial" w:cs="Arial" w:eastAsia="Arial" w:hAnsi="Arial"/>
          <w:sz w:val="19"/>
          <w:szCs w:val="19"/>
          <w:color w:val="000000"/>
        </w:rPr>
        <w:t xml:space="preserve">Loans denominated in US Dollars, to convert Base Rate Committed Loans to </w:t>
      </w:r>
      <w:r>
        <w:rPr>
          <w:rFonts w:ascii="Arial" w:cs="Arial" w:eastAsia="Arial" w:hAnsi="Arial"/>
          <w:sz w:val="19"/>
          <w:szCs w:val="19"/>
          <w:b w:val="1"/>
          <w:bCs w:val="1"/>
          <w:color w:val="FF0000"/>
          <w:strike w:val="1"/>
        </w:rPr>
        <w:t>Eurocurrency Rate</w:t>
      </w:r>
      <w:r>
        <w:rPr>
          <w:rFonts w:ascii="Arial" w:cs="Arial" w:eastAsia="Arial" w:hAnsi="Arial"/>
          <w:sz w:val="19"/>
          <w:szCs w:val="19"/>
          <w:b w:val="1"/>
          <w:bCs w:val="1"/>
          <w:u w:val="single" w:color="auto"/>
          <w:color w:val="0000FF"/>
        </w:rPr>
        <w:t>Term Benchmark</w:t>
      </w:r>
      <w:r>
        <w:rPr>
          <w:rFonts w:ascii="Arial" w:cs="Arial" w:eastAsia="Arial" w:hAnsi="Arial"/>
          <w:sz w:val="19"/>
          <w:szCs w:val="19"/>
          <w:color w:val="000000"/>
        </w:rPr>
        <w:t xml:space="preserve"> Committed Loans, will be suspended, and (b) if such notice asserts the illegality of such Lender making or maintaining Base Rate Loans the interest rate on which is determined by reference to the </w:t>
      </w:r>
      <w:r>
        <w:rPr>
          <w:rFonts w:ascii="Arial" w:cs="Arial" w:eastAsia="Arial" w:hAnsi="Arial"/>
          <w:sz w:val="19"/>
          <w:szCs w:val="19"/>
          <w:b w:val="1"/>
          <w:bCs w:val="1"/>
          <w:color w:val="FF0000"/>
          <w:strike w:val="1"/>
        </w:rPr>
        <w:t>Eurocurrency</w:t>
      </w:r>
      <w:r>
        <w:rPr>
          <w:rFonts w:ascii="Arial" w:cs="Arial" w:eastAsia="Arial" w:hAnsi="Arial"/>
          <w:sz w:val="19"/>
          <w:szCs w:val="19"/>
          <w:b w:val="1"/>
          <w:bCs w:val="1"/>
          <w:u w:val="single" w:color="auto"/>
          <w:color w:val="0000FF"/>
        </w:rPr>
        <w:t>Adjusted Term SOFR</w:t>
      </w:r>
      <w:r>
        <w:rPr>
          <w:rFonts w:ascii="Arial" w:cs="Arial" w:eastAsia="Arial" w:hAnsi="Arial"/>
          <w:sz w:val="19"/>
          <w:szCs w:val="19"/>
          <w:color w:val="000000"/>
        </w:rPr>
        <w:t xml:space="preserve"> Rate component of the Base Rate, the interest rate on which Base Rate Loans of such Lender shall, if necessary to avoid such illegality, be determined by the Administrative Agent without reference to the </w:t>
      </w:r>
      <w:r>
        <w:rPr>
          <w:rFonts w:ascii="Arial" w:cs="Arial" w:eastAsia="Arial" w:hAnsi="Arial"/>
          <w:sz w:val="19"/>
          <w:szCs w:val="19"/>
          <w:b w:val="1"/>
          <w:bCs w:val="1"/>
          <w:color w:val="FF0000"/>
          <w:strike w:val="1"/>
        </w:rPr>
        <w:t>Eurocurrency</w:t>
      </w:r>
      <w:r>
        <w:rPr>
          <w:rFonts w:ascii="Arial" w:cs="Arial" w:eastAsia="Arial" w:hAnsi="Arial"/>
          <w:sz w:val="19"/>
          <w:szCs w:val="19"/>
          <w:b w:val="1"/>
          <w:bCs w:val="1"/>
          <w:u w:val="single" w:color="auto"/>
          <w:color w:val="0000FF"/>
        </w:rPr>
        <w:t>Adjusted Term SOFR</w:t>
      </w:r>
      <w:r>
        <w:rPr>
          <w:rFonts w:ascii="Arial" w:cs="Arial" w:eastAsia="Arial" w:hAnsi="Arial"/>
          <w:sz w:val="19"/>
          <w:szCs w:val="19"/>
          <w:color w:val="000000"/>
        </w:rPr>
        <w:t xml:space="preserve"> Rate component of the Base Rate, in each case until such Lender notifies the Administrative Agent and Borrower that the circumstances giving rise to such determination no longer exist. Upon receipt of such notice, (i) the Borrower will, upon demand from such Lender (with a copy to the Administrative Agent), prepay such Loans or, if such Loans are denominated in US Dollars, convert to Base Rate Loans all such </w:t>
      </w:r>
      <w:r>
        <w:rPr>
          <w:rFonts w:ascii="Arial" w:cs="Arial" w:eastAsia="Arial" w:hAnsi="Arial"/>
          <w:sz w:val="19"/>
          <w:szCs w:val="19"/>
          <w:b w:val="1"/>
          <w:bCs w:val="1"/>
          <w:color w:val="FF0000"/>
          <w:strike w:val="1"/>
        </w:rPr>
        <w:t>Eurocurrency</w:t>
      </w:r>
      <w:r>
        <w:rPr>
          <w:rFonts w:ascii="Arial" w:cs="Arial" w:eastAsia="Arial" w:hAnsi="Arial"/>
          <w:sz w:val="19"/>
          <w:szCs w:val="19"/>
          <w:color w:val="000000"/>
        </w:rPr>
        <w:t xml:space="preserve"> </w:t>
      </w:r>
      <w:r>
        <w:rPr>
          <w:rFonts w:ascii="Arial" w:cs="Arial" w:eastAsia="Arial" w:hAnsi="Arial"/>
          <w:sz w:val="19"/>
          <w:szCs w:val="19"/>
          <w:b w:val="1"/>
          <w:bCs w:val="1"/>
          <w:color w:val="FF0000"/>
          <w:strike w:val="1"/>
        </w:rPr>
        <w:t>Rate</w:t>
      </w:r>
      <w:r>
        <w:rPr>
          <w:rFonts w:ascii="Arial" w:cs="Arial" w:eastAsia="Arial" w:hAnsi="Arial"/>
          <w:sz w:val="19"/>
          <w:szCs w:val="19"/>
          <w:b w:val="1"/>
          <w:bCs w:val="1"/>
          <w:u w:val="single" w:color="auto"/>
          <w:color w:val="0000FF"/>
        </w:rPr>
        <w:t>Term Benchmark</w:t>
      </w:r>
      <w:r>
        <w:rPr>
          <w:rFonts w:ascii="Arial" w:cs="Arial" w:eastAsia="Arial" w:hAnsi="Arial"/>
          <w:sz w:val="19"/>
          <w:szCs w:val="19"/>
          <w:b w:val="1"/>
          <w:bCs w:val="1"/>
          <w:color w:val="FF0000"/>
        </w:rPr>
        <w:t xml:space="preserve"> </w:t>
      </w:r>
      <w:r>
        <w:rPr>
          <w:rFonts w:ascii="Arial" w:cs="Arial" w:eastAsia="Arial" w:hAnsi="Arial"/>
          <w:sz w:val="19"/>
          <w:szCs w:val="19"/>
          <w:color w:val="000000"/>
        </w:rPr>
        <w:t>Loans of such Lender, either on the last day of the Interest Period therefor, if such Lender may lawfully</w:t>
      </w:r>
      <w:r>
        <w:rPr>
          <w:rFonts w:ascii="Arial" w:cs="Arial" w:eastAsia="Arial" w:hAnsi="Arial"/>
          <w:sz w:val="19"/>
          <w:szCs w:val="19"/>
          <w:b w:val="1"/>
          <w:bCs w:val="1"/>
          <w:color w:val="FF0000"/>
        </w:rPr>
        <w:t xml:space="preserve"> </w:t>
      </w:r>
      <w:r>
        <w:rPr>
          <w:rFonts w:ascii="Arial" w:cs="Arial" w:eastAsia="Arial" w:hAnsi="Arial"/>
          <w:sz w:val="19"/>
          <w:szCs w:val="19"/>
          <w:color w:val="000000"/>
        </w:rPr>
        <w:t xml:space="preserve">continue to maintain such </w:t>
      </w:r>
      <w:r>
        <w:rPr>
          <w:rFonts w:ascii="Arial" w:cs="Arial" w:eastAsia="Arial" w:hAnsi="Arial"/>
          <w:sz w:val="19"/>
          <w:szCs w:val="19"/>
          <w:b w:val="1"/>
          <w:bCs w:val="1"/>
          <w:color w:val="FF0000"/>
          <w:strike w:val="1"/>
        </w:rPr>
        <w:t>Eurocurrency Rate</w:t>
      </w:r>
      <w:r>
        <w:rPr>
          <w:rFonts w:ascii="Arial" w:cs="Arial" w:eastAsia="Arial" w:hAnsi="Arial"/>
          <w:sz w:val="19"/>
          <w:szCs w:val="19"/>
          <w:b w:val="1"/>
          <w:bCs w:val="1"/>
          <w:u w:val="single" w:color="auto"/>
          <w:color w:val="0000FF"/>
        </w:rPr>
        <w:t>Term Benchmark</w:t>
      </w:r>
      <w:r>
        <w:rPr>
          <w:rFonts w:ascii="Arial" w:cs="Arial" w:eastAsia="Arial" w:hAnsi="Arial"/>
          <w:sz w:val="19"/>
          <w:szCs w:val="19"/>
          <w:color w:val="000000"/>
        </w:rPr>
        <w:t xml:space="preserve"> Loans to such day, or immediately, if such Lender may not lawfully continue to maintain such </w:t>
      </w:r>
      <w:r>
        <w:rPr>
          <w:rFonts w:ascii="Arial" w:cs="Arial" w:eastAsia="Arial" w:hAnsi="Arial"/>
          <w:sz w:val="19"/>
          <w:szCs w:val="19"/>
          <w:b w:val="1"/>
          <w:bCs w:val="1"/>
          <w:color w:val="FF0000"/>
          <w:strike w:val="1"/>
        </w:rPr>
        <w:t>Eurocurrency Rate</w:t>
      </w:r>
      <w:r>
        <w:rPr>
          <w:rFonts w:ascii="Arial" w:cs="Arial" w:eastAsia="Arial" w:hAnsi="Arial"/>
          <w:sz w:val="19"/>
          <w:szCs w:val="19"/>
          <w:b w:val="1"/>
          <w:bCs w:val="1"/>
          <w:u w:val="single" w:color="auto"/>
          <w:color w:val="0000FF"/>
        </w:rPr>
        <w:t>Term Benchmark</w:t>
      </w:r>
      <w:r>
        <w:rPr>
          <w:rFonts w:ascii="Arial" w:cs="Arial" w:eastAsia="Arial" w:hAnsi="Arial"/>
          <w:sz w:val="19"/>
          <w:szCs w:val="19"/>
          <w:color w:val="000000"/>
        </w:rPr>
        <w:t xml:space="preserve"> Loans, and (ii) if such notice asserts the illegality of such Lender making or maintaining Base Rate Loans the interest on which is determined by reference to </w:t>
      </w:r>
      <w:r>
        <w:rPr>
          <w:rFonts w:ascii="Arial" w:cs="Arial" w:eastAsia="Arial" w:hAnsi="Arial"/>
          <w:sz w:val="19"/>
          <w:szCs w:val="19"/>
          <w:b w:val="1"/>
          <w:bCs w:val="1"/>
          <w:color w:val="FF0000"/>
          <w:strike w:val="1"/>
        </w:rPr>
        <w:t>Eurocurrency</w:t>
      </w:r>
      <w:r>
        <w:rPr>
          <w:rFonts w:ascii="Arial" w:cs="Arial" w:eastAsia="Arial" w:hAnsi="Arial"/>
          <w:sz w:val="19"/>
          <w:szCs w:val="19"/>
          <w:b w:val="1"/>
          <w:bCs w:val="1"/>
          <w:u w:val="single" w:color="auto"/>
          <w:color w:val="0000FF"/>
        </w:rPr>
        <w:t>Adjusted</w:t>
      </w:r>
      <w:r>
        <w:rPr>
          <w:rFonts w:ascii="Arial" w:cs="Arial" w:eastAsia="Arial" w:hAnsi="Arial"/>
          <w:sz w:val="19"/>
          <w:szCs w:val="19"/>
          <w:color w:val="000000"/>
        </w:rPr>
        <w:t xml:space="preserve"> </w:t>
      </w:r>
      <w:r>
        <w:rPr>
          <w:rFonts w:ascii="Arial" w:cs="Arial" w:eastAsia="Arial" w:hAnsi="Arial"/>
          <w:sz w:val="19"/>
          <w:szCs w:val="19"/>
          <w:b w:val="1"/>
          <w:bCs w:val="1"/>
          <w:u w:val="single" w:color="auto"/>
          <w:color w:val="0000FF"/>
        </w:rPr>
        <w:t>Term SOFR</w:t>
      </w:r>
      <w:r>
        <w:rPr>
          <w:rFonts w:ascii="Arial" w:cs="Arial" w:eastAsia="Arial" w:hAnsi="Arial"/>
          <w:sz w:val="19"/>
          <w:szCs w:val="19"/>
          <w:b w:val="1"/>
          <w:bCs w:val="1"/>
          <w:color w:val="0000FF"/>
        </w:rPr>
        <w:t xml:space="preserve"> </w:t>
      </w:r>
      <w:r>
        <w:rPr>
          <w:rFonts w:ascii="Arial" w:cs="Arial" w:eastAsia="Arial" w:hAnsi="Arial"/>
          <w:sz w:val="19"/>
          <w:szCs w:val="19"/>
          <w:color w:val="000000"/>
        </w:rPr>
        <w:t>Rate component of the Base Rate, the Administrative Agent shall during the period of such suspension compute the</w:t>
      </w:r>
      <w:r>
        <w:rPr>
          <w:rFonts w:ascii="Arial" w:cs="Arial" w:eastAsia="Arial" w:hAnsi="Arial"/>
          <w:sz w:val="19"/>
          <w:szCs w:val="19"/>
          <w:b w:val="1"/>
          <w:bCs w:val="1"/>
          <w:color w:val="0000FF"/>
        </w:rPr>
        <w:t xml:space="preserve"> </w:t>
      </w:r>
      <w:r>
        <w:rPr>
          <w:rFonts w:ascii="Arial" w:cs="Arial" w:eastAsia="Arial" w:hAnsi="Arial"/>
          <w:sz w:val="19"/>
          <w:szCs w:val="19"/>
          <w:color w:val="000000"/>
        </w:rPr>
        <w:t xml:space="preserve">Base Rate applicable to such Lender without reference to the </w:t>
      </w:r>
      <w:r>
        <w:rPr>
          <w:rFonts w:ascii="Arial" w:cs="Arial" w:eastAsia="Arial" w:hAnsi="Arial"/>
          <w:sz w:val="19"/>
          <w:szCs w:val="19"/>
          <w:b w:val="1"/>
          <w:bCs w:val="1"/>
          <w:color w:val="FF0000"/>
          <w:strike w:val="1"/>
        </w:rPr>
        <w:t>Eurocurrency</w:t>
      </w:r>
      <w:r>
        <w:rPr>
          <w:rFonts w:ascii="Arial" w:cs="Arial" w:eastAsia="Arial" w:hAnsi="Arial"/>
          <w:sz w:val="19"/>
          <w:szCs w:val="19"/>
          <w:b w:val="1"/>
          <w:bCs w:val="1"/>
          <w:u w:val="single" w:color="auto"/>
          <w:color w:val="0000FF"/>
        </w:rPr>
        <w:t>Adjusted Term SOFR</w:t>
      </w:r>
      <w:r>
        <w:rPr>
          <w:rFonts w:ascii="Arial" w:cs="Arial" w:eastAsia="Arial" w:hAnsi="Arial"/>
          <w:sz w:val="19"/>
          <w:szCs w:val="19"/>
          <w:color w:val="000000"/>
        </w:rPr>
        <w:t xml:space="preserve"> Rate component thereof until the Administrative Agent is advised in writing by such Lender that it is no longer illegal for such Lender to determine or charge interest rates based upon the </w:t>
      </w:r>
      <w:r>
        <w:rPr>
          <w:rFonts w:ascii="Arial" w:cs="Arial" w:eastAsia="Arial" w:hAnsi="Arial"/>
          <w:sz w:val="19"/>
          <w:szCs w:val="19"/>
          <w:b w:val="1"/>
          <w:bCs w:val="1"/>
          <w:color w:val="FF0000"/>
          <w:strike w:val="1"/>
        </w:rPr>
        <w:t>Eurocurrency</w:t>
      </w:r>
      <w:r>
        <w:rPr>
          <w:rFonts w:ascii="Arial" w:cs="Arial" w:eastAsia="Arial" w:hAnsi="Arial"/>
          <w:sz w:val="19"/>
          <w:szCs w:val="19"/>
          <w:b w:val="1"/>
          <w:bCs w:val="1"/>
          <w:u w:val="single" w:color="auto"/>
          <w:color w:val="0000FF"/>
        </w:rPr>
        <w:t>Term SOFR</w:t>
      </w:r>
      <w:r>
        <w:rPr>
          <w:rFonts w:ascii="Arial" w:cs="Arial" w:eastAsia="Arial" w:hAnsi="Arial"/>
          <w:sz w:val="19"/>
          <w:szCs w:val="19"/>
          <w:color w:val="000000"/>
        </w:rPr>
        <w:t xml:space="preserve"> Rate. Upon any such prepayment or conversion, the Borrower will also pay accrued interest on the amount so prepaid or converted.</w:t>
      </w:r>
    </w:p>
    <w:p>
      <w:pPr>
        <w:spacing w:after="0" w:line="307" w:lineRule="exact"/>
        <w:rPr>
          <w:sz w:val="20"/>
          <w:szCs w:val="20"/>
          <w:color w:val="auto"/>
        </w:rPr>
      </w:pPr>
    </w:p>
    <w:p>
      <w:pPr>
        <w:ind w:left="960"/>
        <w:spacing w:after="0"/>
        <w:tabs>
          <w:tab w:leader="none" w:pos="2220" w:val="left"/>
        </w:tabs>
        <w:rPr>
          <w:sz w:val="20"/>
          <w:szCs w:val="20"/>
          <w:color w:val="auto"/>
        </w:rPr>
      </w:pPr>
      <w:r>
        <w:rPr>
          <w:rFonts w:ascii="Arial" w:cs="Arial" w:eastAsia="Arial" w:hAnsi="Arial"/>
          <w:sz w:val="21"/>
          <w:szCs w:val="21"/>
          <w:color w:val="auto"/>
        </w:rPr>
        <w:t>Section 3.03</w:t>
      </w:r>
      <w:r>
        <w:rPr>
          <w:sz w:val="20"/>
          <w:szCs w:val="20"/>
          <w:color w:val="auto"/>
        </w:rPr>
        <w:tab/>
      </w:r>
      <w:r>
        <w:rPr>
          <w:rFonts w:ascii="Arial" w:cs="Arial" w:eastAsia="Arial" w:hAnsi="Arial"/>
          <w:sz w:val="20"/>
          <w:szCs w:val="20"/>
          <w:u w:val="single" w:color="auto"/>
          <w:color w:val="auto"/>
        </w:rPr>
        <w:t>[Intentionally Omitted]</w:t>
      </w:r>
    </w:p>
    <w:p>
      <w:pPr>
        <w:spacing w:after="0" w:line="183" w:lineRule="exact"/>
        <w:rPr>
          <w:sz w:val="20"/>
          <w:szCs w:val="20"/>
          <w:color w:val="auto"/>
        </w:rPr>
      </w:pPr>
    </w:p>
    <w:p>
      <w:pPr>
        <w:ind w:left="960"/>
        <w:spacing w:after="0"/>
        <w:tabs>
          <w:tab w:leader="none" w:pos="2220" w:val="left"/>
        </w:tabs>
        <w:rPr>
          <w:sz w:val="20"/>
          <w:szCs w:val="20"/>
          <w:color w:val="auto"/>
        </w:rPr>
      </w:pPr>
      <w:r>
        <w:rPr>
          <w:rFonts w:ascii="Arial" w:cs="Arial" w:eastAsia="Arial" w:hAnsi="Arial"/>
          <w:sz w:val="21"/>
          <w:szCs w:val="21"/>
          <w:color w:val="auto"/>
        </w:rPr>
        <w:t>Section 3.04</w:t>
      </w:r>
      <w:r>
        <w:rPr>
          <w:sz w:val="20"/>
          <w:szCs w:val="20"/>
          <w:color w:val="auto"/>
        </w:rPr>
        <w:tab/>
      </w:r>
      <w:r>
        <w:rPr>
          <w:rFonts w:ascii="Arial" w:cs="Arial" w:eastAsia="Arial" w:hAnsi="Arial"/>
          <w:sz w:val="18"/>
          <w:szCs w:val="18"/>
          <w:u w:val="single" w:color="auto"/>
          <w:color w:val="auto"/>
        </w:rPr>
        <w:t>Increased Costs; Additional Reserve Requirements</w:t>
      </w:r>
      <w:r>
        <w:rPr>
          <w:rFonts w:ascii="Arial" w:cs="Arial" w:eastAsia="Arial" w:hAnsi="Arial"/>
          <w:sz w:val="18"/>
          <w:szCs w:val="18"/>
          <w:color w:val="auto"/>
        </w:rPr>
        <w:t>.</w:t>
      </w:r>
    </w:p>
    <w:p>
      <w:pPr>
        <w:spacing w:after="0" w:line="183" w:lineRule="exact"/>
        <w:rPr>
          <w:sz w:val="20"/>
          <w:szCs w:val="20"/>
          <w:color w:val="auto"/>
        </w:rPr>
      </w:pPr>
    </w:p>
    <w:p>
      <w:pPr>
        <w:ind w:left="1480" w:hanging="444"/>
        <w:spacing w:after="0"/>
        <w:tabs>
          <w:tab w:leader="none" w:pos="1480" w:val="left"/>
        </w:tabs>
        <w:numPr>
          <w:ilvl w:val="0"/>
          <w:numId w:val="181"/>
        </w:numPr>
        <w:rPr>
          <w:rFonts w:ascii="Arial" w:cs="Arial" w:eastAsia="Arial" w:hAnsi="Arial"/>
          <w:sz w:val="21"/>
          <w:szCs w:val="21"/>
          <w:color w:val="auto"/>
        </w:rPr>
      </w:pPr>
      <w:r>
        <w:rPr>
          <w:rFonts w:ascii="Arial" w:cs="Arial" w:eastAsia="Arial" w:hAnsi="Arial"/>
          <w:sz w:val="21"/>
          <w:szCs w:val="21"/>
          <w:u w:val="single" w:color="auto"/>
          <w:color w:val="auto"/>
        </w:rPr>
        <w:t>Increased Costs Generally</w:t>
      </w:r>
      <w:r>
        <w:rPr>
          <w:rFonts w:ascii="Arial" w:cs="Arial" w:eastAsia="Arial" w:hAnsi="Arial"/>
          <w:sz w:val="21"/>
          <w:szCs w:val="21"/>
          <w:color w:val="auto"/>
        </w:rPr>
        <w:t>. If any Change in Law will:</w:t>
      </w:r>
    </w:p>
    <w:p>
      <w:pPr>
        <w:spacing w:after="0" w:line="182" w:lineRule="exact"/>
        <w:rPr>
          <w:rFonts w:ascii="Arial" w:cs="Arial" w:eastAsia="Arial" w:hAnsi="Arial"/>
          <w:sz w:val="21"/>
          <w:szCs w:val="21"/>
          <w:color w:val="auto"/>
        </w:rPr>
      </w:pPr>
    </w:p>
    <w:p>
      <w:pPr>
        <w:jc w:val="both"/>
        <w:ind w:left="640" w:firstLine="638"/>
        <w:spacing w:after="0" w:line="225" w:lineRule="auto"/>
        <w:tabs>
          <w:tab w:leader="none" w:pos="1912" w:val="left"/>
        </w:tabs>
        <w:numPr>
          <w:ilvl w:val="1"/>
          <w:numId w:val="181"/>
        </w:numPr>
        <w:rPr>
          <w:rFonts w:ascii="Arial" w:cs="Arial" w:eastAsia="Arial" w:hAnsi="Arial"/>
          <w:sz w:val="21"/>
          <w:szCs w:val="21"/>
          <w:color w:val="auto"/>
        </w:rPr>
      </w:pPr>
      <w:r>
        <w:rPr>
          <w:rFonts w:ascii="Arial" w:cs="Arial" w:eastAsia="Arial" w:hAnsi="Arial"/>
          <w:sz w:val="21"/>
          <w:szCs w:val="21"/>
          <w:color w:val="auto"/>
        </w:rPr>
        <w:t xml:space="preserve">impose, modify or deem applicable any reserve, special deposit, liquidity, compulsory loan, insurance charge or similar requirement against assets of, deposits with or for the account of, or credit extended or participated in by, any Lender </w:t>
      </w:r>
      <w:r>
        <w:rPr>
          <w:rFonts w:ascii="Arial" w:cs="Arial" w:eastAsia="Arial" w:hAnsi="Arial"/>
          <w:sz w:val="21"/>
          <w:szCs w:val="21"/>
          <w:b w:val="1"/>
          <w:bCs w:val="1"/>
          <w:color w:val="FF0000"/>
          <w:strike w:val="1"/>
        </w:rPr>
        <w:t>(except any reserve requirement reflected in the Adjusted Eurocurrency Rate or referred to in</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FF0000"/>
          <w:strike w:val="1"/>
        </w:rPr>
        <w:t>Section</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FF0000"/>
        </w:rPr>
        <w:t>3.04(e)</w:t>
      </w:r>
      <w:r>
        <w:rPr>
          <w:rFonts w:ascii="Arial" w:cs="Arial" w:eastAsia="Arial" w:hAnsi="Arial"/>
          <w:sz w:val="21"/>
          <w:szCs w:val="21"/>
          <w:b w:val="1"/>
          <w:bCs w:val="1"/>
          <w:color w:val="FF0000"/>
        </w:rPr>
        <w:t xml:space="preserve">) </w:t>
      </w:r>
      <w:r>
        <w:rPr>
          <w:rFonts w:ascii="Arial" w:cs="Arial" w:eastAsia="Arial" w:hAnsi="Arial"/>
          <w:sz w:val="21"/>
          <w:szCs w:val="21"/>
          <w:color w:val="000000"/>
        </w:rPr>
        <w:t>or any L/C Issuer;</w:t>
      </w:r>
    </w:p>
    <w:p>
      <w:pPr>
        <w:spacing w:after="0" w:line="154" w:lineRule="exact"/>
        <w:rPr>
          <w:rFonts w:ascii="Arial" w:cs="Arial" w:eastAsia="Arial" w:hAnsi="Arial"/>
          <w:sz w:val="21"/>
          <w:szCs w:val="21"/>
          <w:color w:val="auto"/>
        </w:rPr>
      </w:pPr>
    </w:p>
    <w:p>
      <w:pPr>
        <w:jc w:val="both"/>
        <w:ind w:left="640" w:firstLine="638"/>
        <w:spacing w:after="0" w:line="236" w:lineRule="auto"/>
        <w:tabs>
          <w:tab w:leader="none" w:pos="1912" w:val="left"/>
        </w:tabs>
        <w:numPr>
          <w:ilvl w:val="1"/>
          <w:numId w:val="181"/>
        </w:numPr>
        <w:rPr>
          <w:rFonts w:ascii="Arial" w:cs="Arial" w:eastAsia="Arial" w:hAnsi="Arial"/>
          <w:sz w:val="20"/>
          <w:szCs w:val="20"/>
          <w:color w:val="auto"/>
        </w:rPr>
      </w:pPr>
      <w:r>
        <w:rPr>
          <w:rFonts w:ascii="Arial" w:cs="Arial" w:eastAsia="Arial" w:hAnsi="Arial"/>
          <w:sz w:val="20"/>
          <w:szCs w:val="20"/>
          <w:color w:val="auto"/>
        </w:rPr>
        <w:t xml:space="preserve">subject the Administrative Agent, any Lender or any L/C Issuer to any Tax on its loans, loan principal, letters of credit, commitments or other obligations, or its deposits, reserves, other liabilities or capital attributable thereto (except for Indemnified Taxes or Other Taxes covered by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and the imposition of, or any change in the rate of, any Excluded Tax payable by the Administrative Agent, such Lender or such L/C Issuer); or</w:t>
      </w:r>
    </w:p>
    <w:p>
      <w:pPr>
        <w:spacing w:after="0" w:line="149" w:lineRule="exact"/>
        <w:rPr>
          <w:rFonts w:ascii="Arial" w:cs="Arial" w:eastAsia="Arial" w:hAnsi="Arial"/>
          <w:sz w:val="20"/>
          <w:szCs w:val="20"/>
          <w:color w:val="auto"/>
        </w:rPr>
      </w:pPr>
    </w:p>
    <w:p>
      <w:pPr>
        <w:ind w:left="640" w:firstLine="638"/>
        <w:spacing w:after="0" w:line="245" w:lineRule="auto"/>
        <w:tabs>
          <w:tab w:leader="none" w:pos="1912" w:val="left"/>
        </w:tabs>
        <w:numPr>
          <w:ilvl w:val="1"/>
          <w:numId w:val="181"/>
        </w:numPr>
        <w:rPr>
          <w:rFonts w:ascii="Arial" w:cs="Arial" w:eastAsia="Arial" w:hAnsi="Arial"/>
          <w:sz w:val="21"/>
          <w:szCs w:val="21"/>
          <w:color w:val="auto"/>
        </w:rPr>
      </w:pPr>
      <w:r>
        <w:rPr>
          <w:rFonts w:ascii="Arial" w:cs="Arial" w:eastAsia="Arial" w:hAnsi="Arial"/>
          <w:sz w:val="21"/>
          <w:szCs w:val="21"/>
          <w:color w:val="auto"/>
        </w:rPr>
        <w:t xml:space="preserve">impose on any Lender or any L/C Issuer or the </w:t>
      </w:r>
      <w:r>
        <w:rPr>
          <w:rFonts w:ascii="Arial" w:cs="Arial" w:eastAsia="Arial" w:hAnsi="Arial"/>
          <w:sz w:val="21"/>
          <w:szCs w:val="21"/>
          <w:b w:val="1"/>
          <w:bCs w:val="1"/>
          <w:color w:val="FF0000"/>
          <w:strike w:val="1"/>
        </w:rPr>
        <w:t>Relevant Interbank Market</w:t>
      </w:r>
      <w:r>
        <w:rPr>
          <w:rFonts w:ascii="Arial" w:cs="Arial" w:eastAsia="Arial" w:hAnsi="Arial"/>
          <w:sz w:val="21"/>
          <w:szCs w:val="21"/>
          <w:b w:val="1"/>
          <w:bCs w:val="1"/>
          <w:u w:val="single" w:color="auto"/>
          <w:color w:val="0000FF"/>
        </w:rPr>
        <w:t>applicable offshore interbank</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0000FF"/>
        </w:rPr>
        <w:t>market</w:t>
      </w:r>
      <w:r>
        <w:rPr>
          <w:rFonts w:ascii="Arial" w:cs="Arial" w:eastAsia="Arial" w:hAnsi="Arial"/>
          <w:sz w:val="21"/>
          <w:szCs w:val="21"/>
          <w:b w:val="1"/>
          <w:bCs w:val="1"/>
          <w:color w:val="0000FF"/>
        </w:rPr>
        <w:t xml:space="preserve"> </w:t>
      </w:r>
      <w:r>
        <w:rPr>
          <w:rFonts w:ascii="Arial" w:cs="Arial" w:eastAsia="Arial" w:hAnsi="Arial"/>
          <w:sz w:val="21"/>
          <w:szCs w:val="21"/>
          <w:color w:val="000000"/>
        </w:rPr>
        <w:t>any other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-1161415</wp:posOffset>
            </wp:positionV>
            <wp:extent cx="46355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635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86</w:t>
      </w:r>
    </w:p>
    <w:p>
      <w:pPr>
        <w:sectPr>
          <w:pgSz w:w="11900" w:h="16838" w:orient="portrait"/>
          <w:cols w:equalWidth="0" w:num="1">
            <w:col w:w="11200"/>
          </w:cols>
          <w:pgMar w:left="320" w:top="1146" w:right="379" w:bottom="1440" w:gutter="0" w:footer="0" w:header="0"/>
        </w:sectPr>
      </w:pPr>
    </w:p>
    <w:bookmarkStart w:id="225" w:name="page226"/>
    <w:bookmarkEnd w:id="225"/>
    <w:p>
      <w:pPr>
        <w:ind w:left="640"/>
        <w:spacing w:after="0" w:line="239" w:lineRule="auto"/>
        <w:rPr>
          <w:sz w:val="20"/>
          <w:szCs w:val="20"/>
          <w:color w:val="auto"/>
        </w:rPr>
      </w:pPr>
      <w:r>
        <w:rPr>
          <w:rFonts w:ascii="Arial" w:cs="Arial" w:eastAsia="Arial" w:hAnsi="Arial"/>
          <w:sz w:val="21"/>
          <w:szCs w:val="21"/>
          <w:color w:val="auto"/>
        </w:rPr>
        <w:t>cost or expense (other than Taxes) affecting this Agreement or Loans made by such Lender or any Letter of Credit or participation therein;</w:t>
      </w:r>
    </w:p>
    <w:p>
      <w:pPr>
        <w:spacing w:after="0" w:line="155" w:lineRule="exact"/>
        <w:rPr>
          <w:sz w:val="20"/>
          <w:szCs w:val="20"/>
          <w:color w:val="auto"/>
        </w:rPr>
      </w:pPr>
    </w:p>
    <w:p>
      <w:pPr>
        <w:jc w:val="both"/>
        <w:ind w:hanging="11"/>
        <w:spacing w:after="0" w:line="241" w:lineRule="auto"/>
        <w:rPr>
          <w:sz w:val="20"/>
          <w:szCs w:val="20"/>
          <w:color w:val="auto"/>
        </w:rPr>
      </w:pPr>
      <w:r>
        <w:rPr>
          <w:rFonts w:ascii="Arial" w:cs="Arial" w:eastAsia="Arial" w:hAnsi="Arial"/>
          <w:sz w:val="19"/>
          <w:szCs w:val="19"/>
          <w:color w:val="auto"/>
        </w:rPr>
        <w:t>and the result of any of the foregoing will be to increase the cost to the Administrative Agent or such Lender of making, converting to, continuing or maintaining any Loan (or of maintaining its obligation to make any such Loan), or to increase the cost to such Lender or such L/C Issuer of participating in, issuing or maintaining any Letter of Credit (or of maintaining its obligation to participate in or to issue any Letter of Credit), or to reduce the amount of any sum received or receivable by the Administrative Agent, such Lender or such L/C Issuer hereunder (whether of principal, interest or any other amount) then, upon request of the Administrative Agent, such Lender or such L/C Issuer, as the case may be, the Borrower will pay to the Administrative Agent, such Lender or such L/C Issuer, as the case may be, such additional amount or amounts as will compensate the Administrative Agent, such Lender or such L/C Issuer, as the case may be, for such additional costs incurred or reduction suffered.</w:t>
      </w:r>
    </w:p>
    <w:p>
      <w:pPr>
        <w:spacing w:after="0" w:line="153" w:lineRule="exact"/>
        <w:rPr>
          <w:sz w:val="20"/>
          <w:szCs w:val="20"/>
          <w:color w:val="auto"/>
        </w:rPr>
      </w:pPr>
    </w:p>
    <w:p>
      <w:pPr>
        <w:jc w:val="both"/>
        <w:ind w:firstLine="1036"/>
        <w:spacing w:after="0" w:line="239" w:lineRule="auto"/>
        <w:tabs>
          <w:tab w:leader="none" w:pos="1562" w:val="left"/>
        </w:tabs>
        <w:numPr>
          <w:ilvl w:val="0"/>
          <w:numId w:val="182"/>
        </w:numPr>
        <w:rPr>
          <w:rFonts w:ascii="Arial" w:cs="Arial" w:eastAsia="Arial" w:hAnsi="Arial"/>
          <w:sz w:val="19"/>
          <w:szCs w:val="19"/>
          <w:color w:val="auto"/>
        </w:rPr>
      </w:pPr>
      <w:r>
        <w:rPr>
          <w:rFonts w:ascii="Arial" w:cs="Arial" w:eastAsia="Arial" w:hAnsi="Arial"/>
          <w:sz w:val="19"/>
          <w:szCs w:val="19"/>
          <w:u w:val="single" w:color="auto"/>
          <w:color w:val="auto"/>
        </w:rPr>
        <w:t>Capital or Liquidity Requirements</w:t>
      </w:r>
      <w:r>
        <w:rPr>
          <w:rFonts w:ascii="Arial" w:cs="Arial" w:eastAsia="Arial" w:hAnsi="Arial"/>
          <w:sz w:val="19"/>
          <w:szCs w:val="19"/>
          <w:color w:val="auto"/>
        </w:rPr>
        <w:t>. If any Lender or any L/C Issuer determines that any Change in Law affecting such Lender or such L/C Issuer or any Lending Office of such Lender, or such Lender’s or such L/C Issuer’s holding company, if any, regarding capital or liquidity requirements has had or would have the effect of reducing the rate of return on such Lender’s or such L/C Issuer’s capital or on the capital of such Lender’s or such L/C Issuer’s holding company, if any, as a consequence of this Agreement, the Commitments of such Lender or the Loans made by, or participations in Letters of Credit held by, such Lender, or the Letters of Credit issued by such L/C Issuer, to a level below that which such Lender or such L/C Issuer or its holding company could have achieved but for such Change in Law (taking into consideration such Lender’s or such L/C Issuer’s or its holding company’s policies with respect to capital adequacy or liquidity), then from time to time the Borrower upon request of such Lender or such L/C Issuer, as the case may be, will pay to such Lender or such L/C Issuer, as the case may be, such additional amount or amounts as will compensate such Lender or such L/C Issuer or its holding company for any such reduction suffered.</w:t>
      </w:r>
    </w:p>
    <w:p>
      <w:pPr>
        <w:spacing w:after="0" w:line="156" w:lineRule="exact"/>
        <w:rPr>
          <w:rFonts w:ascii="Arial" w:cs="Arial" w:eastAsia="Arial" w:hAnsi="Arial"/>
          <w:sz w:val="19"/>
          <w:szCs w:val="19"/>
          <w:color w:val="auto"/>
        </w:rPr>
      </w:pPr>
    </w:p>
    <w:p>
      <w:pPr>
        <w:jc w:val="both"/>
        <w:ind w:firstLine="1036"/>
        <w:spacing w:after="0" w:line="252" w:lineRule="auto"/>
        <w:tabs>
          <w:tab w:leader="none" w:pos="1548" w:val="left"/>
        </w:tabs>
        <w:numPr>
          <w:ilvl w:val="0"/>
          <w:numId w:val="182"/>
        </w:numPr>
        <w:rPr>
          <w:rFonts w:ascii="Arial" w:cs="Arial" w:eastAsia="Arial" w:hAnsi="Arial"/>
          <w:sz w:val="19"/>
          <w:szCs w:val="19"/>
          <w:color w:val="auto"/>
        </w:rPr>
      </w:pPr>
      <w:r>
        <w:rPr>
          <w:rFonts w:ascii="Arial" w:cs="Arial" w:eastAsia="Arial" w:hAnsi="Arial"/>
          <w:sz w:val="19"/>
          <w:szCs w:val="19"/>
          <w:u w:val="single" w:color="auto"/>
          <w:color w:val="auto"/>
        </w:rPr>
        <w:t>Certificates for Reimbursement</w:t>
      </w:r>
      <w:r>
        <w:rPr>
          <w:rFonts w:ascii="Arial" w:cs="Arial" w:eastAsia="Arial" w:hAnsi="Arial"/>
          <w:sz w:val="19"/>
          <w:szCs w:val="19"/>
          <w:color w:val="auto"/>
        </w:rPr>
        <w:t xml:space="preserve">. A certificate of a Lender or an L/C Issuer setting forth the amount or amounts necessary to compensate such Lender or such L/C Issuer or its holding company, as the case may be, as specified in </w:t>
      </w:r>
      <w:r>
        <w:rPr>
          <w:rFonts w:ascii="Arial" w:cs="Arial" w:eastAsia="Arial" w:hAnsi="Arial"/>
          <w:sz w:val="19"/>
          <w:szCs w:val="19"/>
          <w:u w:val="single" w:color="auto"/>
          <w:color w:val="auto"/>
        </w:rPr>
        <w:t>Section 3.04(a)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3.04(b)</w:t>
      </w:r>
      <w:r>
        <w:rPr>
          <w:rFonts w:ascii="Arial" w:cs="Arial" w:eastAsia="Arial" w:hAnsi="Arial"/>
          <w:sz w:val="19"/>
          <w:szCs w:val="19"/>
          <w:color w:val="auto"/>
        </w:rPr>
        <w:t xml:space="preserve"> and delivered to the Borrower will be conclusive absent manifest error. The Borrower will pay such Lender or such L/C Issuer, as the case may be, the amount shown as due on any such certificate within 10 days after receipt thereof.</w:t>
      </w:r>
    </w:p>
    <w:p>
      <w:pPr>
        <w:spacing w:after="0" w:line="142" w:lineRule="exact"/>
        <w:rPr>
          <w:rFonts w:ascii="Arial" w:cs="Arial" w:eastAsia="Arial" w:hAnsi="Arial"/>
          <w:sz w:val="19"/>
          <w:szCs w:val="19"/>
          <w:color w:val="auto"/>
        </w:rPr>
      </w:pPr>
    </w:p>
    <w:p>
      <w:pPr>
        <w:jc w:val="both"/>
        <w:ind w:firstLine="1036"/>
        <w:spacing w:after="0" w:line="228" w:lineRule="auto"/>
        <w:tabs>
          <w:tab w:leader="none" w:pos="1494" w:val="left"/>
        </w:tabs>
        <w:numPr>
          <w:ilvl w:val="0"/>
          <w:numId w:val="182"/>
        </w:numPr>
        <w:rPr>
          <w:rFonts w:ascii="Arial" w:cs="Arial" w:eastAsia="Arial" w:hAnsi="Arial"/>
          <w:sz w:val="20"/>
          <w:szCs w:val="20"/>
          <w:color w:val="auto"/>
        </w:rPr>
      </w:pPr>
      <w:r>
        <w:rPr>
          <w:rFonts w:ascii="Arial" w:cs="Arial" w:eastAsia="Arial" w:hAnsi="Arial"/>
          <w:sz w:val="20"/>
          <w:szCs w:val="20"/>
          <w:u w:val="single" w:color="auto"/>
          <w:color w:val="auto"/>
        </w:rPr>
        <w:t>Delay in Requests</w:t>
      </w:r>
      <w:r>
        <w:rPr>
          <w:rFonts w:ascii="Arial" w:cs="Arial" w:eastAsia="Arial" w:hAnsi="Arial"/>
          <w:sz w:val="20"/>
          <w:szCs w:val="20"/>
          <w:color w:val="auto"/>
        </w:rPr>
        <w:t xml:space="preserve">. Failure or delay on the part of any Lender or any L/C Issuer to demand compensation pursuant to the foregoing provisions of this </w:t>
      </w:r>
      <w:r>
        <w:rPr>
          <w:rFonts w:ascii="Arial" w:cs="Arial" w:eastAsia="Arial" w:hAnsi="Arial"/>
          <w:sz w:val="20"/>
          <w:szCs w:val="20"/>
          <w:u w:val="single" w:color="auto"/>
          <w:color w:val="auto"/>
        </w:rPr>
        <w:t>Section 3.04</w:t>
      </w:r>
      <w:r>
        <w:rPr>
          <w:rFonts w:ascii="Arial" w:cs="Arial" w:eastAsia="Arial" w:hAnsi="Arial"/>
          <w:sz w:val="20"/>
          <w:szCs w:val="20"/>
          <w:color w:val="auto"/>
        </w:rPr>
        <w:t xml:space="preserve"> will not constitute a waiver of such Lender’s or such L/C Issuer’s right to demand such compensation;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Borrower will not be required to compensate a Lender or an L/C Issuer pursuant to the foregoing provisions of this </w:t>
      </w:r>
      <w:r>
        <w:rPr>
          <w:rFonts w:ascii="Arial" w:cs="Arial" w:eastAsia="Arial" w:hAnsi="Arial"/>
          <w:sz w:val="20"/>
          <w:szCs w:val="20"/>
          <w:u w:val="single" w:color="auto"/>
          <w:color w:val="auto"/>
        </w:rPr>
        <w:t>Section 3.04</w:t>
      </w:r>
      <w:r>
        <w:rPr>
          <w:rFonts w:ascii="Arial" w:cs="Arial" w:eastAsia="Arial" w:hAnsi="Arial"/>
          <w:sz w:val="20"/>
          <w:szCs w:val="20"/>
          <w:color w:val="auto"/>
        </w:rPr>
        <w:t xml:space="preserve"> for any increased costs incurred or reductions suffered more than three (3) months prior to the date that such Lender or such L/C Issuer, as the case may be, notifies the Borrower of the Change in Law giving rise to such increased costs or reductions and of such Lender’s or such L/C Issuer’s intention to claim compensation therefor (except that, if the Change in Law giving rise to such increased costs or reductions is retroactive, then the three-month period referred to above will be extended to include the period of retroactive effect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87</w:t>
      </w:r>
    </w:p>
    <w:p>
      <w:pPr>
        <w:sectPr>
          <w:pgSz w:w="11900" w:h="16838" w:orient="portrait"/>
          <w:cols w:equalWidth="0" w:num="1">
            <w:col w:w="11200"/>
          </w:cols>
          <w:pgMar w:left="320" w:top="1152" w:right="379" w:bottom="1440" w:gutter="0" w:footer="0" w:header="0"/>
        </w:sectPr>
      </w:pPr>
    </w:p>
    <w:bookmarkStart w:id="226" w:name="page227"/>
    <w:bookmarkEnd w:id="226"/>
    <w:p>
      <w:pPr>
        <w:jc w:val="both"/>
        <w:ind w:right="40" w:firstLine="718"/>
        <w:spacing w:after="0" w:line="236" w:lineRule="auto"/>
        <w:tabs>
          <w:tab w:leader="none" w:pos="1024" w:val="left"/>
        </w:tabs>
        <w:numPr>
          <w:ilvl w:val="0"/>
          <w:numId w:val="183"/>
        </w:numPr>
        <w:rPr>
          <w:rFonts w:ascii="Arial" w:cs="Arial" w:eastAsia="Arial" w:hAnsi="Arial"/>
          <w:sz w:val="19"/>
          <w:szCs w:val="19"/>
          <w:b w:val="1"/>
          <w:bCs w:val="1"/>
          <w:color w:val="FF0000"/>
          <w:strike w:val="1"/>
        </w:rPr>
      </w:pPr>
      <w:r>
        <w:rPr>
          <w:rFonts w:ascii="Arial" w:cs="Arial" w:eastAsia="Arial" w:hAnsi="Arial"/>
          <w:sz w:val="19"/>
          <w:szCs w:val="19"/>
          <w:b w:val="1"/>
          <w:bCs w:val="1"/>
          <w:u w:val="single" w:color="auto"/>
          <w:color w:val="FF0000"/>
          <w:strike w:val="1"/>
        </w:rPr>
        <w:t>Additional Reserve Requirements</w:t>
      </w:r>
      <w:r>
        <w:rPr>
          <w:rFonts w:ascii="Arial" w:cs="Arial" w:eastAsia="Arial" w:hAnsi="Arial"/>
          <w:sz w:val="19"/>
          <w:szCs w:val="19"/>
          <w:b w:val="1"/>
          <w:bCs w:val="1"/>
          <w:color w:val="FF0000"/>
          <w:strike w:val="1"/>
        </w:rPr>
        <w:t>. Without duplication of any reserve requirement reflected in the Adjusted</w:t>
      </w:r>
      <w:r>
        <w:rPr>
          <w:rFonts w:ascii="Arial" w:cs="Arial" w:eastAsia="Arial" w:hAnsi="Arial"/>
          <w:sz w:val="19"/>
          <w:szCs w:val="19"/>
          <w:b w:val="1"/>
          <w:bCs w:val="1"/>
          <w:u w:val="single" w:color="auto"/>
          <w:color w:val="FF0000"/>
          <w:strike w:val="1"/>
        </w:rPr>
        <w:t xml:space="preserve"> </w:t>
      </w:r>
      <w:r>
        <w:rPr>
          <w:rFonts w:ascii="Arial" w:cs="Arial" w:eastAsia="Arial" w:hAnsi="Arial"/>
          <w:sz w:val="19"/>
          <w:szCs w:val="19"/>
          <w:b w:val="1"/>
          <w:bCs w:val="1"/>
          <w:color w:val="FF0000"/>
          <w:strike w:val="1"/>
        </w:rPr>
        <w:t xml:space="preserve">Eurocurrency Rate, the Borrower shall pay to each Lender (i) as long as such Lender shall be required by a central banking or financial regulatory authority with regulatory authority over such Lender to maintain reserves with respect to liabilities or assets consisting of or including Eurocurrency funds or deposits, additional interest on the unpaid principal amount of each Eurocurrency Rate Loan equal to the actual costs of such reserves allocable to such Loan by such Lender (as determined by such Lender in good faith, which determination shall be conclusive absent manifest error), and (ii) as long as such Lender shall be required to comply with any reserve ratio requirement or analogous requirement of any other central banking or financial regulatory authority imposed in respect of the maintenance of the Commitments or the funding of the Eurocurrency Rate Loans,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absent manifest error), which in each case shall be due and payable on each date on which interest is payable on such Loan; </w:t>
      </w:r>
      <w:r>
        <w:rPr>
          <w:rFonts w:ascii="Arial" w:cs="Arial" w:eastAsia="Arial" w:hAnsi="Arial"/>
          <w:sz w:val="19"/>
          <w:szCs w:val="19"/>
          <w:b w:val="1"/>
          <w:bCs w:val="1"/>
          <w:u w:val="single" w:color="auto"/>
          <w:color w:val="FF0000"/>
          <w:strike w:val="1"/>
        </w:rPr>
        <w:t>provided</w:t>
      </w:r>
      <w:r>
        <w:rPr>
          <w:rFonts w:ascii="Arial" w:cs="Arial" w:eastAsia="Arial" w:hAnsi="Arial"/>
          <w:sz w:val="19"/>
          <w:szCs w:val="19"/>
          <w:b w:val="1"/>
          <w:bCs w:val="1"/>
          <w:color w:val="FF0000"/>
          <w:strike w:val="1"/>
        </w:rPr>
        <w:t xml:space="preserve">, that the Borrower shall have received at least ten (10) days’ prior notice (with a copy to the Administrative Agent) of such additional interest or costs from such Lender with a reasonably detailed explanation of the regulatory requirements imposing such costs and a calculation of the allocation of such costs to the relevant Loan or Commitment. If a Lender fails to give notice ten (10) days prior to the relevant Interest Payment Date, such additional interest or costs shall be due and payable ten (10) days from receipt of a proper notice. Notwithstanding the foregoing, if any reserves described in this </w:t>
      </w:r>
      <w:r>
        <w:rPr>
          <w:rFonts w:ascii="Arial" w:cs="Arial" w:eastAsia="Arial" w:hAnsi="Arial"/>
          <w:sz w:val="19"/>
          <w:szCs w:val="19"/>
          <w:b w:val="1"/>
          <w:bCs w:val="1"/>
          <w:u w:val="single" w:color="auto"/>
          <w:color w:val="FF0000"/>
          <w:strike w:val="1"/>
        </w:rPr>
        <w:t>Section 3.04(e)</w:t>
      </w:r>
      <w:r>
        <w:rPr>
          <w:rFonts w:ascii="Arial" w:cs="Arial" w:eastAsia="Arial" w:hAnsi="Arial"/>
          <w:sz w:val="19"/>
          <w:szCs w:val="19"/>
          <w:b w:val="1"/>
          <w:bCs w:val="1"/>
          <w:color w:val="FF0000"/>
          <w:strike w:val="1"/>
        </w:rPr>
        <w:t xml:space="preserve"> are based upon the financial strength or creditworthiness of a Lender, for the purposes of calculating the actual costs of a Lender with respect to such reserves, each such Lender shall be deemed to be in the highest applicable category of financial strength or creditworthiness.</w:t>
      </w:r>
    </w:p>
    <w:p>
      <w:pPr>
        <w:spacing w:after="0" w:line="155" w:lineRule="exact"/>
        <w:rPr>
          <w:rFonts w:ascii="Arial" w:cs="Arial" w:eastAsia="Arial" w:hAnsi="Arial"/>
          <w:sz w:val="19"/>
          <w:szCs w:val="19"/>
          <w:b w:val="1"/>
          <w:bCs w:val="1"/>
          <w:color w:val="FF0000"/>
          <w:strike w:val="1"/>
        </w:rPr>
      </w:pPr>
    </w:p>
    <w:p>
      <w:pPr>
        <w:jc w:val="both"/>
        <w:ind w:right="40" w:firstLine="1036"/>
        <w:spacing w:after="0" w:line="254" w:lineRule="auto"/>
        <w:tabs>
          <w:tab w:leader="none" w:pos="1486" w:val="left"/>
        </w:tabs>
        <w:numPr>
          <w:ilvl w:val="1"/>
          <w:numId w:val="183"/>
        </w:numPr>
        <w:rPr>
          <w:rFonts w:ascii="Arial" w:cs="Arial" w:eastAsia="Arial" w:hAnsi="Arial"/>
          <w:sz w:val="19"/>
          <w:szCs w:val="19"/>
          <w:b w:val="1"/>
          <w:bCs w:val="1"/>
          <w:color w:val="026DCE"/>
        </w:rPr>
      </w:pPr>
      <w:r>
        <w:rPr>
          <w:rFonts w:ascii="Arial" w:cs="Arial" w:eastAsia="Arial" w:hAnsi="Arial"/>
          <w:sz w:val="19"/>
          <w:szCs w:val="19"/>
          <w:b w:val="1"/>
          <w:bCs w:val="1"/>
          <w:color w:val="FF0000"/>
        </w:rPr>
        <w:t xml:space="preserve">(f) </w:t>
      </w:r>
      <w:r>
        <w:rPr>
          <w:rFonts w:ascii="Arial" w:cs="Arial" w:eastAsia="Arial" w:hAnsi="Arial"/>
          <w:sz w:val="19"/>
          <w:szCs w:val="19"/>
          <w:u w:val="single" w:color="auto"/>
          <w:color w:val="000000"/>
        </w:rPr>
        <w:t>Certain Agreements</w:t>
      </w:r>
      <w:r>
        <w:rPr>
          <w:rFonts w:ascii="Arial" w:cs="Arial" w:eastAsia="Arial" w:hAnsi="Arial"/>
          <w:sz w:val="19"/>
          <w:szCs w:val="19"/>
          <w:color w:val="000000"/>
        </w:rPr>
        <w:t>. With respect to amounts due under this</w:t>
      </w:r>
      <w:r>
        <w:rPr>
          <w:rFonts w:ascii="Arial" w:cs="Arial" w:eastAsia="Arial" w:hAnsi="Arial"/>
          <w:sz w:val="19"/>
          <w:szCs w:val="19"/>
          <w:b w:val="1"/>
          <w:bCs w:val="1"/>
          <w:color w:val="FF0000"/>
        </w:rPr>
        <w:t xml:space="preserve"> </w:t>
      </w:r>
      <w:r>
        <w:rPr>
          <w:rFonts w:ascii="Arial" w:cs="Arial" w:eastAsia="Arial" w:hAnsi="Arial"/>
          <w:sz w:val="19"/>
          <w:szCs w:val="19"/>
          <w:u w:val="single" w:color="auto"/>
          <w:color w:val="000000"/>
        </w:rPr>
        <w:t>Section 3.04</w:t>
      </w:r>
      <w:r>
        <w:rPr>
          <w:rFonts w:ascii="Arial" w:cs="Arial" w:eastAsia="Arial" w:hAnsi="Arial"/>
          <w:sz w:val="19"/>
          <w:szCs w:val="19"/>
          <w:b w:val="1"/>
          <w:bCs w:val="1"/>
          <w:color w:val="FF0000"/>
        </w:rPr>
        <w:t xml:space="preserve"> </w:t>
      </w:r>
      <w:r>
        <w:rPr>
          <w:rFonts w:ascii="Arial" w:cs="Arial" w:eastAsia="Arial" w:hAnsi="Arial"/>
          <w:sz w:val="19"/>
          <w:szCs w:val="19"/>
          <w:color w:val="000000"/>
        </w:rPr>
        <w:t>as a result of any Change in Law, the</w:t>
      </w:r>
      <w:r>
        <w:rPr>
          <w:rFonts w:ascii="Arial" w:cs="Arial" w:eastAsia="Arial" w:hAnsi="Arial"/>
          <w:sz w:val="19"/>
          <w:szCs w:val="19"/>
          <w:b w:val="1"/>
          <w:bCs w:val="1"/>
          <w:color w:val="FF0000"/>
        </w:rPr>
        <w:t xml:space="preserve"> </w:t>
      </w:r>
      <w:r>
        <w:rPr>
          <w:rFonts w:ascii="Arial" w:cs="Arial" w:eastAsia="Arial" w:hAnsi="Arial"/>
          <w:sz w:val="19"/>
          <w:szCs w:val="19"/>
          <w:color w:val="000000"/>
        </w:rPr>
        <w:t>claim for additional amounts shall be generally consistent with such Lender’s or such L/C Issuer’s treatment of customers of such Lender or such L/C Issuer that such Lender or such L/C Issuer considers, in its reasonable discretion, to be similarly situated to the Borrower and having generally similar provisions in their credit agreements with such Lender or such L/C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807085</wp:posOffset>
            </wp:positionH>
            <wp:positionV relativeFrom="paragraph">
              <wp:posOffset>-493395</wp:posOffset>
            </wp:positionV>
            <wp:extent cx="30924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09245" cy="8255"/>
                    </a:xfrm>
                    <a:prstGeom prst="rect">
                      <a:avLst/>
                    </a:prstGeom>
                    <a:noFill/>
                  </pic:spPr>
                </pic:pic>
              </a:graphicData>
            </a:graphic>
          </wp:anchor>
        </w:drawing>
      </w:r>
    </w:p>
    <w:p>
      <w:pPr>
        <w:spacing w:after="0" w:line="115" w:lineRule="exact"/>
        <w:rPr>
          <w:sz w:val="20"/>
          <w:szCs w:val="20"/>
          <w:color w:val="auto"/>
        </w:rPr>
      </w:pPr>
    </w:p>
    <w:p>
      <w:pPr>
        <w:ind w:left="960"/>
        <w:spacing w:after="0"/>
        <w:tabs>
          <w:tab w:leader="none" w:pos="2220" w:val="left"/>
        </w:tabs>
        <w:rPr>
          <w:sz w:val="20"/>
          <w:szCs w:val="20"/>
          <w:color w:val="auto"/>
        </w:rPr>
      </w:pPr>
      <w:r>
        <w:rPr>
          <w:rFonts w:ascii="Arial" w:cs="Arial" w:eastAsia="Arial" w:hAnsi="Arial"/>
          <w:sz w:val="21"/>
          <w:szCs w:val="21"/>
          <w:color w:val="auto"/>
        </w:rPr>
        <w:t>Section 3.05</w:t>
      </w:r>
      <w:r>
        <w:rPr>
          <w:sz w:val="20"/>
          <w:szCs w:val="20"/>
          <w:color w:val="auto"/>
        </w:rPr>
        <w:tab/>
      </w:r>
      <w:r>
        <w:rPr>
          <w:rFonts w:ascii="Arial" w:cs="Arial" w:eastAsia="Arial" w:hAnsi="Arial"/>
          <w:sz w:val="18"/>
          <w:szCs w:val="18"/>
          <w:u w:val="single" w:color="auto"/>
          <w:color w:val="auto"/>
        </w:rPr>
        <w:t>Compensation for Losses</w:t>
      </w:r>
      <w:r>
        <w:rPr>
          <w:rFonts w:ascii="Arial" w:cs="Arial" w:eastAsia="Arial" w:hAnsi="Arial"/>
          <w:sz w:val="18"/>
          <w:szCs w:val="18"/>
          <w:b w:val="1"/>
          <w:bCs w:val="1"/>
          <w:u w:val="single" w:color="auto"/>
          <w:color w:val="0000FF"/>
        </w:rPr>
        <w:t>.</w:t>
      </w:r>
    </w:p>
    <w:p>
      <w:pPr>
        <w:spacing w:after="0" w:line="183" w:lineRule="exact"/>
        <w:rPr>
          <w:sz w:val="20"/>
          <w:szCs w:val="20"/>
          <w:color w:val="auto"/>
        </w:rPr>
      </w:pPr>
    </w:p>
    <w:p>
      <w:pPr>
        <w:jc w:val="both"/>
        <w:ind w:firstLine="942"/>
        <w:spacing w:after="0" w:line="232" w:lineRule="auto"/>
        <w:rPr>
          <w:sz w:val="20"/>
          <w:szCs w:val="20"/>
          <w:color w:val="auto"/>
        </w:rPr>
      </w:pPr>
      <w:r>
        <w:rPr>
          <w:rFonts w:ascii="Arial" w:cs="Arial" w:eastAsia="Arial" w:hAnsi="Arial"/>
          <w:sz w:val="21"/>
          <w:szCs w:val="21"/>
          <w:b w:val="1"/>
          <w:bCs w:val="1"/>
          <w:color w:val="026DCE"/>
        </w:rPr>
        <w:t>(a)</w:t>
      </w:r>
      <w:r>
        <w:rPr>
          <w:rFonts w:ascii="Arial" w:cs="Arial" w:eastAsia="Arial" w:hAnsi="Arial"/>
          <w:sz w:val="21"/>
          <w:szCs w:val="21"/>
          <w:b w:val="1"/>
          <w:bCs w:val="1"/>
          <w:color w:val="FF0000"/>
          <w:strike w:val="1"/>
        </w:rPr>
        <w:t>. Upon</w:t>
      </w:r>
      <w:r>
        <w:rPr>
          <w:rFonts w:ascii="Arial" w:cs="Arial" w:eastAsia="Arial" w:hAnsi="Arial"/>
          <w:sz w:val="21"/>
          <w:szCs w:val="21"/>
          <w:b w:val="1"/>
          <w:bCs w:val="1"/>
          <w:u w:val="single" w:color="auto"/>
          <w:color w:val="0000FF"/>
        </w:rPr>
        <w:t>With respect to Term Benchmark Loans, upon</w:t>
      </w:r>
      <w:r>
        <w:rPr>
          <w:rFonts w:ascii="Arial" w:cs="Arial" w:eastAsia="Arial" w:hAnsi="Arial"/>
          <w:sz w:val="21"/>
          <w:szCs w:val="21"/>
          <w:b w:val="1"/>
          <w:bCs w:val="1"/>
          <w:color w:val="026DCE"/>
        </w:rPr>
        <w:t xml:space="preserve"> </w:t>
      </w:r>
      <w:r>
        <w:rPr>
          <w:rFonts w:ascii="Arial" w:cs="Arial" w:eastAsia="Arial" w:hAnsi="Arial"/>
          <w:sz w:val="21"/>
          <w:szCs w:val="21"/>
          <w:color w:val="000000"/>
        </w:rPr>
        <w:t>demand of any Lender (with a copy to the Administrative</w:t>
      </w:r>
      <w:r>
        <w:rPr>
          <w:rFonts w:ascii="Arial" w:cs="Arial" w:eastAsia="Arial" w:hAnsi="Arial"/>
          <w:sz w:val="21"/>
          <w:szCs w:val="21"/>
          <w:b w:val="1"/>
          <w:bCs w:val="1"/>
          <w:color w:val="026DCE"/>
        </w:rPr>
        <w:t xml:space="preserve"> </w:t>
      </w:r>
      <w:r>
        <w:rPr>
          <w:rFonts w:ascii="Arial" w:cs="Arial" w:eastAsia="Arial" w:hAnsi="Arial"/>
          <w:sz w:val="21"/>
          <w:szCs w:val="21"/>
          <w:color w:val="000000"/>
        </w:rPr>
        <w:t>Agent) from time to time, the Borrower will promptly compensate such Lender for and hold such Lender harmless from any loss, cost or expense incurred by it as a result of</w:t>
      </w:r>
      <w:r>
        <w:rPr>
          <w:rFonts w:ascii="Arial" w:cs="Arial" w:eastAsia="Arial" w:hAnsi="Arial"/>
          <w:sz w:val="21"/>
          <w:szCs w:val="21"/>
          <w:b w:val="1"/>
          <w:bCs w:val="1"/>
          <w:color w:val="FF0000"/>
          <w:strike w:val="1"/>
        </w:rPr>
        <w:t>:</w:t>
      </w:r>
    </w:p>
    <w:p>
      <w:pPr>
        <w:spacing w:after="0" w:line="148" w:lineRule="exact"/>
        <w:rPr>
          <w:sz w:val="20"/>
          <w:szCs w:val="20"/>
          <w:color w:val="auto"/>
        </w:rPr>
      </w:pPr>
    </w:p>
    <w:p>
      <w:pPr>
        <w:jc w:val="both"/>
        <w:ind w:right="40" w:firstLine="718"/>
        <w:spacing w:after="0" w:line="232" w:lineRule="auto"/>
        <w:tabs>
          <w:tab w:leader="none" w:pos="1015" w:val="left"/>
        </w:tabs>
        <w:numPr>
          <w:ilvl w:val="0"/>
          <w:numId w:val="184"/>
        </w:numPr>
        <w:rPr>
          <w:rFonts w:ascii="Arial" w:cs="Arial" w:eastAsia="Arial" w:hAnsi="Arial"/>
          <w:sz w:val="21"/>
          <w:szCs w:val="21"/>
          <w:b w:val="1"/>
          <w:bCs w:val="1"/>
          <w:color w:val="FF0000"/>
          <w:strike w:val="1"/>
        </w:rPr>
      </w:pPr>
      <w:r>
        <w:rPr>
          <w:rFonts w:ascii="Arial" w:cs="Arial" w:eastAsia="Arial" w:hAnsi="Arial"/>
          <w:sz w:val="21"/>
          <w:szCs w:val="21"/>
          <w:b w:val="1"/>
          <w:bCs w:val="1"/>
          <w:u w:val="single" w:color="auto"/>
          <w:color w:val="0000FF"/>
        </w:rPr>
        <w:t>(i)</w:t>
      </w:r>
      <w:r>
        <w:rPr>
          <w:rFonts w:ascii="Arial" w:cs="Arial" w:eastAsia="Arial" w:hAnsi="Arial"/>
          <w:sz w:val="21"/>
          <w:szCs w:val="21"/>
          <w:b w:val="1"/>
          <w:bCs w:val="1"/>
          <w:color w:val="0000FF"/>
        </w:rPr>
        <w:t xml:space="preserve"> </w:t>
      </w:r>
      <w:r>
        <w:rPr>
          <w:rFonts w:ascii="Arial" w:cs="Arial" w:eastAsia="Arial" w:hAnsi="Arial"/>
          <w:sz w:val="21"/>
          <w:szCs w:val="21"/>
          <w:color w:val="000000"/>
        </w:rPr>
        <w:t>any continuation, conversion, payment or prepayment of any</w:t>
      </w:r>
      <w:r>
        <w:rPr>
          <w:rFonts w:ascii="Arial" w:cs="Arial" w:eastAsia="Arial" w:hAnsi="Arial"/>
          <w:sz w:val="21"/>
          <w:szCs w:val="21"/>
          <w:b w:val="1"/>
          <w:bCs w:val="1"/>
          <w:color w:val="0000FF"/>
        </w:rPr>
        <w:t xml:space="preserve"> </w:t>
      </w:r>
      <w:r>
        <w:rPr>
          <w:rFonts w:ascii="Arial" w:cs="Arial" w:eastAsia="Arial" w:hAnsi="Arial"/>
          <w:sz w:val="21"/>
          <w:szCs w:val="21"/>
          <w:b w:val="1"/>
          <w:bCs w:val="1"/>
          <w:color w:val="FF0000"/>
          <w:strike w:val="1"/>
        </w:rPr>
        <w:t>Loan other than a Base Rate</w:t>
      </w:r>
      <w:r>
        <w:rPr>
          <w:rFonts w:ascii="Arial" w:cs="Arial" w:eastAsia="Arial" w:hAnsi="Arial"/>
          <w:sz w:val="21"/>
          <w:szCs w:val="21"/>
          <w:b w:val="1"/>
          <w:bCs w:val="1"/>
          <w:u w:val="single" w:color="auto"/>
          <w:color w:val="0000FF"/>
        </w:rPr>
        <w:t>Term Benchmark</w:t>
      </w:r>
      <w:r>
        <w:rPr>
          <w:rFonts w:ascii="Arial" w:cs="Arial" w:eastAsia="Arial" w:hAnsi="Arial"/>
          <w:sz w:val="21"/>
          <w:szCs w:val="21"/>
          <w:b w:val="1"/>
          <w:bCs w:val="1"/>
          <w:color w:val="0000FF"/>
        </w:rPr>
        <w:t xml:space="preserve"> </w:t>
      </w:r>
      <w:r>
        <w:rPr>
          <w:rFonts w:ascii="Arial" w:cs="Arial" w:eastAsia="Arial" w:hAnsi="Arial"/>
          <w:sz w:val="21"/>
          <w:szCs w:val="21"/>
          <w:color w:val="000000"/>
        </w:rPr>
        <w:t>Loan</w:t>
      </w:r>
      <w:r>
        <w:rPr>
          <w:rFonts w:ascii="Arial" w:cs="Arial" w:eastAsia="Arial" w:hAnsi="Arial"/>
          <w:sz w:val="21"/>
          <w:szCs w:val="21"/>
          <w:b w:val="1"/>
          <w:bCs w:val="1"/>
          <w:color w:val="0000FF"/>
        </w:rPr>
        <w:t xml:space="preserve"> </w:t>
      </w:r>
      <w:r>
        <w:rPr>
          <w:rFonts w:ascii="Arial" w:cs="Arial" w:eastAsia="Arial" w:hAnsi="Arial"/>
          <w:sz w:val="21"/>
          <w:szCs w:val="21"/>
          <w:color w:val="000000"/>
        </w:rPr>
        <w:t>on a day other than the last day of the Interest Period for such Loan (whether voluntary, mandatory, automatic, by reason of acceleration, or otherwise)</w:t>
      </w:r>
      <w:r>
        <w:rPr>
          <w:rFonts w:ascii="Arial" w:cs="Arial" w:eastAsia="Arial" w:hAnsi="Arial"/>
          <w:sz w:val="21"/>
          <w:szCs w:val="21"/>
          <w:b w:val="1"/>
          <w:bCs w:val="1"/>
          <w:color w:val="FF0000"/>
          <w:strike w:val="1"/>
        </w:rPr>
        <w:t>;</w:t>
      </w:r>
    </w:p>
    <w:p>
      <w:pPr>
        <w:spacing w:after="0" w:line="147" w:lineRule="exact"/>
        <w:rPr>
          <w:rFonts w:ascii="Arial" w:cs="Arial" w:eastAsia="Arial" w:hAnsi="Arial"/>
          <w:sz w:val="21"/>
          <w:szCs w:val="21"/>
          <w:b w:val="1"/>
          <w:bCs w:val="1"/>
          <w:color w:val="FF0000"/>
          <w:strike w:val="1"/>
        </w:rPr>
      </w:pPr>
    </w:p>
    <w:p>
      <w:pPr>
        <w:jc w:val="both"/>
        <w:ind w:right="40" w:firstLine="718"/>
        <w:spacing w:after="0" w:line="232" w:lineRule="auto"/>
        <w:tabs>
          <w:tab w:leader="none" w:pos="1028" w:val="left"/>
        </w:tabs>
        <w:numPr>
          <w:ilvl w:val="0"/>
          <w:numId w:val="184"/>
        </w:numPr>
        <w:rPr>
          <w:rFonts w:ascii="Arial" w:cs="Arial" w:eastAsia="Arial" w:hAnsi="Arial"/>
          <w:sz w:val="21"/>
          <w:szCs w:val="21"/>
          <w:b w:val="1"/>
          <w:bCs w:val="1"/>
          <w:color w:val="FF0000"/>
          <w:strike w:val="1"/>
        </w:rPr>
      </w:pPr>
      <w:r>
        <w:rPr>
          <w:rFonts w:ascii="Arial" w:cs="Arial" w:eastAsia="Arial" w:hAnsi="Arial"/>
          <w:sz w:val="21"/>
          <w:szCs w:val="21"/>
          <w:b w:val="1"/>
          <w:bCs w:val="1"/>
          <w:u w:val="single" w:color="auto"/>
          <w:color w:val="0000FF"/>
        </w:rPr>
        <w:t>, (ii)</w:t>
      </w:r>
      <w:r>
        <w:rPr>
          <w:rFonts w:ascii="Arial" w:cs="Arial" w:eastAsia="Arial" w:hAnsi="Arial"/>
          <w:sz w:val="21"/>
          <w:szCs w:val="21"/>
          <w:b w:val="1"/>
          <w:bCs w:val="1"/>
          <w:color w:val="0000FF"/>
        </w:rPr>
        <w:t xml:space="preserve"> </w:t>
      </w:r>
      <w:r>
        <w:rPr>
          <w:rFonts w:ascii="Arial" w:cs="Arial" w:eastAsia="Arial" w:hAnsi="Arial"/>
          <w:sz w:val="21"/>
          <w:szCs w:val="21"/>
          <w:color w:val="000000"/>
        </w:rPr>
        <w:t>any failure by the Borrower (for a reason other than the failure of such Lender to make a Loan) to prepay, borrow,</w:t>
      </w:r>
      <w:r>
        <w:rPr>
          <w:rFonts w:ascii="Arial" w:cs="Arial" w:eastAsia="Arial" w:hAnsi="Arial"/>
          <w:sz w:val="21"/>
          <w:szCs w:val="21"/>
          <w:b w:val="1"/>
          <w:bCs w:val="1"/>
          <w:color w:val="0000FF"/>
        </w:rPr>
        <w:t xml:space="preserve"> </w:t>
      </w:r>
      <w:r>
        <w:rPr>
          <w:rFonts w:ascii="Arial" w:cs="Arial" w:eastAsia="Arial" w:hAnsi="Arial"/>
          <w:sz w:val="21"/>
          <w:szCs w:val="21"/>
          <w:color w:val="000000"/>
        </w:rPr>
        <w:t xml:space="preserve">continue or convert any </w:t>
      </w:r>
      <w:r>
        <w:rPr>
          <w:rFonts w:ascii="Arial" w:cs="Arial" w:eastAsia="Arial" w:hAnsi="Arial"/>
          <w:sz w:val="21"/>
          <w:szCs w:val="21"/>
          <w:b w:val="1"/>
          <w:bCs w:val="1"/>
          <w:color w:val="FF0000"/>
          <w:strike w:val="1"/>
        </w:rPr>
        <w:t>Loan other than a Base Rate</w:t>
      </w:r>
      <w:r>
        <w:rPr>
          <w:rFonts w:ascii="Arial" w:cs="Arial" w:eastAsia="Arial" w:hAnsi="Arial"/>
          <w:sz w:val="21"/>
          <w:szCs w:val="21"/>
          <w:b w:val="1"/>
          <w:bCs w:val="1"/>
          <w:u w:val="single" w:color="auto"/>
          <w:color w:val="0000FF"/>
        </w:rPr>
        <w:t>Term Benchmark</w:t>
      </w:r>
      <w:r>
        <w:rPr>
          <w:rFonts w:ascii="Arial" w:cs="Arial" w:eastAsia="Arial" w:hAnsi="Arial"/>
          <w:sz w:val="21"/>
          <w:szCs w:val="21"/>
          <w:color w:val="000000"/>
        </w:rPr>
        <w:t xml:space="preserve"> Loan on the date or in the amount notified by the Borrower (whether or not any such notice may be revoked in accordance herewith)</w:t>
      </w:r>
      <w:r>
        <w:rPr>
          <w:rFonts w:ascii="Arial" w:cs="Arial" w:eastAsia="Arial" w:hAnsi="Arial"/>
          <w:sz w:val="21"/>
          <w:szCs w:val="21"/>
          <w:b w:val="1"/>
          <w:bCs w:val="1"/>
          <w:color w:val="FF0000"/>
          <w:strike w:val="1"/>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88</w:t>
      </w:r>
    </w:p>
    <w:p>
      <w:pPr>
        <w:sectPr>
          <w:pgSz w:w="11900" w:h="16838" w:orient="portrait"/>
          <w:cols w:equalWidth="0" w:num="1">
            <w:col w:w="11240"/>
          </w:cols>
          <w:pgMar w:left="320" w:top="1146" w:right="339" w:bottom="1440" w:gutter="0" w:footer="0" w:header="0"/>
        </w:sectPr>
      </w:pPr>
    </w:p>
    <w:bookmarkStart w:id="227" w:name="page228"/>
    <w:bookmarkEnd w:id="227"/>
    <w:p>
      <w:pPr>
        <w:jc w:val="both"/>
        <w:ind w:right="40" w:firstLine="718"/>
        <w:spacing w:after="0" w:line="232" w:lineRule="auto"/>
        <w:tabs>
          <w:tab w:leader="none" w:pos="1022" w:val="left"/>
        </w:tabs>
        <w:numPr>
          <w:ilvl w:val="0"/>
          <w:numId w:val="185"/>
        </w:numPr>
        <w:rPr>
          <w:rFonts w:ascii="Arial" w:cs="Arial" w:eastAsia="Arial" w:hAnsi="Arial"/>
          <w:sz w:val="21"/>
          <w:szCs w:val="21"/>
          <w:b w:val="1"/>
          <w:bCs w:val="1"/>
          <w:color w:val="FF0000"/>
          <w:strike w:val="1"/>
        </w:rPr>
      </w:pPr>
      <w:r>
        <w:rPr>
          <w:rFonts w:ascii="Arial" w:cs="Arial" w:eastAsia="Arial" w:hAnsi="Arial"/>
          <w:sz w:val="21"/>
          <w:szCs w:val="21"/>
          <w:b w:val="1"/>
          <w:bCs w:val="1"/>
          <w:u w:val="single" w:color="auto"/>
          <w:color w:val="0000FF"/>
        </w:rPr>
        <w:t>, (iii)</w:t>
      </w:r>
      <w:r>
        <w:rPr>
          <w:rFonts w:ascii="Arial" w:cs="Arial" w:eastAsia="Arial" w:hAnsi="Arial"/>
          <w:sz w:val="21"/>
          <w:szCs w:val="21"/>
          <w:b w:val="1"/>
          <w:bCs w:val="1"/>
          <w:color w:val="0000FF"/>
        </w:rPr>
        <w:t xml:space="preserve"> </w:t>
      </w:r>
      <w:r>
        <w:rPr>
          <w:rFonts w:ascii="Arial" w:cs="Arial" w:eastAsia="Arial" w:hAnsi="Arial"/>
          <w:sz w:val="21"/>
          <w:szCs w:val="21"/>
          <w:color w:val="000000"/>
        </w:rPr>
        <w:t>any failure by the Borrower to make payment of any</w:t>
      </w:r>
      <w:r>
        <w:rPr>
          <w:rFonts w:ascii="Arial" w:cs="Arial" w:eastAsia="Arial" w:hAnsi="Arial"/>
          <w:sz w:val="21"/>
          <w:szCs w:val="21"/>
          <w:b w:val="1"/>
          <w:bCs w:val="1"/>
          <w:color w:val="0000FF"/>
        </w:rPr>
        <w:t xml:space="preserve"> </w:t>
      </w:r>
      <w:r>
        <w:rPr>
          <w:rFonts w:ascii="Arial" w:cs="Arial" w:eastAsia="Arial" w:hAnsi="Arial"/>
          <w:sz w:val="21"/>
          <w:szCs w:val="21"/>
          <w:b w:val="1"/>
          <w:bCs w:val="1"/>
          <w:u w:val="single" w:color="auto"/>
          <w:color w:val="0000FF"/>
        </w:rPr>
        <w:t>Term Benchmark</w:t>
      </w:r>
      <w:r>
        <w:rPr>
          <w:rFonts w:ascii="Arial" w:cs="Arial" w:eastAsia="Arial" w:hAnsi="Arial"/>
          <w:sz w:val="21"/>
          <w:szCs w:val="21"/>
          <w:b w:val="1"/>
          <w:bCs w:val="1"/>
          <w:color w:val="0000FF"/>
        </w:rPr>
        <w:t xml:space="preserve"> </w:t>
      </w:r>
      <w:r>
        <w:rPr>
          <w:rFonts w:ascii="Arial" w:cs="Arial" w:eastAsia="Arial" w:hAnsi="Arial"/>
          <w:sz w:val="21"/>
          <w:szCs w:val="21"/>
          <w:color w:val="000000"/>
        </w:rPr>
        <w:t>Loan or drawing under any Letter of</w:t>
      </w:r>
      <w:r>
        <w:rPr>
          <w:rFonts w:ascii="Arial" w:cs="Arial" w:eastAsia="Arial" w:hAnsi="Arial"/>
          <w:sz w:val="21"/>
          <w:szCs w:val="21"/>
          <w:b w:val="1"/>
          <w:bCs w:val="1"/>
          <w:color w:val="0000FF"/>
        </w:rPr>
        <w:t xml:space="preserve"> </w:t>
      </w:r>
      <w:r>
        <w:rPr>
          <w:rFonts w:ascii="Arial" w:cs="Arial" w:eastAsia="Arial" w:hAnsi="Arial"/>
          <w:sz w:val="21"/>
          <w:szCs w:val="21"/>
          <w:color w:val="000000"/>
        </w:rPr>
        <w:t>Credit (or interest due thereon) denominated in an Alternative Currency on its scheduled due date or any payment thereof in a different currency; or</w:t>
      </w:r>
    </w:p>
    <w:p>
      <w:pPr>
        <w:spacing w:after="0" w:line="147" w:lineRule="exact"/>
        <w:rPr>
          <w:rFonts w:ascii="Arial" w:cs="Arial" w:eastAsia="Arial" w:hAnsi="Arial"/>
          <w:sz w:val="21"/>
          <w:szCs w:val="21"/>
          <w:b w:val="1"/>
          <w:bCs w:val="1"/>
          <w:color w:val="FF0000"/>
          <w:strike w:val="1"/>
        </w:rPr>
      </w:pPr>
    </w:p>
    <w:p>
      <w:pPr>
        <w:jc w:val="both"/>
        <w:ind w:right="40" w:firstLine="718"/>
        <w:spacing w:after="0" w:line="232" w:lineRule="auto"/>
        <w:tabs>
          <w:tab w:leader="none" w:pos="1040" w:val="left"/>
        </w:tabs>
        <w:numPr>
          <w:ilvl w:val="0"/>
          <w:numId w:val="185"/>
        </w:numPr>
        <w:rPr>
          <w:rFonts w:ascii="Arial" w:cs="Arial" w:eastAsia="Arial" w:hAnsi="Arial"/>
          <w:sz w:val="20"/>
          <w:szCs w:val="20"/>
          <w:b w:val="1"/>
          <w:bCs w:val="1"/>
          <w:color w:val="FF0000"/>
          <w:strike w:val="1"/>
        </w:rPr>
      </w:pPr>
      <w:r>
        <w:rPr>
          <w:rFonts w:ascii="Arial" w:cs="Arial" w:eastAsia="Arial" w:hAnsi="Arial"/>
          <w:sz w:val="20"/>
          <w:szCs w:val="20"/>
          <w:b w:val="1"/>
          <w:bCs w:val="1"/>
          <w:u w:val="single" w:color="auto"/>
          <w:color w:val="0000FF"/>
        </w:rPr>
        <w:t>(iv)</w:t>
      </w:r>
      <w:r>
        <w:rPr>
          <w:rFonts w:ascii="Arial" w:cs="Arial" w:eastAsia="Arial" w:hAnsi="Arial"/>
          <w:sz w:val="20"/>
          <w:szCs w:val="20"/>
          <w:b w:val="1"/>
          <w:bCs w:val="1"/>
          <w:color w:val="0000FF"/>
        </w:rPr>
        <w:t xml:space="preserve"> </w:t>
      </w:r>
      <w:r>
        <w:rPr>
          <w:rFonts w:ascii="Arial" w:cs="Arial" w:eastAsia="Arial" w:hAnsi="Arial"/>
          <w:sz w:val="20"/>
          <w:szCs w:val="20"/>
          <w:color w:val="000000"/>
        </w:rPr>
        <w:t>any assignment of a</w:t>
      </w:r>
      <w:r>
        <w:rPr>
          <w:rFonts w:ascii="Arial" w:cs="Arial" w:eastAsia="Arial" w:hAnsi="Arial"/>
          <w:sz w:val="20"/>
          <w:szCs w:val="20"/>
          <w:b w:val="1"/>
          <w:bCs w:val="1"/>
          <w:color w:val="0000FF"/>
        </w:rPr>
        <w:t xml:space="preserve"> </w:t>
      </w:r>
      <w:r>
        <w:rPr>
          <w:rFonts w:ascii="Arial" w:cs="Arial" w:eastAsia="Arial" w:hAnsi="Arial"/>
          <w:sz w:val="20"/>
          <w:szCs w:val="20"/>
          <w:b w:val="1"/>
          <w:bCs w:val="1"/>
          <w:color w:val="FF0000"/>
          <w:strike w:val="1"/>
        </w:rPr>
        <w:t>Eurocurrency Rate</w:t>
      </w:r>
      <w:r>
        <w:rPr>
          <w:rFonts w:ascii="Arial" w:cs="Arial" w:eastAsia="Arial" w:hAnsi="Arial"/>
          <w:sz w:val="20"/>
          <w:szCs w:val="20"/>
          <w:b w:val="1"/>
          <w:bCs w:val="1"/>
          <w:u w:val="single" w:color="auto"/>
          <w:color w:val="0000FF"/>
        </w:rPr>
        <w:t>Term Benchmark</w:t>
      </w:r>
      <w:r>
        <w:rPr>
          <w:rFonts w:ascii="Arial" w:cs="Arial" w:eastAsia="Arial" w:hAnsi="Arial"/>
          <w:sz w:val="20"/>
          <w:szCs w:val="20"/>
          <w:b w:val="1"/>
          <w:bCs w:val="1"/>
          <w:color w:val="0000FF"/>
        </w:rPr>
        <w:t xml:space="preserve"> </w:t>
      </w:r>
      <w:r>
        <w:rPr>
          <w:rFonts w:ascii="Arial" w:cs="Arial" w:eastAsia="Arial" w:hAnsi="Arial"/>
          <w:sz w:val="20"/>
          <w:szCs w:val="20"/>
          <w:color w:val="000000"/>
        </w:rPr>
        <w:t>Loan on a day other than the last day of the Interest</w:t>
      </w:r>
      <w:r>
        <w:rPr>
          <w:rFonts w:ascii="Arial" w:cs="Arial" w:eastAsia="Arial" w:hAnsi="Arial"/>
          <w:sz w:val="20"/>
          <w:szCs w:val="20"/>
          <w:b w:val="1"/>
          <w:bCs w:val="1"/>
          <w:color w:val="0000FF"/>
        </w:rPr>
        <w:t xml:space="preserve"> </w:t>
      </w:r>
      <w:r>
        <w:rPr>
          <w:rFonts w:ascii="Arial" w:cs="Arial" w:eastAsia="Arial" w:hAnsi="Arial"/>
          <w:sz w:val="20"/>
          <w:szCs w:val="20"/>
          <w:color w:val="000000"/>
        </w:rPr>
        <w:t xml:space="preserve">Period therefor as a result of a request by the Borrower pursuant to </w:t>
      </w:r>
      <w:r>
        <w:rPr>
          <w:rFonts w:ascii="Arial" w:cs="Arial" w:eastAsia="Arial" w:hAnsi="Arial"/>
          <w:sz w:val="20"/>
          <w:szCs w:val="20"/>
          <w:u w:val="single" w:color="auto"/>
          <w:color w:val="000000"/>
        </w:rPr>
        <w:t>Section 11.13</w:t>
      </w:r>
      <w:r>
        <w:rPr>
          <w:rFonts w:ascii="Arial" w:cs="Arial" w:eastAsia="Arial" w:hAnsi="Arial"/>
          <w:sz w:val="20"/>
          <w:szCs w:val="20"/>
          <w:b w:val="1"/>
          <w:bCs w:val="1"/>
          <w:color w:val="FF0000"/>
          <w:strike w:val="1"/>
        </w:rPr>
        <w:t>.</w:t>
      </w:r>
      <w:r>
        <w:rPr>
          <w:rFonts w:ascii="Arial" w:cs="Arial" w:eastAsia="Arial" w:hAnsi="Arial"/>
          <w:sz w:val="20"/>
          <w:szCs w:val="20"/>
          <w:color w:val="000000"/>
        </w:rPr>
        <w:t xml:space="preserve"> </w:t>
      </w:r>
      <w:r>
        <w:rPr>
          <w:rFonts w:ascii="Arial" w:cs="Arial" w:eastAsia="Arial" w:hAnsi="Arial"/>
          <w:sz w:val="20"/>
          <w:szCs w:val="20"/>
          <w:b w:val="1"/>
          <w:bCs w:val="1"/>
          <w:u w:val="single" w:color="auto"/>
          <w:color w:val="0000FF"/>
        </w:rPr>
        <w:t>, then, in any such event, the Borrower shall</w:t>
      </w:r>
      <w:r>
        <w:rPr>
          <w:rFonts w:ascii="Arial" w:cs="Arial" w:eastAsia="Arial" w:hAnsi="Arial"/>
          <w:sz w:val="20"/>
          <w:szCs w:val="20"/>
          <w:color w:val="000000"/>
        </w:rPr>
        <w:t xml:space="preserve"> </w:t>
      </w:r>
      <w:r>
        <w:rPr>
          <w:rFonts w:ascii="Arial" w:cs="Arial" w:eastAsia="Arial" w:hAnsi="Arial"/>
          <w:sz w:val="20"/>
          <w:szCs w:val="20"/>
          <w:b w:val="1"/>
          <w:bCs w:val="1"/>
          <w:u w:val="single" w:color="auto"/>
          <w:color w:val="0000FF"/>
        </w:rPr>
        <w:t>compensate each Lender for the loss, cost and expense attributable to such event. 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within ten (10) days after receipt thereof.</w:t>
      </w:r>
    </w:p>
    <w:p>
      <w:pPr>
        <w:spacing w:after="0" w:line="150" w:lineRule="exact"/>
        <w:rPr>
          <w:sz w:val="20"/>
          <w:szCs w:val="20"/>
          <w:color w:val="auto"/>
        </w:rPr>
      </w:pPr>
    </w:p>
    <w:p>
      <w:pPr>
        <w:jc w:val="both"/>
        <w:ind w:firstLine="624"/>
        <w:spacing w:after="0" w:line="226" w:lineRule="auto"/>
        <w:rPr>
          <w:sz w:val="20"/>
          <w:szCs w:val="20"/>
          <w:color w:val="auto"/>
        </w:rPr>
      </w:pPr>
      <w:r>
        <w:rPr>
          <w:rFonts w:ascii="Arial" w:cs="Arial" w:eastAsia="Arial" w:hAnsi="Arial"/>
          <w:sz w:val="21"/>
          <w:szCs w:val="21"/>
          <w:b w:val="1"/>
          <w:bCs w:val="1"/>
          <w:color w:val="FF0000"/>
          <w:strike w:val="1"/>
        </w:rPr>
        <w:t xml:space="preserve">For purposes of calculating amounts payable by the Borrower to the Lenders under this </w:t>
      </w:r>
      <w:r>
        <w:rPr>
          <w:rFonts w:ascii="Arial" w:cs="Arial" w:eastAsia="Arial" w:hAnsi="Arial"/>
          <w:sz w:val="21"/>
          <w:szCs w:val="21"/>
          <w:b w:val="1"/>
          <w:bCs w:val="1"/>
          <w:u w:val="single" w:color="auto"/>
          <w:color w:val="FF0000"/>
          <w:strike w:val="1"/>
        </w:rPr>
        <w:t>Section 3.05</w:t>
      </w:r>
      <w:r>
        <w:rPr>
          <w:rFonts w:ascii="Arial" w:cs="Arial" w:eastAsia="Arial" w:hAnsi="Arial"/>
          <w:sz w:val="21"/>
          <w:szCs w:val="21"/>
          <w:b w:val="1"/>
          <w:bCs w:val="1"/>
          <w:color w:val="FF0000"/>
          <w:strike w:val="1"/>
        </w:rPr>
        <w:t>, each Lender will be deemed to have funded each Eurocurrency Rate Loan made by it at the Eurocurrency Rate for such Loan by a matching deposit or other borrowing in the Relevant Interbank Market for a comparable amount and for a comparable period, whether or not such Eurocurrency Rate Loan was in fact so funded.</w:t>
      </w:r>
    </w:p>
    <w:p>
      <w:pPr>
        <w:spacing w:after="0" w:line="150" w:lineRule="exact"/>
        <w:rPr>
          <w:sz w:val="20"/>
          <w:szCs w:val="20"/>
          <w:color w:val="auto"/>
        </w:rPr>
      </w:pPr>
    </w:p>
    <w:p>
      <w:pPr>
        <w:jc w:val="both"/>
        <w:ind w:right="40" w:firstLine="1036"/>
        <w:spacing w:after="0" w:line="228" w:lineRule="auto"/>
        <w:tabs>
          <w:tab w:leader="none" w:pos="1503" w:val="left"/>
        </w:tabs>
        <w:numPr>
          <w:ilvl w:val="0"/>
          <w:numId w:val="186"/>
        </w:numPr>
        <w:rPr>
          <w:rFonts w:ascii="Arial" w:cs="Arial" w:eastAsia="Arial" w:hAnsi="Arial"/>
          <w:sz w:val="20"/>
          <w:szCs w:val="20"/>
          <w:b w:val="1"/>
          <w:bCs w:val="1"/>
          <w:u w:val="single" w:color="auto"/>
          <w:color w:val="0000FF"/>
        </w:rPr>
      </w:pPr>
      <w:r>
        <w:rPr>
          <w:rFonts w:ascii="Arial" w:cs="Arial" w:eastAsia="Arial" w:hAnsi="Arial"/>
          <w:sz w:val="20"/>
          <w:szCs w:val="20"/>
          <w:b w:val="1"/>
          <w:bCs w:val="1"/>
          <w:u w:val="single" w:color="auto"/>
          <w:color w:val="0000FF"/>
        </w:rPr>
        <w:t>With respect to RFR Loans, in the event of (i) the payment of any principal of any RFR Loan other than on the Interest Payment Date applicable thereto (including as a result of an Event of Default or as a result of any prepayment pursuant to Section 2.05), (ii) the failure to borrow or prepay any RFR Loan on the date specified in any notice delivered pursuant hereto (regardless of whether such notice may be revoked under Section 2.05(a) and is revoked in accordance therewith) or (iii) the assignment of any RFR Loan other than on the Interest Payment Date applicable thereto as a result of a request by the Borrower pursuant to Section 3.06, then, in any such event, the Borrower shall compensate each Lender for the loss, cost and expense attributable to such event. 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within ten (10) days after receipt thereof</w:t>
      </w:r>
    </w:p>
    <w:p>
      <w:pPr>
        <w:spacing w:after="0" w:line="153" w:lineRule="exact"/>
        <w:rPr>
          <w:sz w:val="20"/>
          <w:szCs w:val="20"/>
          <w:color w:val="auto"/>
        </w:rPr>
      </w:pPr>
    </w:p>
    <w:p>
      <w:pPr>
        <w:jc w:val="both"/>
        <w:ind w:right="40" w:firstLine="954"/>
        <w:spacing w:after="0" w:line="238" w:lineRule="auto"/>
        <w:rPr>
          <w:sz w:val="20"/>
          <w:szCs w:val="20"/>
          <w:color w:val="auto"/>
        </w:rPr>
      </w:pPr>
      <w:r>
        <w:rPr>
          <w:rFonts w:ascii="Arial" w:cs="Arial" w:eastAsia="Arial" w:hAnsi="Arial"/>
          <w:sz w:val="19"/>
          <w:szCs w:val="19"/>
          <w:color w:val="auto"/>
        </w:rPr>
        <w:t xml:space="preserve">Section 3.06 </w:t>
      </w:r>
      <w:r>
        <w:rPr>
          <w:rFonts w:ascii="Arial" w:cs="Arial" w:eastAsia="Arial" w:hAnsi="Arial"/>
          <w:sz w:val="19"/>
          <w:szCs w:val="19"/>
          <w:u w:val="single" w:color="auto"/>
          <w:color w:val="auto"/>
        </w:rPr>
        <w:t>Mitigation Obligations</w:t>
      </w:r>
      <w:r>
        <w:rPr>
          <w:rFonts w:ascii="Arial" w:cs="Arial" w:eastAsia="Arial" w:hAnsi="Arial"/>
          <w:sz w:val="19"/>
          <w:szCs w:val="19"/>
          <w:color w:val="auto"/>
        </w:rPr>
        <w:t xml:space="preserve">. If any Lender requests compensation under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or the Loan Parties are required to pay any additional amount to any Lender, any L/C Issuer or any Governmental Authority for the account of any Lender or any L/C Issuer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or if any Lender or any L/C Issuer gives a notice pursuant to </w:t>
      </w:r>
      <w:r>
        <w:rPr>
          <w:rFonts w:ascii="Arial" w:cs="Arial" w:eastAsia="Arial" w:hAnsi="Arial"/>
          <w:sz w:val="19"/>
          <w:szCs w:val="19"/>
          <w:u w:val="single" w:color="auto"/>
          <w:color w:val="auto"/>
        </w:rPr>
        <w:t>Section 3.02</w:t>
      </w:r>
      <w:r>
        <w:rPr>
          <w:rFonts w:ascii="Arial" w:cs="Arial" w:eastAsia="Arial" w:hAnsi="Arial"/>
          <w:sz w:val="19"/>
          <w:szCs w:val="19"/>
          <w:color w:val="auto"/>
        </w:rPr>
        <w:t xml:space="preserve"> , then such Lender or such L/C Issuer, as applicable, will use reasonable efforts to designate a different Lending Office for funding or booking its Loans hereunder or to assign its rights and obligations hereunder to another of its offices, branches or Affiliates, if, in the judgment of such Lender or such L/C Issuer, such designation or assignment (a) would eliminate or reduce amounts payable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as the case may be, in the future, or eliminate the need for the notice pursuant to </w:t>
      </w:r>
      <w:r>
        <w:rPr>
          <w:rFonts w:ascii="Arial" w:cs="Arial" w:eastAsia="Arial" w:hAnsi="Arial"/>
          <w:sz w:val="19"/>
          <w:szCs w:val="19"/>
          <w:u w:val="single" w:color="auto"/>
          <w:color w:val="auto"/>
        </w:rPr>
        <w:t>Section 3.02</w:t>
      </w:r>
      <w:r>
        <w:rPr>
          <w:rFonts w:ascii="Arial" w:cs="Arial" w:eastAsia="Arial" w:hAnsi="Arial"/>
          <w:sz w:val="19"/>
          <w:szCs w:val="19"/>
          <w:color w:val="auto"/>
        </w:rPr>
        <w:t>, as applicable, and (b) in each case, would not subject such Lender or such L/C Issuer to any unreimbursed cost or expense and would not otherwise be disadvantageous to such Lender or such L/C Issuer. The Loan Parties hereby agree to pay all reasonable costs and expenses incurred by any Lender or any L/C Issuer in connection with any such designation or assignment. Each party hereto agrees that (i) an assignment required pursuant to this paragraph may be effected pursuant to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89</w:t>
      </w:r>
    </w:p>
    <w:p>
      <w:pPr>
        <w:sectPr>
          <w:pgSz w:w="11900" w:h="16838" w:orient="portrait"/>
          <w:cols w:equalWidth="0" w:num="1">
            <w:col w:w="11240"/>
          </w:cols>
          <w:pgMar w:left="320" w:top="1146" w:right="339" w:bottom="1440" w:gutter="0" w:footer="0" w:header="0"/>
        </w:sectPr>
      </w:pPr>
    </w:p>
    <w:bookmarkStart w:id="228" w:name="page229"/>
    <w:bookmarkEnd w:id="228"/>
    <w:p>
      <w:pPr>
        <w:jc w:val="both"/>
        <w:spacing w:after="0" w:line="230" w:lineRule="auto"/>
        <w:rPr>
          <w:sz w:val="20"/>
          <w:szCs w:val="20"/>
          <w:color w:val="auto"/>
        </w:rPr>
      </w:pPr>
      <w:r>
        <w:rPr>
          <w:rFonts w:ascii="Arial" w:cs="Arial" w:eastAsia="Arial" w:hAnsi="Arial"/>
          <w:sz w:val="20"/>
          <w:szCs w:val="20"/>
          <w:color w:val="auto"/>
        </w:rPr>
        <w:t xml:space="preserve">Assignment and Assumption executed by the Borrower, the Administrative Agent and the assignee (or, to the extent applicable, an agreement incorporating an Assignment and Assumption by reference pursuant to an Approved Electronic Platform as to which the Administrative Agent and such parties are participants), and (ii) the Lender required to make such assignment need not be a party thereto in order for such assignment to be effective and shall be deemed to have consented to and be bound by the terms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w:t>
      </w:r>
    </w:p>
    <w:p>
      <w:pPr>
        <w:spacing w:after="0" w:line="153" w:lineRule="exact"/>
        <w:rPr>
          <w:sz w:val="20"/>
          <w:szCs w:val="20"/>
          <w:color w:val="auto"/>
        </w:rPr>
      </w:pPr>
    </w:p>
    <w:p>
      <w:pPr>
        <w:jc w:val="both"/>
        <w:ind w:firstLine="954"/>
        <w:spacing w:after="0" w:line="230" w:lineRule="auto"/>
        <w:rPr>
          <w:sz w:val="20"/>
          <w:szCs w:val="20"/>
          <w:color w:val="auto"/>
        </w:rPr>
      </w:pPr>
      <w:r>
        <w:rPr>
          <w:rFonts w:ascii="Arial" w:cs="Arial" w:eastAsia="Arial" w:hAnsi="Arial"/>
          <w:sz w:val="21"/>
          <w:szCs w:val="21"/>
          <w:color w:val="auto"/>
        </w:rPr>
        <w:t xml:space="preserve">Section 3.07 </w:t>
      </w:r>
      <w:r>
        <w:rPr>
          <w:rFonts w:ascii="Arial" w:cs="Arial" w:eastAsia="Arial" w:hAnsi="Arial"/>
          <w:sz w:val="21"/>
          <w:szCs w:val="21"/>
          <w:u w:val="single" w:color="auto"/>
          <w:color w:val="auto"/>
        </w:rPr>
        <w:t>Survival</w:t>
      </w:r>
      <w:r>
        <w:rPr>
          <w:rFonts w:ascii="Arial" w:cs="Arial" w:eastAsia="Arial" w:hAnsi="Arial"/>
          <w:sz w:val="21"/>
          <w:szCs w:val="21"/>
          <w:color w:val="auto"/>
        </w:rPr>
        <w:t>. Each party’s obligations under this Article III will survive the resignation or replacement of the Administrative Agent or any assignment of rights by, or the replacement of, a Lender, the termination of the Aggregate Commitments and the repayment of all other Obligations hereunder.</w:t>
      </w:r>
    </w:p>
    <w:p>
      <w:pPr>
        <w:spacing w:after="0" w:line="154" w:lineRule="exact"/>
        <w:rPr>
          <w:sz w:val="20"/>
          <w:szCs w:val="20"/>
          <w:color w:val="auto"/>
        </w:rPr>
      </w:pPr>
    </w:p>
    <w:p>
      <w:pPr>
        <w:ind w:left="5000"/>
        <w:spacing w:after="0"/>
        <w:rPr>
          <w:sz w:val="20"/>
          <w:szCs w:val="20"/>
          <w:color w:val="auto"/>
        </w:rPr>
      </w:pPr>
      <w:r>
        <w:rPr>
          <w:rFonts w:ascii="Arial" w:cs="Arial" w:eastAsia="Arial" w:hAnsi="Arial"/>
          <w:sz w:val="21"/>
          <w:szCs w:val="21"/>
          <w:color w:val="auto"/>
        </w:rPr>
        <w:t>ARTICLE 4</w:t>
      </w:r>
    </w:p>
    <w:p>
      <w:pPr>
        <w:spacing w:after="0" w:line="183" w:lineRule="exact"/>
        <w:rPr>
          <w:sz w:val="20"/>
          <w:szCs w:val="20"/>
          <w:color w:val="auto"/>
        </w:rPr>
      </w:pPr>
    </w:p>
    <w:p>
      <w:pPr>
        <w:ind w:left="4340"/>
        <w:spacing w:after="0"/>
        <w:rPr>
          <w:sz w:val="20"/>
          <w:szCs w:val="20"/>
          <w:color w:val="auto"/>
        </w:rPr>
      </w:pPr>
      <w:r>
        <w:rPr>
          <w:rFonts w:ascii="Arial" w:cs="Arial" w:eastAsia="Arial" w:hAnsi="Arial"/>
          <w:sz w:val="21"/>
          <w:szCs w:val="21"/>
          <w:color w:val="auto"/>
        </w:rPr>
        <w:t>CONDITIONS PRECEDENT</w:t>
      </w:r>
    </w:p>
    <w:p>
      <w:pPr>
        <w:spacing w:after="0" w:line="183" w:lineRule="exact"/>
        <w:rPr>
          <w:sz w:val="20"/>
          <w:szCs w:val="20"/>
          <w:color w:val="auto"/>
        </w:rPr>
      </w:pPr>
    </w:p>
    <w:p>
      <w:pPr>
        <w:jc w:val="both"/>
        <w:ind w:firstLine="954"/>
        <w:spacing w:after="0" w:line="230" w:lineRule="auto"/>
        <w:rPr>
          <w:sz w:val="20"/>
          <w:szCs w:val="20"/>
          <w:color w:val="auto"/>
        </w:rPr>
      </w:pPr>
      <w:r>
        <w:rPr>
          <w:rFonts w:ascii="Arial" w:cs="Arial" w:eastAsia="Arial" w:hAnsi="Arial"/>
          <w:sz w:val="21"/>
          <w:szCs w:val="21"/>
          <w:color w:val="auto"/>
        </w:rPr>
        <w:t xml:space="preserve">Section 4.01 </w:t>
      </w:r>
      <w:r>
        <w:rPr>
          <w:rFonts w:ascii="Arial" w:cs="Arial" w:eastAsia="Arial" w:hAnsi="Arial"/>
          <w:sz w:val="21"/>
          <w:szCs w:val="21"/>
          <w:u w:val="single" w:color="auto"/>
          <w:color w:val="auto"/>
        </w:rPr>
        <w:t>Conditions to Effectiveness</w:t>
      </w:r>
      <w:r>
        <w:rPr>
          <w:rFonts w:ascii="Arial" w:cs="Arial" w:eastAsia="Arial" w:hAnsi="Arial"/>
          <w:sz w:val="21"/>
          <w:szCs w:val="21"/>
          <w:color w:val="auto"/>
        </w:rPr>
        <w:t xml:space="preserve">. This Agreement and the obligations of the Lenders to make Loans and of the L/C Issuers to issue Letters of Credit hereunder shall not become effective until the date on which each of the following conditions shall be satisfied (or waived in accordance with </w:t>
      </w:r>
      <w:r>
        <w:rPr>
          <w:rFonts w:ascii="Arial" w:cs="Arial" w:eastAsia="Arial" w:hAnsi="Arial"/>
          <w:sz w:val="21"/>
          <w:szCs w:val="21"/>
          <w:u w:val="single" w:color="auto"/>
          <w:color w:val="auto"/>
        </w:rPr>
        <w:t>Section 11.01</w:t>
      </w:r>
      <w:r>
        <w:rPr>
          <w:rFonts w:ascii="Arial" w:cs="Arial" w:eastAsia="Arial" w:hAnsi="Arial"/>
          <w:sz w:val="21"/>
          <w:szCs w:val="21"/>
          <w:color w:val="auto"/>
        </w:rPr>
        <w:t>):</w:t>
      </w:r>
    </w:p>
    <w:p>
      <w:pPr>
        <w:spacing w:after="0" w:line="154" w:lineRule="exact"/>
        <w:rPr>
          <w:sz w:val="20"/>
          <w:szCs w:val="20"/>
          <w:color w:val="auto"/>
        </w:rPr>
      </w:pPr>
    </w:p>
    <w:p>
      <w:pPr>
        <w:jc w:val="both"/>
        <w:ind w:firstLine="1036"/>
        <w:spacing w:after="0" w:line="230" w:lineRule="auto"/>
        <w:tabs>
          <w:tab w:leader="none" w:pos="1547" w:val="left"/>
        </w:tabs>
        <w:numPr>
          <w:ilvl w:val="1"/>
          <w:numId w:val="187"/>
        </w:numPr>
        <w:rPr>
          <w:rFonts w:ascii="Arial" w:cs="Arial" w:eastAsia="Arial" w:hAnsi="Arial"/>
          <w:sz w:val="21"/>
          <w:szCs w:val="21"/>
          <w:color w:val="auto"/>
        </w:rPr>
      </w:pPr>
      <w:r>
        <w:rPr>
          <w:rFonts w:ascii="Arial" w:cs="Arial" w:eastAsia="Arial" w:hAnsi="Arial"/>
          <w:sz w:val="21"/>
          <w:szCs w:val="21"/>
          <w:color w:val="auto"/>
        </w:rPr>
        <w:t xml:space="preserve">The Administrative Agent’s receipt from each party hereto a counterpart of this Agreement signed on behalf of such party (which, subject to </w:t>
      </w:r>
      <w:r>
        <w:rPr>
          <w:rFonts w:ascii="Arial" w:cs="Arial" w:eastAsia="Arial" w:hAnsi="Arial"/>
          <w:sz w:val="21"/>
          <w:szCs w:val="21"/>
          <w:u w:val="single" w:color="auto"/>
          <w:color w:val="auto"/>
        </w:rPr>
        <w:t>Section 11.10</w:t>
      </w:r>
      <w:r>
        <w:rPr>
          <w:rFonts w:ascii="Arial" w:cs="Arial" w:eastAsia="Arial" w:hAnsi="Arial"/>
          <w:sz w:val="21"/>
          <w:szCs w:val="21"/>
          <w:color w:val="auto"/>
        </w:rPr>
        <w:t>, may include any Electronic Signatures transmitted by telecopy, emailed pdf, or any other electronic means that reproduces an image of an actual executed signature page).</w:t>
      </w:r>
    </w:p>
    <w:p>
      <w:pPr>
        <w:spacing w:after="0" w:line="153" w:lineRule="exact"/>
        <w:rPr>
          <w:rFonts w:ascii="Arial" w:cs="Arial" w:eastAsia="Arial" w:hAnsi="Arial"/>
          <w:sz w:val="21"/>
          <w:szCs w:val="21"/>
          <w:color w:val="auto"/>
        </w:rPr>
      </w:pPr>
    </w:p>
    <w:p>
      <w:pPr>
        <w:jc w:val="both"/>
        <w:ind w:firstLine="1036"/>
        <w:spacing w:after="0" w:line="230" w:lineRule="auto"/>
        <w:tabs>
          <w:tab w:leader="none" w:pos="1628" w:val="left"/>
        </w:tabs>
        <w:numPr>
          <w:ilvl w:val="1"/>
          <w:numId w:val="187"/>
        </w:numPr>
        <w:rPr>
          <w:rFonts w:ascii="Arial" w:cs="Arial" w:eastAsia="Arial" w:hAnsi="Arial"/>
          <w:sz w:val="21"/>
          <w:szCs w:val="21"/>
          <w:color w:val="auto"/>
        </w:rPr>
      </w:pPr>
      <w:r>
        <w:rPr>
          <w:rFonts w:ascii="Arial" w:cs="Arial" w:eastAsia="Arial" w:hAnsi="Arial"/>
          <w:sz w:val="21"/>
          <w:szCs w:val="21"/>
          <w:color w:val="auto"/>
        </w:rPr>
        <w:t xml:space="preserve">The Administrative Agent’s receipt of the following, each of which may be delivered by facsimile or other electronic transmission (including “pdf” and “tif”), followed promptly after the Effective Date by originals;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delivery of any originals shall not be a condition precedent to the Effective Date:</w:t>
      </w:r>
    </w:p>
    <w:p>
      <w:pPr>
        <w:spacing w:after="0" w:line="153" w:lineRule="exact"/>
        <w:rPr>
          <w:rFonts w:ascii="Arial" w:cs="Arial" w:eastAsia="Arial" w:hAnsi="Arial"/>
          <w:sz w:val="21"/>
          <w:szCs w:val="21"/>
          <w:color w:val="auto"/>
        </w:rPr>
      </w:pPr>
    </w:p>
    <w:p>
      <w:pPr>
        <w:jc w:val="both"/>
        <w:ind w:left="640" w:firstLine="638"/>
        <w:spacing w:after="0" w:line="228" w:lineRule="auto"/>
        <w:tabs>
          <w:tab w:leader="none" w:pos="1912" w:val="left"/>
        </w:tabs>
        <w:numPr>
          <w:ilvl w:val="2"/>
          <w:numId w:val="187"/>
        </w:numPr>
        <w:rPr>
          <w:rFonts w:ascii="Arial" w:cs="Arial" w:eastAsia="Arial" w:hAnsi="Arial"/>
          <w:sz w:val="20"/>
          <w:szCs w:val="20"/>
          <w:color w:val="auto"/>
        </w:rPr>
      </w:pPr>
      <w:r>
        <w:rPr>
          <w:rFonts w:ascii="Arial" w:cs="Arial" w:eastAsia="Arial" w:hAnsi="Arial"/>
          <w:sz w:val="20"/>
          <w:szCs w:val="20"/>
          <w:color w:val="auto"/>
        </w:rPr>
        <w:t>a certificate, dated the Effective Date and signed by a Responsible Officer of each of the Loan Parties, (A) certifying and attaching a copy of the resolutions adopted by such Loan Party authorizing the execution, delivery and performance of this Agreement and, if applicable, the Notes, (B) certifying as to the incumbency and specimen signature of each Responsible Officer executing this Agreement and, if applicable, the Notes, on behalf of such Person, (C) attaching a good standing certificate (or the local equivalent, to the extent applicable in the relevant jurisdiction) and a certificate of incorporation (or the local equivalent) evidencing that such Loan Party is validly existing and in good standing (or the local equivalent, to the extent applicable in the relevant jurisdiction) in its jurisdiction of organization and (D) certifying and attaching a true and complete copy of the Organization Documents of such Loan Party (where customary and applicable, certified by the relevant Governmental Authority);</w:t>
      </w:r>
    </w:p>
    <w:p>
      <w:pPr>
        <w:spacing w:after="0" w:line="153" w:lineRule="exact"/>
        <w:rPr>
          <w:rFonts w:ascii="Arial" w:cs="Arial" w:eastAsia="Arial" w:hAnsi="Arial"/>
          <w:sz w:val="20"/>
          <w:szCs w:val="20"/>
          <w:color w:val="auto"/>
        </w:rPr>
      </w:pPr>
    </w:p>
    <w:p>
      <w:pPr>
        <w:ind w:left="1920" w:hanging="642"/>
        <w:spacing w:after="0"/>
        <w:tabs>
          <w:tab w:leader="none" w:pos="1920" w:val="left"/>
        </w:tabs>
        <w:numPr>
          <w:ilvl w:val="2"/>
          <w:numId w:val="187"/>
        </w:numPr>
        <w:rPr>
          <w:rFonts w:ascii="Arial" w:cs="Arial" w:eastAsia="Arial" w:hAnsi="Arial"/>
          <w:sz w:val="20"/>
          <w:szCs w:val="20"/>
          <w:color w:val="auto"/>
        </w:rPr>
      </w:pPr>
      <w:r>
        <w:rPr>
          <w:rFonts w:ascii="Arial" w:cs="Arial" w:eastAsia="Arial" w:hAnsi="Arial"/>
          <w:sz w:val="20"/>
          <w:szCs w:val="20"/>
          <w:color w:val="auto"/>
        </w:rPr>
        <w:t>a certificate, dated the Effective Date and signed by a Responsible Officer of the Borrower, certifying that</w:t>
      </w:r>
    </w:p>
    <w:p>
      <w:pPr>
        <w:ind w:left="980" w:hanging="338"/>
        <w:spacing w:after="0"/>
        <w:tabs>
          <w:tab w:leader="none" w:pos="980" w:val="left"/>
        </w:tabs>
        <w:numPr>
          <w:ilvl w:val="0"/>
          <w:numId w:val="188"/>
        </w:numPr>
        <w:rPr>
          <w:rFonts w:ascii="Arial" w:cs="Arial" w:eastAsia="Arial" w:hAnsi="Arial"/>
          <w:sz w:val="20"/>
          <w:szCs w:val="20"/>
          <w:color w:val="auto"/>
        </w:rPr>
      </w:pPr>
      <w:r>
        <w:rPr>
          <w:rFonts w:ascii="Arial" w:cs="Arial" w:eastAsia="Arial" w:hAnsi="Arial"/>
          <w:sz w:val="20"/>
          <w:szCs w:val="20"/>
          <w:color w:val="auto"/>
        </w:rPr>
        <w:t xml:space="preserve">the representations and warranties contained in </w:t>
      </w:r>
      <w:r>
        <w:rPr>
          <w:rFonts w:ascii="Arial" w:cs="Arial" w:eastAsia="Arial" w:hAnsi="Arial"/>
          <w:sz w:val="20"/>
          <w:szCs w:val="20"/>
          <w:u w:val="single" w:color="auto"/>
          <w:color w:val="auto"/>
        </w:rPr>
        <w:t>Article V</w:t>
      </w:r>
      <w:r>
        <w:rPr>
          <w:rFonts w:ascii="Arial" w:cs="Arial" w:eastAsia="Arial" w:hAnsi="Arial"/>
          <w:sz w:val="20"/>
          <w:szCs w:val="20"/>
          <w:color w:val="auto"/>
        </w:rPr>
        <w:t xml:space="preserve"> are true and correct (1) in the case of the representations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90</w:t>
      </w:r>
    </w:p>
    <w:p>
      <w:pPr>
        <w:sectPr>
          <w:pgSz w:w="11900" w:h="16838" w:orient="portrait"/>
          <w:cols w:equalWidth="0" w:num="1">
            <w:col w:w="11200"/>
          </w:cols>
          <w:pgMar w:left="320" w:top="1152" w:right="379" w:bottom="1440" w:gutter="0" w:footer="0" w:header="0"/>
        </w:sectPr>
      </w:pPr>
    </w:p>
    <w:bookmarkStart w:id="229" w:name="page230"/>
    <w:bookmarkEnd w:id="229"/>
    <w:p>
      <w:pPr>
        <w:jc w:val="both"/>
        <w:ind w:left="640" w:right="40"/>
        <w:spacing w:after="0" w:line="225" w:lineRule="auto"/>
        <w:rPr>
          <w:sz w:val="20"/>
          <w:szCs w:val="20"/>
          <w:color w:val="auto"/>
        </w:rPr>
      </w:pPr>
      <w:r>
        <w:rPr>
          <w:rFonts w:ascii="Arial" w:cs="Arial" w:eastAsia="Arial" w:hAnsi="Arial"/>
          <w:sz w:val="21"/>
          <w:szCs w:val="21"/>
          <w:color w:val="auto"/>
        </w:rPr>
        <w:t>and warranties qualified as to materiality, in all respects and (2) otherwise, in all material respects, in each case on and as of the Effective Date, except to the extent that such representations and warranties specifically refer to an earlier date, in which case they are so true and correct as of such earlier date, and (B) on and as of the Effective Date, no Default has occurred and is continuing; and</w:t>
      </w:r>
    </w:p>
    <w:p>
      <w:pPr>
        <w:spacing w:after="0" w:line="154" w:lineRule="exact"/>
        <w:rPr>
          <w:sz w:val="20"/>
          <w:szCs w:val="20"/>
          <w:color w:val="auto"/>
        </w:rPr>
      </w:pPr>
    </w:p>
    <w:p>
      <w:pPr>
        <w:jc w:val="both"/>
        <w:ind w:left="640" w:right="40" w:firstLine="638"/>
        <w:spacing w:after="0" w:line="230" w:lineRule="auto"/>
        <w:tabs>
          <w:tab w:leader="none" w:pos="1912" w:val="left"/>
        </w:tabs>
        <w:numPr>
          <w:ilvl w:val="2"/>
          <w:numId w:val="189"/>
        </w:numPr>
        <w:rPr>
          <w:rFonts w:ascii="Arial" w:cs="Arial" w:eastAsia="Arial" w:hAnsi="Arial"/>
          <w:sz w:val="21"/>
          <w:szCs w:val="21"/>
          <w:color w:val="auto"/>
        </w:rPr>
      </w:pPr>
      <w:r>
        <w:rPr>
          <w:rFonts w:ascii="Arial" w:cs="Arial" w:eastAsia="Arial" w:hAnsi="Arial"/>
          <w:sz w:val="21"/>
          <w:szCs w:val="21"/>
          <w:color w:val="auto"/>
        </w:rPr>
        <w:t>an executed legal opinion of Pillsbury Winthrop Shaw Pittman LLP, counsel to the Loan Parties, addressed to the Administrative Agent, each L/C Issuer and each Lender, dated the Effective Date and in form and substance reasonably satisfactory to the Administrative Agent.</w:t>
      </w:r>
    </w:p>
    <w:p>
      <w:pPr>
        <w:spacing w:after="0" w:line="153" w:lineRule="exact"/>
        <w:rPr>
          <w:rFonts w:ascii="Arial" w:cs="Arial" w:eastAsia="Arial" w:hAnsi="Arial"/>
          <w:sz w:val="21"/>
          <w:szCs w:val="21"/>
          <w:color w:val="auto"/>
        </w:rPr>
      </w:pPr>
    </w:p>
    <w:p>
      <w:pPr>
        <w:jc w:val="both"/>
        <w:ind w:right="40" w:firstLine="1036"/>
        <w:spacing w:after="0" w:line="225" w:lineRule="auto"/>
        <w:tabs>
          <w:tab w:leader="none" w:pos="1540" w:val="left"/>
        </w:tabs>
        <w:numPr>
          <w:ilvl w:val="1"/>
          <w:numId w:val="190"/>
        </w:numPr>
        <w:rPr>
          <w:rFonts w:ascii="Arial" w:cs="Arial" w:eastAsia="Arial" w:hAnsi="Arial"/>
          <w:sz w:val="21"/>
          <w:szCs w:val="21"/>
          <w:color w:val="auto"/>
        </w:rPr>
      </w:pPr>
      <w:r>
        <w:rPr>
          <w:rFonts w:ascii="Arial" w:cs="Arial" w:eastAsia="Arial" w:hAnsi="Arial"/>
          <w:sz w:val="21"/>
          <w:szCs w:val="21"/>
          <w:color w:val="auto"/>
        </w:rPr>
        <w:t>All fees due to the Administrative Agent, the Arrangers and the Lenders pursuant to this Agreement and, to the extent invoiced at least two (2) Business Days prior to the Effective Date, all reasonable and documented expenses to be paid or reimbursed to the Administrative Agent and the Arrangers on or prior to the Effective Date pursuant to this Agreement shall have been paid.</w:t>
      </w:r>
    </w:p>
    <w:p>
      <w:pPr>
        <w:spacing w:after="0" w:line="154" w:lineRule="exact"/>
        <w:rPr>
          <w:rFonts w:ascii="Arial" w:cs="Arial" w:eastAsia="Arial" w:hAnsi="Arial"/>
          <w:sz w:val="21"/>
          <w:szCs w:val="21"/>
          <w:color w:val="auto"/>
        </w:rPr>
      </w:pPr>
    </w:p>
    <w:p>
      <w:pPr>
        <w:jc w:val="both"/>
        <w:ind w:right="40" w:firstLine="1036"/>
        <w:spacing w:after="0" w:line="239" w:lineRule="auto"/>
        <w:tabs>
          <w:tab w:leader="none" w:pos="1711" w:val="left"/>
        </w:tabs>
        <w:numPr>
          <w:ilvl w:val="1"/>
          <w:numId w:val="190"/>
        </w:numPr>
        <w:rPr>
          <w:rFonts w:ascii="Arial" w:cs="Arial" w:eastAsia="Arial" w:hAnsi="Arial"/>
          <w:sz w:val="19"/>
          <w:szCs w:val="19"/>
          <w:color w:val="auto"/>
        </w:rPr>
      </w:pPr>
      <w:r>
        <w:rPr>
          <w:rFonts w:ascii="Arial" w:cs="Arial" w:eastAsia="Arial" w:hAnsi="Arial"/>
          <w:sz w:val="19"/>
          <w:szCs w:val="19"/>
          <w:color w:val="auto"/>
        </w:rPr>
        <w:t>(i) The Administrative Agent shall have received, at least five (5) days prior to the Effective Date, all documentation and other information regarding the Borrower requested in connection with applicable “know your customer” and anti-money laundering rules and regulations, including the Patriot Act, to the extent requested in writing of the Borrower at least ten</w:t>
      </w:r>
    </w:p>
    <w:p>
      <w:pPr>
        <w:spacing w:after="0" w:line="1" w:lineRule="exact"/>
        <w:rPr>
          <w:rFonts w:ascii="Arial" w:cs="Arial" w:eastAsia="Arial" w:hAnsi="Arial"/>
          <w:sz w:val="19"/>
          <w:szCs w:val="19"/>
          <w:color w:val="auto"/>
        </w:rPr>
      </w:pPr>
    </w:p>
    <w:p>
      <w:pPr>
        <w:jc w:val="both"/>
        <w:ind w:right="40" w:firstLine="6"/>
        <w:spacing w:after="0" w:line="229" w:lineRule="auto"/>
        <w:tabs>
          <w:tab w:leader="none" w:pos="417" w:val="left"/>
        </w:tabs>
        <w:numPr>
          <w:ilvl w:val="0"/>
          <w:numId w:val="191"/>
        </w:numPr>
        <w:rPr>
          <w:rFonts w:ascii="Arial" w:cs="Arial" w:eastAsia="Arial" w:hAnsi="Arial"/>
          <w:sz w:val="20"/>
          <w:szCs w:val="20"/>
          <w:color w:val="auto"/>
        </w:rPr>
      </w:pPr>
      <w:r>
        <w:rPr>
          <w:rFonts w:ascii="Arial" w:cs="Arial" w:eastAsia="Arial" w:hAnsi="Arial"/>
          <w:sz w:val="20"/>
          <w:szCs w:val="20"/>
          <w:color w:val="auto"/>
        </w:rPr>
        <w:t>days prior to the Effective Date and (ii) to the extent the Borrower qualifies as a “legal entity customer” under the Beneficial Ownership Regulation, at least five (5) days prior to the Effective Date, any Lender that has requested, in a written notice to the Borrower at least ten (10) days prior to the Effective Date, a Beneficial Ownership Certification in relation to the Borrower shall have received such Beneficial Ownership Certification (provided that, upon the execution and delivery by such Lender of its signature page to this Agreement, the condition set forth in this clause (d) shall be deemed to be satisfied).</w:t>
      </w:r>
    </w:p>
    <w:p>
      <w:pPr>
        <w:spacing w:after="0" w:line="157" w:lineRule="exact"/>
        <w:rPr>
          <w:sz w:val="20"/>
          <w:szCs w:val="20"/>
          <w:color w:val="auto"/>
        </w:rPr>
      </w:pPr>
    </w:p>
    <w:p>
      <w:pPr>
        <w:jc w:val="both"/>
        <w:ind w:firstLine="624"/>
        <w:spacing w:after="0" w:line="247" w:lineRule="auto"/>
        <w:rPr>
          <w:sz w:val="20"/>
          <w:szCs w:val="20"/>
          <w:color w:val="auto"/>
        </w:rPr>
      </w:pPr>
      <w:r>
        <w:rPr>
          <w:rFonts w:ascii="Arial" w:cs="Arial" w:eastAsia="Arial" w:hAnsi="Arial"/>
          <w:sz w:val="19"/>
          <w:szCs w:val="19"/>
          <w:color w:val="auto"/>
        </w:rPr>
        <w:t xml:space="preserve">Without limiting the generality of the provisions of </w:t>
      </w:r>
      <w:r>
        <w:rPr>
          <w:rFonts w:ascii="Arial" w:cs="Arial" w:eastAsia="Arial" w:hAnsi="Arial"/>
          <w:sz w:val="19"/>
          <w:szCs w:val="19"/>
          <w:u w:val="single" w:color="auto"/>
          <w:color w:val="auto"/>
        </w:rPr>
        <w:t>Section 10.04</w:t>
      </w:r>
      <w:r>
        <w:rPr>
          <w:rFonts w:ascii="Arial" w:cs="Arial" w:eastAsia="Arial" w:hAnsi="Arial"/>
          <w:sz w:val="19"/>
          <w:szCs w:val="19"/>
          <w:color w:val="auto"/>
        </w:rPr>
        <w:t xml:space="preserve"> , for purposes of determining compliance with the conditions specified in this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each Lender will be deemed to have consented to, approved or accepted, or to be satisfied with, each document or other matter referred to in this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unless the Administrative Agent will have received notice from such Lender prior to the proposed Effective Date, specifying its objection thereto. The Administrative Agent shall promptly notify in writing the Loan Parties and the Lenders of the occurrence of the Effective Date, and such notice shall be conclusive and binding.</w:t>
      </w:r>
    </w:p>
    <w:p>
      <w:pPr>
        <w:spacing w:after="0" w:line="148" w:lineRule="exact"/>
        <w:rPr>
          <w:sz w:val="20"/>
          <w:szCs w:val="20"/>
          <w:color w:val="auto"/>
        </w:rPr>
      </w:pPr>
    </w:p>
    <w:p>
      <w:pPr>
        <w:jc w:val="both"/>
        <w:ind w:right="40" w:firstLine="954"/>
        <w:spacing w:after="0" w:line="252" w:lineRule="auto"/>
        <w:rPr>
          <w:sz w:val="20"/>
          <w:szCs w:val="20"/>
          <w:color w:val="auto"/>
        </w:rPr>
      </w:pPr>
      <w:r>
        <w:rPr>
          <w:rFonts w:ascii="Arial" w:cs="Arial" w:eastAsia="Arial" w:hAnsi="Arial"/>
          <w:sz w:val="19"/>
          <w:szCs w:val="19"/>
          <w:color w:val="auto"/>
        </w:rPr>
        <w:t xml:space="preserve">Section 4.02 </w:t>
      </w:r>
      <w:r>
        <w:rPr>
          <w:rFonts w:ascii="Arial" w:cs="Arial" w:eastAsia="Arial" w:hAnsi="Arial"/>
          <w:sz w:val="19"/>
          <w:szCs w:val="19"/>
          <w:u w:val="single" w:color="auto"/>
          <w:color w:val="auto"/>
        </w:rPr>
        <w:t>Conditions to all Credit Extensions</w:t>
      </w:r>
      <w:r>
        <w:rPr>
          <w:rFonts w:ascii="Arial" w:cs="Arial" w:eastAsia="Arial" w:hAnsi="Arial"/>
          <w:sz w:val="19"/>
          <w:szCs w:val="19"/>
          <w:color w:val="auto"/>
        </w:rPr>
        <w:t xml:space="preserve">. The obligation of each Lender to honor any Request for Credit Extension (other than a Committed Loan Notice requesting only a conversion of Committed Borrowings of one Type to the other Type, or a continuation of </w:t>
      </w:r>
      <w:r>
        <w:rPr>
          <w:rFonts w:ascii="Arial" w:cs="Arial" w:eastAsia="Arial" w:hAnsi="Arial"/>
          <w:sz w:val="19"/>
          <w:szCs w:val="19"/>
          <w:b w:val="1"/>
          <w:bCs w:val="1"/>
          <w:color w:val="FF0000"/>
          <w:strike w:val="1"/>
        </w:rPr>
        <w:t>Eurocurrency Rate</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Term Benchmark</w:t>
      </w:r>
      <w:r>
        <w:rPr>
          <w:rFonts w:ascii="Arial" w:cs="Arial" w:eastAsia="Arial" w:hAnsi="Arial"/>
          <w:sz w:val="19"/>
          <w:szCs w:val="19"/>
          <w:color w:val="auto"/>
        </w:rPr>
        <w:t xml:space="preserve"> Committed Loans) on and after the Effective Date is, subject to Section 2.14 (as relating to Acquisition-Related Incremental Term Loans), subject to the following conditions precedent:</w:t>
      </w:r>
    </w:p>
    <w:p>
      <w:pPr>
        <w:spacing w:after="0" w:line="142" w:lineRule="exact"/>
        <w:rPr>
          <w:sz w:val="20"/>
          <w:szCs w:val="20"/>
          <w:color w:val="auto"/>
        </w:rPr>
      </w:pPr>
    </w:p>
    <w:p>
      <w:pPr>
        <w:jc w:val="both"/>
        <w:ind w:right="40" w:firstLine="1036"/>
        <w:spacing w:after="0" w:line="225" w:lineRule="auto"/>
        <w:tabs>
          <w:tab w:leader="none" w:pos="1673" w:val="left"/>
        </w:tabs>
        <w:numPr>
          <w:ilvl w:val="0"/>
          <w:numId w:val="192"/>
        </w:numPr>
        <w:rPr>
          <w:rFonts w:ascii="Arial" w:cs="Arial" w:eastAsia="Arial" w:hAnsi="Arial"/>
          <w:sz w:val="21"/>
          <w:szCs w:val="21"/>
          <w:color w:val="auto"/>
        </w:rPr>
      </w:pPr>
      <w:r>
        <w:rPr>
          <w:rFonts w:ascii="Arial" w:cs="Arial" w:eastAsia="Arial" w:hAnsi="Arial"/>
          <w:sz w:val="21"/>
          <w:szCs w:val="21"/>
          <w:color w:val="auto"/>
        </w:rPr>
        <w:t xml:space="preserve">The representations and warranties contained in </w:t>
      </w:r>
      <w:r>
        <w:rPr>
          <w:rFonts w:ascii="Arial" w:cs="Arial" w:eastAsia="Arial" w:hAnsi="Arial"/>
          <w:sz w:val="21"/>
          <w:szCs w:val="21"/>
          <w:u w:val="single" w:color="auto"/>
          <w:color w:val="auto"/>
        </w:rPr>
        <w:t>Article V</w:t>
      </w:r>
      <w:r>
        <w:rPr>
          <w:rFonts w:ascii="Arial" w:cs="Arial" w:eastAsia="Arial" w:hAnsi="Arial"/>
          <w:sz w:val="21"/>
          <w:szCs w:val="21"/>
          <w:color w:val="auto"/>
        </w:rPr>
        <w:t xml:space="preserve"> will be true and correct (i) in the case of the representations and warranties qualified as to materiality, in all respects and (ii) otherwise, in all material respects, in each case on and as of the date of such Credit Extension, except to the extent that such representations and warranties specifically refer to an earlier date, in which case they will be so true and correct as of such earlier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91</w:t>
      </w:r>
    </w:p>
    <w:p>
      <w:pPr>
        <w:sectPr>
          <w:pgSz w:w="11900" w:h="16838" w:orient="portrait"/>
          <w:cols w:equalWidth="0" w:num="1">
            <w:col w:w="11240"/>
          </w:cols>
          <w:pgMar w:left="320" w:top="1152" w:right="339" w:bottom="1440" w:gutter="0" w:footer="0" w:header="0"/>
        </w:sectPr>
      </w:pPr>
    </w:p>
    <w:bookmarkStart w:id="230" w:name="page231"/>
    <w:bookmarkEnd w:id="230"/>
    <w:p>
      <w:pPr>
        <w:ind w:left="1500" w:hanging="464"/>
        <w:spacing w:after="0"/>
        <w:tabs>
          <w:tab w:leader="none" w:pos="1500" w:val="left"/>
        </w:tabs>
        <w:numPr>
          <w:ilvl w:val="0"/>
          <w:numId w:val="193"/>
        </w:numPr>
        <w:rPr>
          <w:rFonts w:ascii="Arial" w:cs="Arial" w:eastAsia="Arial" w:hAnsi="Arial"/>
          <w:sz w:val="21"/>
          <w:szCs w:val="21"/>
          <w:color w:val="auto"/>
        </w:rPr>
      </w:pPr>
      <w:r>
        <w:rPr>
          <w:rFonts w:ascii="Arial" w:cs="Arial" w:eastAsia="Arial" w:hAnsi="Arial"/>
          <w:sz w:val="21"/>
          <w:szCs w:val="21"/>
          <w:color w:val="auto"/>
        </w:rPr>
        <w:t>No Default exists or would immediately result from such proposed Credit Extension.</w:t>
      </w:r>
    </w:p>
    <w:p>
      <w:pPr>
        <w:spacing w:after="0" w:line="182" w:lineRule="exact"/>
        <w:rPr>
          <w:rFonts w:ascii="Arial" w:cs="Arial" w:eastAsia="Arial" w:hAnsi="Arial"/>
          <w:sz w:val="21"/>
          <w:szCs w:val="21"/>
          <w:color w:val="auto"/>
        </w:rPr>
      </w:pPr>
    </w:p>
    <w:p>
      <w:pPr>
        <w:ind w:right="40" w:firstLine="1036"/>
        <w:spacing w:after="0" w:line="239" w:lineRule="auto"/>
        <w:tabs>
          <w:tab w:leader="none" w:pos="1556" w:val="left"/>
        </w:tabs>
        <w:numPr>
          <w:ilvl w:val="0"/>
          <w:numId w:val="193"/>
        </w:numPr>
        <w:rPr>
          <w:rFonts w:ascii="Arial" w:cs="Arial" w:eastAsia="Arial" w:hAnsi="Arial"/>
          <w:sz w:val="21"/>
          <w:szCs w:val="21"/>
          <w:color w:val="auto"/>
        </w:rPr>
      </w:pPr>
      <w:r>
        <w:rPr>
          <w:rFonts w:ascii="Arial" w:cs="Arial" w:eastAsia="Arial" w:hAnsi="Arial"/>
          <w:sz w:val="21"/>
          <w:szCs w:val="21"/>
          <w:color w:val="auto"/>
        </w:rPr>
        <w:t>The Administrative Agent and, if applicable, the applicable L/C Issuer will have received a Request for Credit Extension in accordance with the requirements hereof.</w:t>
      </w:r>
    </w:p>
    <w:p>
      <w:pPr>
        <w:spacing w:after="0" w:line="155" w:lineRule="exact"/>
        <w:rPr>
          <w:sz w:val="20"/>
          <w:szCs w:val="20"/>
          <w:color w:val="auto"/>
        </w:rPr>
      </w:pPr>
    </w:p>
    <w:p>
      <w:pPr>
        <w:jc w:val="both"/>
        <w:ind w:firstLine="624"/>
        <w:spacing w:after="0" w:line="252" w:lineRule="auto"/>
        <w:rPr>
          <w:sz w:val="20"/>
          <w:szCs w:val="20"/>
          <w:color w:val="auto"/>
        </w:rPr>
      </w:pPr>
      <w:r>
        <w:rPr>
          <w:rFonts w:ascii="Arial" w:cs="Arial" w:eastAsia="Arial" w:hAnsi="Arial"/>
          <w:sz w:val="19"/>
          <w:szCs w:val="19"/>
          <w:color w:val="auto"/>
        </w:rPr>
        <w:t xml:space="preserve">Each Request for Credit Extension on and after the Effective Date (other than a Committed Loan Notice requesting a conversion of Committed Borrowings denominated in US Dollars to the other Type or a continuation of </w:t>
      </w:r>
      <w:r>
        <w:rPr>
          <w:rFonts w:ascii="Arial" w:cs="Arial" w:eastAsia="Arial" w:hAnsi="Arial"/>
          <w:sz w:val="19"/>
          <w:szCs w:val="19"/>
          <w:b w:val="1"/>
          <w:bCs w:val="1"/>
          <w:color w:val="FF0000"/>
          <w:strike w:val="1"/>
        </w:rPr>
        <w:t>Eurocurrency Rate</w:t>
      </w:r>
      <w:r>
        <w:rPr>
          <w:rFonts w:ascii="Arial" w:cs="Arial" w:eastAsia="Arial" w:hAnsi="Arial"/>
          <w:sz w:val="19"/>
          <w:szCs w:val="19"/>
          <w:b w:val="1"/>
          <w:bCs w:val="1"/>
          <w:u w:val="single" w:color="auto"/>
          <w:color w:val="0000FF"/>
        </w:rPr>
        <w:t>Term</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Benchmark</w:t>
      </w:r>
      <w:r>
        <w:rPr>
          <w:rFonts w:ascii="Arial" w:cs="Arial" w:eastAsia="Arial" w:hAnsi="Arial"/>
          <w:sz w:val="19"/>
          <w:szCs w:val="19"/>
          <w:b w:val="1"/>
          <w:bCs w:val="1"/>
          <w:color w:val="0000FF"/>
        </w:rPr>
        <w:t xml:space="preserve"> </w:t>
      </w:r>
      <w:r>
        <w:rPr>
          <w:rFonts w:ascii="Arial" w:cs="Arial" w:eastAsia="Arial" w:hAnsi="Arial"/>
          <w:sz w:val="19"/>
          <w:szCs w:val="19"/>
          <w:color w:val="000000"/>
        </w:rPr>
        <w:t>Committed Borrowings) submitted by the Borrower will be deemed to be a representation and warranty that the</w:t>
      </w:r>
      <w:r>
        <w:rPr>
          <w:rFonts w:ascii="Arial" w:cs="Arial" w:eastAsia="Arial" w:hAnsi="Arial"/>
          <w:sz w:val="19"/>
          <w:szCs w:val="19"/>
          <w:b w:val="1"/>
          <w:bCs w:val="1"/>
          <w:color w:val="0000FF"/>
        </w:rPr>
        <w:t xml:space="preserve"> </w:t>
      </w:r>
      <w:r>
        <w:rPr>
          <w:rFonts w:ascii="Arial" w:cs="Arial" w:eastAsia="Arial" w:hAnsi="Arial"/>
          <w:sz w:val="19"/>
          <w:szCs w:val="19"/>
          <w:color w:val="000000"/>
        </w:rPr>
        <w:t xml:space="preserve">conditions specified in </w:t>
      </w:r>
      <w:r>
        <w:rPr>
          <w:rFonts w:ascii="Arial" w:cs="Arial" w:eastAsia="Arial" w:hAnsi="Arial"/>
          <w:sz w:val="19"/>
          <w:szCs w:val="19"/>
          <w:u w:val="single" w:color="auto"/>
          <w:color w:val="000000"/>
        </w:rPr>
        <w:t>Sections 4.02(a)</w:t>
      </w:r>
      <w:r>
        <w:rPr>
          <w:rFonts w:ascii="Arial" w:cs="Arial" w:eastAsia="Arial" w:hAnsi="Arial"/>
          <w:sz w:val="19"/>
          <w:szCs w:val="19"/>
          <w:color w:val="000000"/>
        </w:rPr>
        <w:t xml:space="preserve"> and </w:t>
      </w:r>
      <w:r>
        <w:rPr>
          <w:rFonts w:ascii="Arial" w:cs="Arial" w:eastAsia="Arial" w:hAnsi="Arial"/>
          <w:sz w:val="19"/>
          <w:szCs w:val="19"/>
          <w:u w:val="single" w:color="auto"/>
          <w:color w:val="000000"/>
        </w:rPr>
        <w:t>4.02(b)</w:t>
      </w:r>
      <w:r>
        <w:rPr>
          <w:rFonts w:ascii="Arial" w:cs="Arial" w:eastAsia="Arial" w:hAnsi="Arial"/>
          <w:sz w:val="19"/>
          <w:szCs w:val="19"/>
          <w:color w:val="000000"/>
        </w:rPr>
        <w:t xml:space="preserve"> have been satisfied on and as of the date of the applicable Credit Extension.</w:t>
      </w:r>
    </w:p>
    <w:p>
      <w:pPr>
        <w:spacing w:after="0" w:line="142" w:lineRule="exact"/>
        <w:rPr>
          <w:sz w:val="20"/>
          <w:szCs w:val="20"/>
          <w:color w:val="auto"/>
        </w:rPr>
      </w:pPr>
    </w:p>
    <w:p>
      <w:pPr>
        <w:ind w:left="5000"/>
        <w:spacing w:after="0"/>
        <w:rPr>
          <w:sz w:val="20"/>
          <w:szCs w:val="20"/>
          <w:color w:val="auto"/>
        </w:rPr>
      </w:pPr>
      <w:r>
        <w:rPr>
          <w:rFonts w:ascii="Arial" w:cs="Arial" w:eastAsia="Arial" w:hAnsi="Arial"/>
          <w:sz w:val="21"/>
          <w:szCs w:val="21"/>
          <w:color w:val="auto"/>
        </w:rPr>
        <w:t>ARTICLE 5</w:t>
      </w:r>
    </w:p>
    <w:p>
      <w:pPr>
        <w:spacing w:after="0" w:line="183" w:lineRule="exact"/>
        <w:rPr>
          <w:sz w:val="20"/>
          <w:szCs w:val="20"/>
          <w:color w:val="auto"/>
        </w:rPr>
      </w:pPr>
    </w:p>
    <w:p>
      <w:pPr>
        <w:ind w:left="3700"/>
        <w:spacing w:after="0"/>
        <w:rPr>
          <w:sz w:val="20"/>
          <w:szCs w:val="20"/>
          <w:color w:val="auto"/>
        </w:rPr>
      </w:pPr>
      <w:r>
        <w:rPr>
          <w:rFonts w:ascii="Arial" w:cs="Arial" w:eastAsia="Arial" w:hAnsi="Arial"/>
          <w:sz w:val="21"/>
          <w:szCs w:val="21"/>
          <w:color w:val="auto"/>
        </w:rPr>
        <w:t>REPRESENTATIONS AND WARRANTIES</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The Borrower and the other Loan Parties represents and warrants to the Administrative Agent and the Lenders that:</w:t>
      </w:r>
    </w:p>
    <w:p>
      <w:pPr>
        <w:spacing w:after="0" w:line="194" w:lineRule="exact"/>
        <w:rPr>
          <w:sz w:val="20"/>
          <w:szCs w:val="20"/>
          <w:color w:val="auto"/>
        </w:rPr>
      </w:pPr>
    </w:p>
    <w:p>
      <w:pPr>
        <w:jc w:val="both"/>
        <w:ind w:right="40" w:firstLine="954"/>
        <w:spacing w:after="0" w:line="217" w:lineRule="auto"/>
        <w:rPr>
          <w:sz w:val="20"/>
          <w:szCs w:val="20"/>
          <w:color w:val="auto"/>
        </w:rPr>
      </w:pPr>
      <w:r>
        <w:rPr>
          <w:rFonts w:ascii="Arial" w:cs="Arial" w:eastAsia="Arial" w:hAnsi="Arial"/>
          <w:sz w:val="21"/>
          <w:szCs w:val="21"/>
          <w:color w:val="auto"/>
        </w:rPr>
        <w:t xml:space="preserve">Section 5.01 </w:t>
      </w:r>
      <w:r>
        <w:rPr>
          <w:rFonts w:ascii="Arial" w:cs="Arial" w:eastAsia="Arial" w:hAnsi="Arial"/>
          <w:sz w:val="21"/>
          <w:szCs w:val="21"/>
          <w:u w:val="single" w:color="auto"/>
          <w:color w:val="auto"/>
        </w:rPr>
        <w:t>Existence, Qualification and Power</w:t>
      </w:r>
      <w:r>
        <w:rPr>
          <w:rFonts w:ascii="Arial" w:cs="Arial" w:eastAsia="Arial" w:hAnsi="Arial"/>
          <w:sz w:val="21"/>
          <w:szCs w:val="21"/>
          <w:color w:val="auto"/>
        </w:rPr>
        <w:t xml:space="preserve">. Borrower and each Material Subsidiary (a) is duly organized or formed, validly existing and in good standing (or the local equivalent) under the Laws of the jurisdiction of its incorporation or organization, (b) has all requisite power, capacity and authority and all requisite governmental licenses, authorizations, consents and approvals to (i) own or lease its assets and carry on its business and (ii) in the case of any Loan Party, execute, deliver and perform its obligations under the Loan Documents to which it is a party, and (c) is duly qualified and is licensed and in good standing (or the local equivalent) under the Laws of each jurisdiction where its ownership, lease or operation of properties or the conduct of its business requires such qualification or license, except, in each case referred to in </w:t>
      </w:r>
      <w:r>
        <w:rPr>
          <w:rFonts w:ascii="Arial" w:cs="Arial" w:eastAsia="Arial" w:hAnsi="Arial"/>
          <w:sz w:val="21"/>
          <w:szCs w:val="21"/>
          <w:u w:val="single" w:color="auto"/>
          <w:color w:val="auto"/>
        </w:rPr>
        <w:t>clause (a)</w:t>
      </w:r>
      <w:r>
        <w:rPr>
          <w:rFonts w:ascii="Arial" w:cs="Arial" w:eastAsia="Arial" w:hAnsi="Arial"/>
          <w:sz w:val="21"/>
          <w:szCs w:val="21"/>
          <w:color w:val="auto"/>
        </w:rPr>
        <w:t xml:space="preserve"> (other than as to any Loan Party), </w:t>
      </w:r>
      <w:r>
        <w:rPr>
          <w:rFonts w:ascii="Arial" w:cs="Arial" w:eastAsia="Arial" w:hAnsi="Arial"/>
          <w:sz w:val="21"/>
          <w:szCs w:val="21"/>
          <w:u w:val="single" w:color="auto"/>
          <w:color w:val="auto"/>
        </w:rPr>
        <w:t>(b)(i)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(c)</w:t>
      </w:r>
      <w:r>
        <w:rPr>
          <w:rFonts w:ascii="Arial" w:cs="Arial" w:eastAsia="Arial" w:hAnsi="Arial"/>
          <w:sz w:val="21"/>
          <w:szCs w:val="21"/>
          <w:color w:val="auto"/>
        </w:rPr>
        <w:t>, to the extent that failure to do so, individually or in the aggregate, would not reasonably be expected to have a Material Adverse Effect.</w:t>
      </w:r>
    </w:p>
    <w:p>
      <w:pPr>
        <w:spacing w:after="0" w:line="155" w:lineRule="exact"/>
        <w:rPr>
          <w:sz w:val="20"/>
          <w:szCs w:val="20"/>
          <w:color w:val="auto"/>
        </w:rPr>
      </w:pPr>
    </w:p>
    <w:p>
      <w:pPr>
        <w:jc w:val="both"/>
        <w:ind w:right="40" w:firstLine="954"/>
        <w:spacing w:after="0" w:line="219" w:lineRule="auto"/>
        <w:rPr>
          <w:sz w:val="20"/>
          <w:szCs w:val="20"/>
          <w:color w:val="auto"/>
        </w:rPr>
      </w:pPr>
      <w:r>
        <w:rPr>
          <w:rFonts w:ascii="Arial" w:cs="Arial" w:eastAsia="Arial" w:hAnsi="Arial"/>
          <w:sz w:val="21"/>
          <w:szCs w:val="21"/>
          <w:color w:val="auto"/>
        </w:rPr>
        <w:t xml:space="preserve">Section 5.02 </w:t>
      </w:r>
      <w:r>
        <w:rPr>
          <w:rFonts w:ascii="Arial" w:cs="Arial" w:eastAsia="Arial" w:hAnsi="Arial"/>
          <w:sz w:val="21"/>
          <w:szCs w:val="21"/>
          <w:u w:val="single" w:color="auto"/>
          <w:color w:val="auto"/>
        </w:rPr>
        <w:t>Authorization; No Contravention</w:t>
      </w:r>
      <w:r>
        <w:rPr>
          <w:rFonts w:ascii="Arial" w:cs="Arial" w:eastAsia="Arial" w:hAnsi="Arial"/>
          <w:sz w:val="21"/>
          <w:szCs w:val="21"/>
          <w:color w:val="auto"/>
        </w:rPr>
        <w:t xml:space="preserve">. The execution, delivery and performance by each Loan Party of each Loan Document to which such Person is party have been duly authorized by all necessary corporate or other organizational action, and do not and will not (a) contravene the terms of any such Person’s Organization Documents, (b) conflict with or result in any breach or contravention of, or the creation of any Lien under, or require any payment to be made under, any Contractual Obligation to which such Person is a party or affecting such Person or (c) violate any Law, except, in each case referred to in </w:t>
      </w:r>
      <w:r>
        <w:rPr>
          <w:rFonts w:ascii="Arial" w:cs="Arial" w:eastAsia="Arial" w:hAnsi="Arial"/>
          <w:sz w:val="21"/>
          <w:szCs w:val="21"/>
          <w:u w:val="single" w:color="auto"/>
          <w:color w:val="auto"/>
        </w:rPr>
        <w:t>clause (b)</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(c)</w:t>
      </w:r>
      <w:r>
        <w:rPr>
          <w:rFonts w:ascii="Arial" w:cs="Arial" w:eastAsia="Arial" w:hAnsi="Arial"/>
          <w:sz w:val="21"/>
          <w:szCs w:val="21"/>
          <w:color w:val="auto"/>
        </w:rPr>
        <w:t>, to the extent that failure to do so, individually or in the aggregate, would not reasonably be expected to have a Material Adverse Effect.</w:t>
      </w:r>
    </w:p>
    <w:p>
      <w:pPr>
        <w:spacing w:after="0" w:line="154" w:lineRule="exact"/>
        <w:rPr>
          <w:sz w:val="20"/>
          <w:szCs w:val="20"/>
          <w:color w:val="auto"/>
        </w:rPr>
      </w:pPr>
    </w:p>
    <w:p>
      <w:pPr>
        <w:jc w:val="both"/>
        <w:ind w:right="40" w:firstLine="954"/>
        <w:spacing w:after="0" w:line="247" w:lineRule="auto"/>
        <w:rPr>
          <w:sz w:val="20"/>
          <w:szCs w:val="20"/>
          <w:color w:val="auto"/>
        </w:rPr>
      </w:pPr>
      <w:r>
        <w:rPr>
          <w:rFonts w:ascii="Arial" w:cs="Arial" w:eastAsia="Arial" w:hAnsi="Arial"/>
          <w:sz w:val="19"/>
          <w:szCs w:val="19"/>
          <w:color w:val="auto"/>
        </w:rPr>
        <w:t xml:space="preserve">Section 5.03 </w:t>
      </w:r>
      <w:r>
        <w:rPr>
          <w:rFonts w:ascii="Arial" w:cs="Arial" w:eastAsia="Arial" w:hAnsi="Arial"/>
          <w:sz w:val="19"/>
          <w:szCs w:val="19"/>
          <w:u w:val="single" w:color="auto"/>
          <w:color w:val="auto"/>
        </w:rPr>
        <w:t>Material Governmental Authorization</w:t>
      </w:r>
      <w:r>
        <w:rPr>
          <w:rFonts w:ascii="Arial" w:cs="Arial" w:eastAsia="Arial" w:hAnsi="Arial"/>
          <w:sz w:val="19"/>
          <w:szCs w:val="19"/>
          <w:color w:val="auto"/>
        </w:rPr>
        <w:t>. Other than any filings with the SEC and any approvals, authorizations, actions, notices and filings which have been duly obtained, taken, given or made and are in full force and effect, no approval, authorization, or other action by, or notice to, or filing with, any Governmental Authority is necessary or required in connection with the execution, delivery or performance by, or enforcement against, any Loan Party of this Agreement or any other Loan Document to which it is a party, except those approvals, authorizations, actions, notices and filings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92</w:t>
      </w:r>
    </w:p>
    <w:p>
      <w:pPr>
        <w:sectPr>
          <w:pgSz w:w="11900" w:h="16838" w:orient="portrait"/>
          <w:cols w:equalWidth="0" w:num="1">
            <w:col w:w="11240"/>
          </w:cols>
          <w:pgMar w:left="320" w:top="1152" w:right="339" w:bottom="1440" w:gutter="0" w:footer="0" w:header="0"/>
        </w:sectPr>
      </w:pPr>
    </w:p>
    <w:bookmarkStart w:id="231" w:name="page232"/>
    <w:bookmarkEnd w:id="231"/>
    <w:p>
      <w:pPr>
        <w:jc w:val="both"/>
        <w:spacing w:after="0" w:line="239" w:lineRule="auto"/>
        <w:rPr>
          <w:sz w:val="20"/>
          <w:szCs w:val="20"/>
          <w:color w:val="auto"/>
        </w:rPr>
      </w:pPr>
      <w:r>
        <w:rPr>
          <w:rFonts w:ascii="Arial" w:cs="Arial" w:eastAsia="Arial" w:hAnsi="Arial"/>
          <w:sz w:val="21"/>
          <w:szCs w:val="21"/>
          <w:color w:val="auto"/>
        </w:rPr>
        <w:t>failure of which to obtain, take, give or make, individually or in the aggregate, would not reasonably be expected to have a Material Adverse Effect.</w:t>
      </w:r>
    </w:p>
    <w:p>
      <w:pPr>
        <w:spacing w:after="0" w:line="155" w:lineRule="exact"/>
        <w:rPr>
          <w:sz w:val="20"/>
          <w:szCs w:val="20"/>
          <w:color w:val="auto"/>
        </w:rPr>
      </w:pPr>
    </w:p>
    <w:p>
      <w:pPr>
        <w:jc w:val="both"/>
        <w:ind w:firstLine="954"/>
        <w:spacing w:after="0" w:line="233" w:lineRule="auto"/>
        <w:rPr>
          <w:sz w:val="20"/>
          <w:szCs w:val="20"/>
          <w:color w:val="auto"/>
        </w:rPr>
      </w:pPr>
      <w:r>
        <w:rPr>
          <w:rFonts w:ascii="Arial" w:cs="Arial" w:eastAsia="Arial" w:hAnsi="Arial"/>
          <w:sz w:val="20"/>
          <w:szCs w:val="20"/>
          <w:color w:val="auto"/>
        </w:rPr>
        <w:t xml:space="preserve">Section 5.04 </w:t>
      </w:r>
      <w:r>
        <w:rPr>
          <w:rFonts w:ascii="Arial" w:cs="Arial" w:eastAsia="Arial" w:hAnsi="Arial"/>
          <w:sz w:val="20"/>
          <w:szCs w:val="20"/>
          <w:u w:val="single" w:color="auto"/>
          <w:color w:val="auto"/>
        </w:rPr>
        <w:t>Binding Effect</w:t>
      </w:r>
      <w:r>
        <w:rPr>
          <w:rFonts w:ascii="Arial" w:cs="Arial" w:eastAsia="Arial" w:hAnsi="Arial"/>
          <w:sz w:val="20"/>
          <w:szCs w:val="20"/>
          <w:color w:val="auto"/>
        </w:rPr>
        <w:t>. This Agreement has been, and each other Loan Document, when delivered hereunder, will have been, duly executed and delivered by each Loan Party that is a party thereto. This Agreement constitutes, and each other Loan Document when so delivered will constitute, a legal, valid and binding obligation of each Loan Party that is a party thereto, in each case enforceable against such Loan Party in accordance with its terms, subject to applicable Debtor Relief Laws and the effect of general principles of equity, whether applied by a court of law or equity.</w:t>
      </w:r>
    </w:p>
    <w:p>
      <w:pPr>
        <w:spacing w:after="0" w:line="156" w:lineRule="exact"/>
        <w:rPr>
          <w:sz w:val="20"/>
          <w:szCs w:val="20"/>
          <w:color w:val="auto"/>
        </w:rPr>
      </w:pPr>
    </w:p>
    <w:p>
      <w:pPr>
        <w:ind w:left="960"/>
        <w:spacing w:after="0"/>
        <w:tabs>
          <w:tab w:leader="none" w:pos="2220" w:val="left"/>
        </w:tabs>
        <w:rPr>
          <w:sz w:val="20"/>
          <w:szCs w:val="20"/>
          <w:color w:val="auto"/>
        </w:rPr>
      </w:pPr>
      <w:r>
        <w:rPr>
          <w:rFonts w:ascii="Arial" w:cs="Arial" w:eastAsia="Arial" w:hAnsi="Arial"/>
          <w:sz w:val="21"/>
          <w:szCs w:val="21"/>
          <w:color w:val="auto"/>
        </w:rPr>
        <w:t>Section 5.05</w:t>
      </w:r>
      <w:r>
        <w:rPr>
          <w:sz w:val="20"/>
          <w:szCs w:val="20"/>
          <w:color w:val="auto"/>
        </w:rPr>
        <w:tab/>
      </w:r>
      <w:r>
        <w:rPr>
          <w:rFonts w:ascii="Arial" w:cs="Arial" w:eastAsia="Arial" w:hAnsi="Arial"/>
          <w:sz w:val="19"/>
          <w:szCs w:val="19"/>
          <w:u w:val="single" w:color="auto"/>
          <w:color w:val="auto"/>
        </w:rPr>
        <w:t>Financial Statements; No Material Adverse Effect</w:t>
      </w:r>
      <w:r>
        <w:rPr>
          <w:rFonts w:ascii="Arial" w:cs="Arial" w:eastAsia="Arial" w:hAnsi="Arial"/>
          <w:sz w:val="19"/>
          <w:szCs w:val="19"/>
          <w:color w:val="auto"/>
        </w:rPr>
        <w:t>.</w:t>
      </w:r>
    </w:p>
    <w:p>
      <w:pPr>
        <w:spacing w:after="0" w:line="183" w:lineRule="exact"/>
        <w:rPr>
          <w:sz w:val="20"/>
          <w:szCs w:val="20"/>
          <w:color w:val="auto"/>
        </w:rPr>
      </w:pPr>
    </w:p>
    <w:p>
      <w:pPr>
        <w:jc w:val="both"/>
        <w:ind w:firstLine="1036"/>
        <w:spacing w:after="0" w:line="230" w:lineRule="auto"/>
        <w:tabs>
          <w:tab w:leader="none" w:pos="1477" w:val="left"/>
        </w:tabs>
        <w:numPr>
          <w:ilvl w:val="0"/>
          <w:numId w:val="194"/>
        </w:numPr>
        <w:rPr>
          <w:rFonts w:ascii="Arial" w:cs="Arial" w:eastAsia="Arial" w:hAnsi="Arial"/>
          <w:sz w:val="20"/>
          <w:szCs w:val="20"/>
          <w:color w:val="auto"/>
        </w:rPr>
      </w:pPr>
      <w:r>
        <w:rPr>
          <w:rFonts w:ascii="Arial" w:cs="Arial" w:eastAsia="Arial" w:hAnsi="Arial"/>
          <w:sz w:val="20"/>
          <w:szCs w:val="20"/>
          <w:color w:val="auto"/>
        </w:rPr>
        <w:t>The Audited Financial Statements and the unaudited condensed consolidated balance sheet of the Borrower and its Subsidiaries, and the related unaudited condensed consolidated statements of operations, comprehensive income / (loss), stockholders’ equity and cash flows of the Borrower and its Subsidiaries, as of and for the fiscal quarter ended March 31, 2021, have been prepared in accordance with GAAP consistently applied throughout the periods covered thereby, except as otherwise expressly noted therein, and fairly present, in all material respects, the consolidated financial position of the Borrower and its Subsidiaries at such dates and the consolidated results of their operations and cash flows for such periods (subject, in the case of such unaudited financial statements, to the absence of footnotes and to year-end audit adjustments).</w:t>
      </w:r>
    </w:p>
    <w:p>
      <w:pPr>
        <w:spacing w:after="0" w:line="153" w:lineRule="exact"/>
        <w:rPr>
          <w:rFonts w:ascii="Arial" w:cs="Arial" w:eastAsia="Arial" w:hAnsi="Arial"/>
          <w:sz w:val="20"/>
          <w:szCs w:val="20"/>
          <w:color w:val="auto"/>
        </w:rPr>
      </w:pPr>
    </w:p>
    <w:p>
      <w:pPr>
        <w:jc w:val="both"/>
        <w:ind w:firstLine="1036"/>
        <w:spacing w:after="0" w:line="222" w:lineRule="auto"/>
        <w:tabs>
          <w:tab w:leader="none" w:pos="1611" w:val="left"/>
        </w:tabs>
        <w:numPr>
          <w:ilvl w:val="0"/>
          <w:numId w:val="194"/>
        </w:numPr>
        <w:rPr>
          <w:rFonts w:ascii="Arial" w:cs="Arial" w:eastAsia="Arial" w:hAnsi="Arial"/>
          <w:sz w:val="21"/>
          <w:szCs w:val="21"/>
          <w:color w:val="auto"/>
        </w:rPr>
      </w:pPr>
      <w:r>
        <w:rPr>
          <w:rFonts w:ascii="Arial" w:cs="Arial" w:eastAsia="Arial" w:hAnsi="Arial"/>
          <w:sz w:val="21"/>
          <w:szCs w:val="21"/>
          <w:color w:val="auto"/>
        </w:rPr>
        <w:t>Since December 31, 2020, except for events and circumstances disclosed in any SEC Documents, in each case filed or furnished and publicly available before the Effective Date (but excluding any disclosure in the “Forward Looking Statements” section of any SEC Document and any other statements that are solely forward looking in nature included in any SEC Document (including in a “Risk Factors” section)), there has been no event or circumstance that, individually or in the aggregate, has had or would reasonably be expected to have a Material Adverse Effect.</w:t>
      </w:r>
    </w:p>
    <w:p>
      <w:pPr>
        <w:spacing w:after="0" w:line="155" w:lineRule="exact"/>
        <w:rPr>
          <w:sz w:val="20"/>
          <w:szCs w:val="20"/>
          <w:color w:val="auto"/>
        </w:rPr>
      </w:pPr>
    </w:p>
    <w:p>
      <w:pPr>
        <w:jc w:val="both"/>
        <w:ind w:firstLine="954"/>
        <w:spacing w:after="0" w:line="242" w:lineRule="auto"/>
        <w:rPr>
          <w:sz w:val="20"/>
          <w:szCs w:val="20"/>
          <w:color w:val="auto"/>
        </w:rPr>
      </w:pPr>
      <w:r>
        <w:rPr>
          <w:rFonts w:ascii="Arial" w:cs="Arial" w:eastAsia="Arial" w:hAnsi="Arial"/>
          <w:sz w:val="19"/>
          <w:szCs w:val="19"/>
          <w:color w:val="auto"/>
        </w:rPr>
        <w:t xml:space="preserve">Section 5.06 </w:t>
      </w:r>
      <w:r>
        <w:rPr>
          <w:rFonts w:ascii="Arial" w:cs="Arial" w:eastAsia="Arial" w:hAnsi="Arial"/>
          <w:sz w:val="19"/>
          <w:szCs w:val="19"/>
          <w:u w:val="single" w:color="auto"/>
          <w:color w:val="auto"/>
        </w:rPr>
        <w:t>Litigation</w:t>
      </w:r>
      <w:r>
        <w:rPr>
          <w:rFonts w:ascii="Arial" w:cs="Arial" w:eastAsia="Arial" w:hAnsi="Arial"/>
          <w:sz w:val="19"/>
          <w:szCs w:val="19"/>
          <w:color w:val="auto"/>
        </w:rPr>
        <w:t xml:space="preserve">. There are no actions, suits, proceedings, claims or disputes pending or, to the knowledge of the Borrower, threatened in writing, at law, in equity, in arbitration or before any Governmental Authority, by or against Borrower or any of its Subsidiaries that (a) would reasonably be likely to affect this Agreement or any other Loan Document or (b) except as specifically disclosed in any SEC Documents filed or furnished and publicly available before the Effective Date (but excluding any disclosure in the “Forward Looking Statements” section of any SEC Document and any other statements that are solely forward looking in nature included in any SEC Document (including in a “Risk Factors” section)) or on </w:t>
      </w:r>
      <w:r>
        <w:rPr>
          <w:rFonts w:ascii="Arial" w:cs="Arial" w:eastAsia="Arial" w:hAnsi="Arial"/>
          <w:sz w:val="19"/>
          <w:szCs w:val="19"/>
          <w:u w:val="single" w:color="auto"/>
          <w:color w:val="auto"/>
        </w:rPr>
        <w:t>Schedule 5.06</w:t>
      </w:r>
      <w:r>
        <w:rPr>
          <w:rFonts w:ascii="Arial" w:cs="Arial" w:eastAsia="Arial" w:hAnsi="Arial"/>
          <w:sz w:val="19"/>
          <w:szCs w:val="19"/>
          <w:color w:val="auto"/>
        </w:rPr>
        <w:t>, individually or in the aggregate, if determined adversely, would reasonably be expected to have a Material Adverse Effect.</w:t>
      </w:r>
    </w:p>
    <w:p>
      <w:pPr>
        <w:spacing w:after="0" w:line="154" w:lineRule="exact"/>
        <w:rPr>
          <w:sz w:val="20"/>
          <w:szCs w:val="20"/>
          <w:color w:val="auto"/>
        </w:rPr>
      </w:pPr>
    </w:p>
    <w:p>
      <w:pPr>
        <w:jc w:val="both"/>
        <w:ind w:firstLine="954"/>
        <w:spacing w:after="0" w:line="233" w:lineRule="auto"/>
        <w:rPr>
          <w:sz w:val="20"/>
          <w:szCs w:val="20"/>
          <w:color w:val="auto"/>
        </w:rPr>
      </w:pPr>
      <w:r>
        <w:rPr>
          <w:rFonts w:ascii="Arial" w:cs="Arial" w:eastAsia="Arial" w:hAnsi="Arial"/>
          <w:sz w:val="20"/>
          <w:szCs w:val="20"/>
          <w:color w:val="auto"/>
        </w:rPr>
        <w:t xml:space="preserve">Section 5.07 </w:t>
      </w:r>
      <w:r>
        <w:rPr>
          <w:rFonts w:ascii="Arial" w:cs="Arial" w:eastAsia="Arial" w:hAnsi="Arial"/>
          <w:sz w:val="20"/>
          <w:szCs w:val="20"/>
          <w:u w:val="single" w:color="auto"/>
          <w:color w:val="auto"/>
        </w:rPr>
        <w:t>Anti-Corruption Laws and Sanctions</w:t>
      </w:r>
      <w:r>
        <w:rPr>
          <w:rFonts w:ascii="Arial" w:cs="Arial" w:eastAsia="Arial" w:hAnsi="Arial"/>
          <w:sz w:val="20"/>
          <w:szCs w:val="20"/>
          <w:color w:val="auto"/>
        </w:rPr>
        <w:t>. (a) Borrower and the other Subsidiaries have implemented and maintain in effect policies and procedures designed to ensure compliance by the Borrower and the Subsidiaries and their respective directors, officers, employees and agents with Anti-Corruption Laws and applicable Sanctions, and Borrower and, to Borrower’s knowledge, the other Subsidiaries and their respective directors, officers, employees and agents are in compliance with Anti-Corruption Laws and applicable Sanctions, except where the failure to comply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93</w:t>
      </w:r>
    </w:p>
    <w:p>
      <w:pPr>
        <w:sectPr>
          <w:pgSz w:w="11900" w:h="16838" w:orient="portrait"/>
          <w:cols w:equalWidth="0" w:num="1">
            <w:col w:w="11200"/>
          </w:cols>
          <w:pgMar w:left="320" w:top="1152" w:right="379" w:bottom="1440" w:gutter="0" w:footer="0" w:header="0"/>
        </w:sectPr>
      </w:pPr>
    </w:p>
    <w:bookmarkStart w:id="232" w:name="page233"/>
    <w:bookmarkEnd w:id="232"/>
    <w:p>
      <w:pPr>
        <w:spacing w:after="0"/>
        <w:rPr>
          <w:sz w:val="20"/>
          <w:szCs w:val="20"/>
          <w:color w:val="auto"/>
        </w:rPr>
      </w:pPr>
      <w:r>
        <w:rPr>
          <w:rFonts w:ascii="Arial" w:cs="Arial" w:eastAsia="Arial" w:hAnsi="Arial"/>
          <w:sz w:val="21"/>
          <w:szCs w:val="21"/>
          <w:color w:val="auto"/>
        </w:rPr>
        <w:t>individually or in the aggregate, would not reasonably be expected to have a Material Adverse Effect.</w:t>
      </w:r>
    </w:p>
    <w:p>
      <w:pPr>
        <w:spacing w:after="0" w:line="183" w:lineRule="exact"/>
        <w:rPr>
          <w:sz w:val="20"/>
          <w:szCs w:val="20"/>
          <w:color w:val="auto"/>
        </w:rPr>
      </w:pPr>
    </w:p>
    <w:p>
      <w:pPr>
        <w:ind w:firstLine="1036"/>
        <w:spacing w:after="0" w:line="239" w:lineRule="auto"/>
        <w:tabs>
          <w:tab w:leader="none" w:pos="1589" w:val="left"/>
        </w:tabs>
        <w:numPr>
          <w:ilvl w:val="0"/>
          <w:numId w:val="195"/>
        </w:numPr>
        <w:rPr>
          <w:rFonts w:ascii="Arial" w:cs="Arial" w:eastAsia="Arial" w:hAnsi="Arial"/>
          <w:sz w:val="21"/>
          <w:szCs w:val="21"/>
          <w:color w:val="auto"/>
        </w:rPr>
      </w:pPr>
      <w:r>
        <w:rPr>
          <w:rFonts w:ascii="Arial" w:cs="Arial" w:eastAsia="Arial" w:hAnsi="Arial"/>
          <w:sz w:val="21"/>
          <w:szCs w:val="21"/>
          <w:color w:val="auto"/>
        </w:rPr>
        <w:t>None of the Borrower or any Guarantor (or, to the knowledge of the Borrower, any officer or director of the Borrower or any Guarantor), or any other Subsidiary, is a Sanctioned Person.</w:t>
      </w:r>
    </w:p>
    <w:p>
      <w:pPr>
        <w:spacing w:after="0" w:line="155" w:lineRule="exact"/>
        <w:rPr>
          <w:sz w:val="20"/>
          <w:szCs w:val="20"/>
          <w:color w:val="auto"/>
        </w:rPr>
      </w:pPr>
    </w:p>
    <w:p>
      <w:pPr>
        <w:jc w:val="both"/>
        <w:ind w:firstLine="954"/>
        <w:spacing w:after="0" w:line="225" w:lineRule="auto"/>
        <w:rPr>
          <w:sz w:val="20"/>
          <w:szCs w:val="20"/>
          <w:color w:val="auto"/>
        </w:rPr>
      </w:pPr>
      <w:r>
        <w:rPr>
          <w:rFonts w:ascii="Arial" w:cs="Arial" w:eastAsia="Arial" w:hAnsi="Arial"/>
          <w:sz w:val="21"/>
          <w:szCs w:val="21"/>
          <w:color w:val="auto"/>
        </w:rPr>
        <w:t xml:space="preserve">Section 5.08 </w:t>
      </w:r>
      <w:r>
        <w:rPr>
          <w:rFonts w:ascii="Arial" w:cs="Arial" w:eastAsia="Arial" w:hAnsi="Arial"/>
          <w:sz w:val="21"/>
          <w:szCs w:val="21"/>
          <w:u w:val="single" w:color="auto"/>
          <w:color w:val="auto"/>
        </w:rPr>
        <w:t>Margin Regulations; Investment Company Act</w:t>
      </w:r>
      <w:r>
        <w:rPr>
          <w:rFonts w:ascii="Arial" w:cs="Arial" w:eastAsia="Arial" w:hAnsi="Arial"/>
          <w:sz w:val="21"/>
          <w:szCs w:val="21"/>
          <w:color w:val="auto"/>
        </w:rPr>
        <w:t>. (a) None of the Borrower or any other Loan Party is engaged, principally or as one of its important activities, in the business of extending credit for the purpose of purchasing or carrying margin stock. No part of the proceeds of any Loan will be used, directly or indirectly, for any purpose that violates Regulation U or X of the Federal Reserve Board.</w:t>
      </w:r>
    </w:p>
    <w:p>
      <w:pPr>
        <w:spacing w:after="0" w:line="154" w:lineRule="exact"/>
        <w:rPr>
          <w:sz w:val="20"/>
          <w:szCs w:val="20"/>
          <w:color w:val="auto"/>
        </w:rPr>
      </w:pPr>
    </w:p>
    <w:p>
      <w:pPr>
        <w:ind w:left="1040"/>
        <w:spacing w:after="0"/>
        <w:tabs>
          <w:tab w:leader="none" w:pos="1540" w:val="left"/>
        </w:tabs>
        <w:rPr>
          <w:sz w:val="20"/>
          <w:szCs w:val="20"/>
          <w:color w:val="auto"/>
        </w:rPr>
      </w:pPr>
      <w:r>
        <w:rPr>
          <w:rFonts w:ascii="Arial" w:cs="Arial" w:eastAsia="Arial" w:hAnsi="Arial"/>
          <w:sz w:val="19"/>
          <w:szCs w:val="19"/>
          <w:color w:val="auto"/>
        </w:rPr>
        <w:t>(b)</w:t>
        <w:tab/>
        <w:t>No Loan Party is required to be registered as an “investment company” under the Investment Company Act of</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color w:val="auto"/>
        </w:rPr>
        <w:t>1940.</w:t>
      </w:r>
    </w:p>
    <w:p>
      <w:pPr>
        <w:spacing w:after="0" w:line="165" w:lineRule="exact"/>
        <w:rPr>
          <w:sz w:val="20"/>
          <w:szCs w:val="20"/>
          <w:color w:val="auto"/>
        </w:rPr>
      </w:pPr>
    </w:p>
    <w:p>
      <w:pPr>
        <w:jc w:val="both"/>
        <w:ind w:firstLine="954"/>
        <w:spacing w:after="0" w:line="225" w:lineRule="auto"/>
        <w:rPr>
          <w:sz w:val="20"/>
          <w:szCs w:val="20"/>
          <w:color w:val="auto"/>
        </w:rPr>
      </w:pPr>
      <w:r>
        <w:rPr>
          <w:rFonts w:ascii="Arial" w:cs="Arial" w:eastAsia="Arial" w:hAnsi="Arial"/>
          <w:sz w:val="20"/>
          <w:szCs w:val="20"/>
          <w:color w:val="auto"/>
        </w:rPr>
        <w:t xml:space="preserve">Section 5.09 </w:t>
      </w:r>
      <w:r>
        <w:rPr>
          <w:rFonts w:ascii="Arial" w:cs="Arial" w:eastAsia="Arial" w:hAnsi="Arial"/>
          <w:sz w:val="20"/>
          <w:szCs w:val="20"/>
          <w:u w:val="single" w:color="auto"/>
          <w:color w:val="auto"/>
        </w:rPr>
        <w:t>Disclosure</w:t>
      </w:r>
      <w:r>
        <w:rPr>
          <w:rFonts w:ascii="Arial" w:cs="Arial" w:eastAsia="Arial" w:hAnsi="Arial"/>
          <w:sz w:val="20"/>
          <w:szCs w:val="20"/>
          <w:color w:val="auto"/>
        </w:rPr>
        <w:t xml:space="preserve">. The written information (other than projected financial information and information of a general economic or general industry nature) that has been furnished to the Arrangers or any of the Lenders in connection with the negotiation of, or pursuant to the terms of, this Agreement by or on behalf of the Borrower or any other Loan Party, did not and will not, in each case, when so furnished and taken as a whole, contain any untrue statement of a material fact or omit to state a material fact necessary to make the statements contained therein not misleading in the light of the circumstances under which such statements were made (in each case after giving effect to all supplements and updates provided thereto on or prior to the Effective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with respect to projected financial information, the Borrower and the other Loan Parties represent only that such information was prepared in good faith based upon reasonable assumptions that are believed by the preparer thereof to be reasonable at the time made and at the time such projected financial information was delivered to the Arrangers or any of the Lenders (it being understood and agreed that such projected financial information is not to be viewed as facts and that actual results during the period or periods covered by any such projected financial information may differ significantly from the projected results, and no assurance can be given that the projected results will be realized). As of the Effective Date, to the best knowledge of the Borrower, the information included in the Beneficial Ownership Certification provided on or prior to the Effective Date to any Lender in connection with this Agreement is true and correct in all respects.</w:t>
      </w:r>
    </w:p>
    <w:p>
      <w:pPr>
        <w:spacing w:after="0" w:line="162" w:lineRule="exact"/>
        <w:rPr>
          <w:sz w:val="20"/>
          <w:szCs w:val="20"/>
          <w:color w:val="auto"/>
        </w:rPr>
      </w:pPr>
    </w:p>
    <w:p>
      <w:pPr>
        <w:jc w:val="both"/>
        <w:ind w:firstLine="954"/>
        <w:spacing w:after="0" w:line="236" w:lineRule="auto"/>
        <w:rPr>
          <w:sz w:val="20"/>
          <w:szCs w:val="20"/>
          <w:color w:val="auto"/>
        </w:rPr>
      </w:pPr>
      <w:r>
        <w:rPr>
          <w:rFonts w:ascii="Arial" w:cs="Arial" w:eastAsia="Arial" w:hAnsi="Arial"/>
          <w:sz w:val="20"/>
          <w:szCs w:val="20"/>
          <w:color w:val="auto"/>
        </w:rPr>
        <w:t xml:space="preserve">Section 5.10 </w:t>
      </w:r>
      <w:r>
        <w:rPr>
          <w:rFonts w:ascii="Arial" w:cs="Arial" w:eastAsia="Arial" w:hAnsi="Arial"/>
          <w:sz w:val="20"/>
          <w:szCs w:val="20"/>
          <w:u w:val="single" w:color="auto"/>
          <w:color w:val="auto"/>
        </w:rPr>
        <w:t>Compliance with Laws</w:t>
      </w:r>
      <w:r>
        <w:rPr>
          <w:rFonts w:ascii="Arial" w:cs="Arial" w:eastAsia="Arial" w:hAnsi="Arial"/>
          <w:sz w:val="20"/>
          <w:szCs w:val="20"/>
          <w:color w:val="auto"/>
        </w:rPr>
        <w:t>. Each of the Borrower and each Material Subsidiary is in compliance with the requirements of all Laws applicable to it or its business or property (including applicable Anti-Corruption Laws), except in such instances in which (a) such requirement of Law is being contested in good faith by appropriate proceedings or (b) the failure to comply therewith, individually or in the aggregate, would not reasonably be expected to have a Material Adverse Effect.</w:t>
      </w:r>
    </w:p>
    <w:p>
      <w:pPr>
        <w:spacing w:after="0" w:line="155" w:lineRule="exact"/>
        <w:rPr>
          <w:sz w:val="20"/>
          <w:szCs w:val="20"/>
          <w:color w:val="auto"/>
        </w:rPr>
      </w:pPr>
    </w:p>
    <w:p>
      <w:pPr>
        <w:jc w:val="both"/>
        <w:ind w:firstLine="954"/>
        <w:spacing w:after="0" w:line="239" w:lineRule="auto"/>
        <w:rPr>
          <w:sz w:val="20"/>
          <w:szCs w:val="20"/>
          <w:color w:val="auto"/>
        </w:rPr>
      </w:pPr>
      <w:r>
        <w:rPr>
          <w:rFonts w:ascii="Arial" w:cs="Arial" w:eastAsia="Arial" w:hAnsi="Arial"/>
          <w:sz w:val="21"/>
          <w:szCs w:val="21"/>
          <w:color w:val="auto"/>
        </w:rPr>
        <w:t xml:space="preserve">Section 5.11 </w:t>
      </w:r>
      <w:r>
        <w:rPr>
          <w:rFonts w:ascii="Arial" w:cs="Arial" w:eastAsia="Arial" w:hAnsi="Arial"/>
          <w:sz w:val="21"/>
          <w:szCs w:val="21"/>
          <w:u w:val="single" w:color="auto"/>
          <w:color w:val="auto"/>
        </w:rPr>
        <w:t>Properties</w:t>
      </w:r>
      <w:r>
        <w:rPr>
          <w:rFonts w:ascii="Arial" w:cs="Arial" w:eastAsia="Arial" w:hAnsi="Arial"/>
          <w:sz w:val="21"/>
          <w:szCs w:val="21"/>
          <w:color w:val="auto"/>
        </w:rPr>
        <w:t>. Except as would not reasonably be expected to result in a Material Adverse Effect, individually or in the aggregate:</w:t>
      </w:r>
    </w:p>
    <w:p>
      <w:pPr>
        <w:spacing w:after="0" w:line="155" w:lineRule="exact"/>
        <w:rPr>
          <w:sz w:val="20"/>
          <w:szCs w:val="20"/>
          <w:color w:val="auto"/>
        </w:rPr>
      </w:pPr>
    </w:p>
    <w:p>
      <w:pPr>
        <w:jc w:val="both"/>
        <w:ind w:firstLine="1036"/>
        <w:spacing w:after="0" w:line="230" w:lineRule="auto"/>
        <w:tabs>
          <w:tab w:leader="none" w:pos="1642" w:val="left"/>
        </w:tabs>
        <w:numPr>
          <w:ilvl w:val="0"/>
          <w:numId w:val="196"/>
        </w:numPr>
        <w:rPr>
          <w:rFonts w:ascii="Arial" w:cs="Arial" w:eastAsia="Arial" w:hAnsi="Arial"/>
          <w:sz w:val="21"/>
          <w:szCs w:val="21"/>
          <w:color w:val="auto"/>
        </w:rPr>
      </w:pPr>
      <w:r>
        <w:rPr>
          <w:rFonts w:ascii="Arial" w:cs="Arial" w:eastAsia="Arial" w:hAnsi="Arial"/>
          <w:sz w:val="21"/>
          <w:szCs w:val="21"/>
          <w:color w:val="auto"/>
        </w:rPr>
        <w:t>each of the Borrower and its Subsidiaries has good title to, or (to the knowledge of the Borrower or any Subsidiary) valid leasehold interests in, all its real and personal property (other than IP Rights, which is subject to Section 5.11(b)) material to its business;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94</w:t>
      </w:r>
    </w:p>
    <w:p>
      <w:pPr>
        <w:sectPr>
          <w:pgSz w:w="11900" w:h="16838" w:orient="portrait"/>
          <w:cols w:equalWidth="0" w:num="1">
            <w:col w:w="11200"/>
          </w:cols>
          <w:pgMar w:left="320" w:top="1152" w:right="379" w:bottom="1440" w:gutter="0" w:footer="0" w:header="0"/>
        </w:sectPr>
      </w:pPr>
    </w:p>
    <w:bookmarkStart w:id="233" w:name="page234"/>
    <w:bookmarkEnd w:id="233"/>
    <w:p>
      <w:pPr>
        <w:jc w:val="both"/>
        <w:ind w:right="40" w:firstLine="1036"/>
        <w:spacing w:after="0" w:line="242" w:lineRule="auto"/>
        <w:tabs>
          <w:tab w:leader="none" w:pos="1663" w:val="left"/>
        </w:tabs>
        <w:numPr>
          <w:ilvl w:val="0"/>
          <w:numId w:val="197"/>
        </w:numPr>
        <w:rPr>
          <w:rFonts w:ascii="Arial" w:cs="Arial" w:eastAsia="Arial" w:hAnsi="Arial"/>
          <w:sz w:val="20"/>
          <w:szCs w:val="20"/>
          <w:color w:val="auto"/>
        </w:rPr>
      </w:pPr>
      <w:r>
        <w:rPr>
          <w:rFonts w:ascii="Arial" w:cs="Arial" w:eastAsia="Arial" w:hAnsi="Arial"/>
          <w:sz w:val="20"/>
          <w:szCs w:val="20"/>
          <w:color w:val="auto"/>
        </w:rPr>
        <w:t>each of the Borrower and its Subsidiaries owns, or is licensed to use (subject to the knowledge-qualified infringement representation in this Section 5.11(b)), all IP Rights used in its business and, subject to the exceptions set forth in Section 5.06(b), to any Loan Party’s knowledge does not infringe upon the IP Rights of any other Person.</w:t>
      </w:r>
    </w:p>
    <w:p>
      <w:pPr>
        <w:spacing w:after="0" w:line="152" w:lineRule="exact"/>
        <w:rPr>
          <w:sz w:val="20"/>
          <w:szCs w:val="20"/>
          <w:color w:val="auto"/>
        </w:rPr>
      </w:pPr>
    </w:p>
    <w:p>
      <w:pPr>
        <w:ind w:left="5000"/>
        <w:spacing w:after="0"/>
        <w:rPr>
          <w:sz w:val="20"/>
          <w:szCs w:val="20"/>
          <w:color w:val="auto"/>
        </w:rPr>
      </w:pPr>
      <w:r>
        <w:rPr>
          <w:rFonts w:ascii="Arial" w:cs="Arial" w:eastAsia="Arial" w:hAnsi="Arial"/>
          <w:sz w:val="21"/>
          <w:szCs w:val="21"/>
          <w:color w:val="auto"/>
        </w:rPr>
        <w:t>ARTICLE 6</w:t>
      </w:r>
    </w:p>
    <w:p>
      <w:pPr>
        <w:spacing w:after="0" w:line="183" w:lineRule="exact"/>
        <w:rPr>
          <w:sz w:val="20"/>
          <w:szCs w:val="20"/>
          <w:color w:val="auto"/>
        </w:rPr>
      </w:pPr>
    </w:p>
    <w:p>
      <w:pPr>
        <w:ind w:left="4260"/>
        <w:spacing w:after="0"/>
        <w:rPr>
          <w:sz w:val="20"/>
          <w:szCs w:val="20"/>
          <w:color w:val="auto"/>
        </w:rPr>
      </w:pPr>
      <w:r>
        <w:rPr>
          <w:rFonts w:ascii="Arial" w:cs="Arial" w:eastAsia="Arial" w:hAnsi="Arial"/>
          <w:sz w:val="21"/>
          <w:szCs w:val="21"/>
          <w:color w:val="auto"/>
        </w:rPr>
        <w:t>AFFIRMATIVE COVENANTS</w:t>
      </w:r>
    </w:p>
    <w:p>
      <w:pPr>
        <w:spacing w:after="0" w:line="183" w:lineRule="exact"/>
        <w:rPr>
          <w:sz w:val="20"/>
          <w:szCs w:val="20"/>
          <w:color w:val="auto"/>
        </w:rPr>
      </w:pPr>
    </w:p>
    <w:p>
      <w:pPr>
        <w:jc w:val="both"/>
        <w:ind w:firstLine="624"/>
        <w:spacing w:after="0" w:line="233" w:lineRule="auto"/>
        <w:rPr>
          <w:sz w:val="20"/>
          <w:szCs w:val="20"/>
          <w:color w:val="auto"/>
        </w:rPr>
      </w:pPr>
      <w:r>
        <w:rPr>
          <w:rFonts w:ascii="Arial" w:cs="Arial" w:eastAsia="Arial" w:hAnsi="Arial"/>
          <w:sz w:val="20"/>
          <w:szCs w:val="20"/>
          <w:color w:val="auto"/>
        </w:rPr>
        <w:t>Until the Commitments shall have expired or been terminated, all Loans and other Obligations (other than contingent obligations as to which no claim has been made) shall have been paid in full, all Letters of Credit shall have expired or been terminated (other than Letters of Credit that have been Cash Collateralized in full or as to which other arrangements satisfactory to the applicable L/C Issuer and the Administrative Agent shall have been made) and all L/C Borrowings shall have been reimbursed in full, each of the Borrower and the other Loan Parties covenants and agrees with the Lenders that:</w:t>
      </w:r>
    </w:p>
    <w:p>
      <w:pPr>
        <w:spacing w:after="0" w:line="156" w:lineRule="exact"/>
        <w:rPr>
          <w:sz w:val="20"/>
          <w:szCs w:val="20"/>
          <w:color w:val="auto"/>
        </w:rPr>
      </w:pPr>
    </w:p>
    <w:p>
      <w:pPr>
        <w:ind w:right="40" w:firstLine="954"/>
        <w:spacing w:after="0" w:line="239" w:lineRule="auto"/>
        <w:rPr>
          <w:sz w:val="20"/>
          <w:szCs w:val="20"/>
          <w:color w:val="auto"/>
        </w:rPr>
      </w:pPr>
      <w:r>
        <w:rPr>
          <w:rFonts w:ascii="Arial" w:cs="Arial" w:eastAsia="Arial" w:hAnsi="Arial"/>
          <w:sz w:val="21"/>
          <w:szCs w:val="21"/>
          <w:color w:val="auto"/>
        </w:rPr>
        <w:t xml:space="preserve">Section 6.01 </w:t>
      </w:r>
      <w:r>
        <w:rPr>
          <w:rFonts w:ascii="Arial" w:cs="Arial" w:eastAsia="Arial" w:hAnsi="Arial"/>
          <w:sz w:val="21"/>
          <w:szCs w:val="21"/>
          <w:u w:val="single" w:color="auto"/>
          <w:color w:val="auto"/>
        </w:rPr>
        <w:t>Financial Statements</w:t>
      </w:r>
      <w:r>
        <w:rPr>
          <w:rFonts w:ascii="Arial" w:cs="Arial" w:eastAsia="Arial" w:hAnsi="Arial"/>
          <w:sz w:val="21"/>
          <w:szCs w:val="21"/>
          <w:color w:val="auto"/>
        </w:rPr>
        <w:t>. The Borrower will deliver to the Administrative Agent (which will make available copies to each Lender):</w:t>
      </w:r>
    </w:p>
    <w:p>
      <w:pPr>
        <w:spacing w:after="0" w:line="155" w:lineRule="exact"/>
        <w:rPr>
          <w:sz w:val="20"/>
          <w:szCs w:val="20"/>
          <w:color w:val="auto"/>
        </w:rPr>
      </w:pPr>
    </w:p>
    <w:p>
      <w:pPr>
        <w:jc w:val="both"/>
        <w:ind w:right="40" w:firstLine="1036"/>
        <w:spacing w:after="0" w:line="228" w:lineRule="auto"/>
        <w:tabs>
          <w:tab w:leader="none" w:pos="1659" w:val="left"/>
        </w:tabs>
        <w:numPr>
          <w:ilvl w:val="0"/>
          <w:numId w:val="198"/>
        </w:numPr>
        <w:rPr>
          <w:rFonts w:ascii="Arial" w:cs="Arial" w:eastAsia="Arial" w:hAnsi="Arial"/>
          <w:sz w:val="20"/>
          <w:szCs w:val="20"/>
          <w:color w:val="auto"/>
        </w:rPr>
      </w:pPr>
      <w:r>
        <w:rPr>
          <w:rFonts w:ascii="Arial" w:cs="Arial" w:eastAsia="Arial" w:hAnsi="Arial"/>
          <w:sz w:val="20"/>
          <w:szCs w:val="20"/>
          <w:color w:val="auto"/>
        </w:rPr>
        <w:t>as soon as available, but in any event within 90 days after the end of each Fiscal Year of the Borrower (commencing with the Fiscal Year ending December 31, 2021), a consolidated balance sheet of the Borrower and its Subsidiaries as of the end of such Fiscal Year, and the related consolidated statements of operations, comprehensive income / (loss), cash flows and stockholders’ equity for such Fiscal Year, setting forth in each case in comparative form the figures for the previous Fiscal Year, all in reasonable detail and prepared in accordance with GAAP, audited and accompanied by a report and opinion of Ernst &amp; Young LLP or another independent public registered accounting firm of recognized national standing, which report and opinion will be prepared in accordance with audit standards of the Public Company Accounting Oversight Board and will not be subject to any “going concern” or like qualification or exception or any qualification or exception as to the scope of such audit or with respect to the absence of material misstatement in accordance with GAAP; and</w:t>
      </w:r>
    </w:p>
    <w:p>
      <w:pPr>
        <w:spacing w:after="0" w:line="153" w:lineRule="exact"/>
        <w:rPr>
          <w:rFonts w:ascii="Arial" w:cs="Arial" w:eastAsia="Arial" w:hAnsi="Arial"/>
          <w:sz w:val="20"/>
          <w:szCs w:val="20"/>
          <w:color w:val="auto"/>
        </w:rPr>
      </w:pPr>
    </w:p>
    <w:p>
      <w:pPr>
        <w:jc w:val="both"/>
        <w:ind w:right="40" w:firstLine="1036"/>
        <w:spacing w:after="0" w:line="239" w:lineRule="auto"/>
        <w:tabs>
          <w:tab w:leader="none" w:pos="1511" w:val="left"/>
        </w:tabs>
        <w:numPr>
          <w:ilvl w:val="0"/>
          <w:numId w:val="198"/>
        </w:numPr>
        <w:rPr>
          <w:rFonts w:ascii="Arial" w:cs="Arial" w:eastAsia="Arial" w:hAnsi="Arial"/>
          <w:sz w:val="19"/>
          <w:szCs w:val="19"/>
          <w:color w:val="auto"/>
        </w:rPr>
      </w:pPr>
      <w:r>
        <w:rPr>
          <w:rFonts w:ascii="Arial" w:cs="Arial" w:eastAsia="Arial" w:hAnsi="Arial"/>
          <w:sz w:val="19"/>
          <w:szCs w:val="19"/>
          <w:color w:val="auto"/>
        </w:rPr>
        <w:t>as soon as available, but in any event within 45 days after the end of each of the first three fiscal quarters of each Fiscal Year of the Borrower (commencing with the first full fiscal quarter ending after the Effective Date), a consolidated balance sheet of the Borrower and its Subsidiaries as of the end of such fiscal quarter, and the related consolidated statements of operations and comprehensive income / (loss) for such fiscal quarter and for the portion of the Fiscal Year then ended and the related consolidated statements of cash flows for the portion of the Fiscal Year then ended, setting forth in each case in comparative form the figures for the corresponding fiscal quarter of the previous Fiscal Year and the corresponding portion of the previous Fiscal Year, all in reasonable detail and prepared in accordance with GAAP, certified by the chief financial officer or the vice president and controller of the Borrower as fairly presenting, in all material respects, the consolidated financial position of the Borrower and its Subsidiaries as of the end of such fiscal quarter and the consolidated results of their operations and cash flows for such periods, subject only to normal year-end audit adjustments and the absence of footnotes.</w:t>
      </w:r>
    </w:p>
    <w:p>
      <w:pPr>
        <w:spacing w:after="0" w:line="156" w:lineRule="exact"/>
        <w:rPr>
          <w:sz w:val="20"/>
          <w:szCs w:val="20"/>
          <w:color w:val="auto"/>
        </w:rPr>
      </w:pPr>
    </w:p>
    <w:p>
      <w:pPr>
        <w:ind w:firstLine="624"/>
        <w:spacing w:after="0" w:line="239" w:lineRule="auto"/>
        <w:rPr>
          <w:sz w:val="20"/>
          <w:szCs w:val="20"/>
          <w:color w:val="auto"/>
        </w:rPr>
      </w:pPr>
      <w:r>
        <w:rPr>
          <w:rFonts w:ascii="Arial" w:cs="Arial" w:eastAsia="Arial" w:hAnsi="Arial"/>
          <w:sz w:val="21"/>
          <w:szCs w:val="21"/>
          <w:color w:val="auto"/>
        </w:rPr>
        <w:t xml:space="preserve">As to any information contained in materials furnished pursuant to </w:t>
      </w:r>
      <w:r>
        <w:rPr>
          <w:rFonts w:ascii="Arial" w:cs="Arial" w:eastAsia="Arial" w:hAnsi="Arial"/>
          <w:sz w:val="21"/>
          <w:szCs w:val="21"/>
          <w:u w:val="single" w:color="auto"/>
          <w:color w:val="auto"/>
        </w:rPr>
        <w:t>Section 6.02(b)</w:t>
      </w:r>
      <w:r>
        <w:rPr>
          <w:rFonts w:ascii="Arial" w:cs="Arial" w:eastAsia="Arial" w:hAnsi="Arial"/>
          <w:sz w:val="21"/>
          <w:szCs w:val="21"/>
          <w:color w:val="auto"/>
        </w:rPr>
        <w:t xml:space="preserve">, the Borrower will not be separately required to furnish such information under </w:t>
      </w:r>
      <w:r>
        <w:rPr>
          <w:rFonts w:ascii="Arial" w:cs="Arial" w:eastAsia="Arial" w:hAnsi="Arial"/>
          <w:sz w:val="21"/>
          <w:szCs w:val="21"/>
          <w:u w:val="single" w:color="auto"/>
          <w:color w:val="auto"/>
        </w:rPr>
        <w:t>clause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95</w:t>
      </w:r>
    </w:p>
    <w:p>
      <w:pPr>
        <w:sectPr>
          <w:pgSz w:w="11900" w:h="16838" w:orient="portrait"/>
          <w:cols w:equalWidth="0" w:num="1">
            <w:col w:w="11240"/>
          </w:cols>
          <w:pgMar w:left="320" w:top="1152" w:right="339" w:bottom="1440" w:gutter="0" w:footer="0" w:header="0"/>
        </w:sectPr>
      </w:pPr>
    </w:p>
    <w:bookmarkStart w:id="234" w:name="page235"/>
    <w:bookmarkEnd w:id="234"/>
    <w:p>
      <w:pPr>
        <w:spacing w:after="0" w:line="239" w:lineRule="auto"/>
        <w:rPr>
          <w:sz w:val="20"/>
          <w:szCs w:val="20"/>
          <w:color w:val="auto"/>
        </w:rPr>
      </w:pPr>
      <w:r>
        <w:rPr>
          <w:rFonts w:ascii="Arial" w:cs="Arial" w:eastAsia="Arial" w:hAnsi="Arial"/>
          <w:sz w:val="21"/>
          <w:szCs w:val="21"/>
          <w:color w:val="auto"/>
        </w:rPr>
        <w:t xml:space="preserve">or </w:t>
      </w:r>
      <w:r>
        <w:rPr>
          <w:rFonts w:ascii="Arial" w:cs="Arial" w:eastAsia="Arial" w:hAnsi="Arial"/>
          <w:sz w:val="21"/>
          <w:szCs w:val="21"/>
          <w:u w:val="single" w:color="auto"/>
          <w:color w:val="auto"/>
        </w:rPr>
        <w:t>(b)</w:t>
      </w:r>
      <w:r>
        <w:rPr>
          <w:rFonts w:ascii="Arial" w:cs="Arial" w:eastAsia="Arial" w:hAnsi="Arial"/>
          <w:sz w:val="21"/>
          <w:szCs w:val="21"/>
          <w:color w:val="auto"/>
        </w:rPr>
        <w:t xml:space="preserve"> above, but the foregoing will not be in derogation of the obligation of the Borrower to furnish the information and materials described in </w:t>
      </w:r>
      <w:r>
        <w:rPr>
          <w:rFonts w:ascii="Arial" w:cs="Arial" w:eastAsia="Arial" w:hAnsi="Arial"/>
          <w:sz w:val="21"/>
          <w:szCs w:val="21"/>
          <w:u w:val="single" w:color="auto"/>
          <w:color w:val="auto"/>
        </w:rPr>
        <w:t>clauses (a)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(b)</w:t>
      </w:r>
      <w:r>
        <w:rPr>
          <w:rFonts w:ascii="Arial" w:cs="Arial" w:eastAsia="Arial" w:hAnsi="Arial"/>
          <w:sz w:val="21"/>
          <w:szCs w:val="21"/>
          <w:color w:val="auto"/>
        </w:rPr>
        <w:t xml:space="preserve"> above at the times specified therein.</w:t>
      </w:r>
    </w:p>
    <w:p>
      <w:pPr>
        <w:spacing w:after="0" w:line="155" w:lineRule="exact"/>
        <w:rPr>
          <w:sz w:val="20"/>
          <w:szCs w:val="20"/>
          <w:color w:val="auto"/>
        </w:rPr>
      </w:pPr>
    </w:p>
    <w:p>
      <w:pPr>
        <w:ind w:right="40" w:firstLine="954"/>
        <w:spacing w:after="0" w:line="239" w:lineRule="auto"/>
        <w:rPr>
          <w:sz w:val="20"/>
          <w:szCs w:val="20"/>
          <w:color w:val="auto"/>
        </w:rPr>
      </w:pPr>
      <w:r>
        <w:rPr>
          <w:rFonts w:ascii="Arial" w:cs="Arial" w:eastAsia="Arial" w:hAnsi="Arial"/>
          <w:sz w:val="21"/>
          <w:szCs w:val="21"/>
          <w:color w:val="auto"/>
        </w:rPr>
        <w:t xml:space="preserve">Section 6.02 </w:t>
      </w:r>
      <w:r>
        <w:rPr>
          <w:rFonts w:ascii="Arial" w:cs="Arial" w:eastAsia="Arial" w:hAnsi="Arial"/>
          <w:sz w:val="21"/>
          <w:szCs w:val="21"/>
          <w:u w:val="single" w:color="auto"/>
          <w:color w:val="auto"/>
        </w:rPr>
        <w:t>Certificates; Notice of Default; Other Information</w:t>
      </w:r>
      <w:r>
        <w:rPr>
          <w:rFonts w:ascii="Arial" w:cs="Arial" w:eastAsia="Arial" w:hAnsi="Arial"/>
          <w:sz w:val="21"/>
          <w:szCs w:val="21"/>
          <w:color w:val="auto"/>
        </w:rPr>
        <w:t>. The Borrower will deliver to the Administrative Agent (which will distribute copies to the Lenders):</w:t>
      </w:r>
    </w:p>
    <w:p>
      <w:pPr>
        <w:spacing w:after="0" w:line="155" w:lineRule="exact"/>
        <w:rPr>
          <w:sz w:val="20"/>
          <w:szCs w:val="20"/>
          <w:color w:val="auto"/>
        </w:rPr>
      </w:pPr>
    </w:p>
    <w:p>
      <w:pPr>
        <w:jc w:val="both"/>
        <w:ind w:right="40" w:firstLine="1036"/>
        <w:spacing w:after="0" w:line="242" w:lineRule="auto"/>
        <w:tabs>
          <w:tab w:leader="none" w:pos="1602" w:val="left"/>
        </w:tabs>
        <w:numPr>
          <w:ilvl w:val="0"/>
          <w:numId w:val="199"/>
        </w:numPr>
        <w:rPr>
          <w:rFonts w:ascii="Arial" w:cs="Arial" w:eastAsia="Arial" w:hAnsi="Arial"/>
          <w:sz w:val="20"/>
          <w:szCs w:val="20"/>
          <w:color w:val="auto"/>
        </w:rPr>
      </w:pPr>
      <w:r>
        <w:rPr>
          <w:rFonts w:ascii="Arial" w:cs="Arial" w:eastAsia="Arial" w:hAnsi="Arial"/>
          <w:sz w:val="20"/>
          <w:szCs w:val="20"/>
          <w:color w:val="auto"/>
        </w:rPr>
        <w:t xml:space="preserve">concurrently with the delivery of the financial statements referred to in </w:t>
      </w:r>
      <w:r>
        <w:rPr>
          <w:rFonts w:ascii="Arial" w:cs="Arial" w:eastAsia="Arial" w:hAnsi="Arial"/>
          <w:sz w:val="20"/>
          <w:szCs w:val="20"/>
          <w:u w:val="single" w:color="auto"/>
          <w:color w:val="auto"/>
        </w:rPr>
        <w:t>Sections 6.01(a)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6.01(b)</w:t>
      </w:r>
      <w:r>
        <w:rPr>
          <w:rFonts w:ascii="Arial" w:cs="Arial" w:eastAsia="Arial" w:hAnsi="Arial"/>
          <w:sz w:val="20"/>
          <w:szCs w:val="20"/>
          <w:color w:val="auto"/>
        </w:rPr>
        <w:t>, a duly completed Compliance Certificate signed by a Responsible Officer of the Borrower (which delivery may be by electronic communication, including fax or e-mail, and shall be deemed to be an original authentic counterpart thereof for all purposes);</w:t>
      </w:r>
    </w:p>
    <w:p>
      <w:pPr>
        <w:spacing w:after="0" w:line="152" w:lineRule="exact"/>
        <w:rPr>
          <w:rFonts w:ascii="Arial" w:cs="Arial" w:eastAsia="Arial" w:hAnsi="Arial"/>
          <w:sz w:val="20"/>
          <w:szCs w:val="20"/>
          <w:color w:val="auto"/>
        </w:rPr>
      </w:pPr>
    </w:p>
    <w:p>
      <w:pPr>
        <w:jc w:val="both"/>
        <w:ind w:right="40" w:firstLine="1036"/>
        <w:spacing w:after="0" w:line="225" w:lineRule="auto"/>
        <w:tabs>
          <w:tab w:leader="none" w:pos="1552" w:val="left"/>
        </w:tabs>
        <w:numPr>
          <w:ilvl w:val="0"/>
          <w:numId w:val="199"/>
        </w:numPr>
        <w:rPr>
          <w:rFonts w:ascii="Arial" w:cs="Arial" w:eastAsia="Arial" w:hAnsi="Arial"/>
          <w:sz w:val="21"/>
          <w:szCs w:val="21"/>
          <w:color w:val="auto"/>
        </w:rPr>
      </w:pPr>
      <w:r>
        <w:rPr>
          <w:rFonts w:ascii="Arial" w:cs="Arial" w:eastAsia="Arial" w:hAnsi="Arial"/>
          <w:sz w:val="21"/>
          <w:szCs w:val="21"/>
          <w:color w:val="auto"/>
        </w:rPr>
        <w:t>promptly, after the same are available, copies of each proxy statement sent to the shareholders of the Borrower and copies of all annual, regular, periodic and special reports and registration statements which the Borrower files with the SEC under Section 13 or 15(d) of the Securities Exchange Act, and not otherwise required to be delivered to the Administrative Agent pursuant hereto;</w:t>
      </w:r>
    </w:p>
    <w:p>
      <w:pPr>
        <w:spacing w:after="0" w:line="154" w:lineRule="exact"/>
        <w:rPr>
          <w:rFonts w:ascii="Arial" w:cs="Arial" w:eastAsia="Arial" w:hAnsi="Arial"/>
          <w:sz w:val="21"/>
          <w:szCs w:val="21"/>
          <w:color w:val="auto"/>
        </w:rPr>
      </w:pPr>
    </w:p>
    <w:p>
      <w:pPr>
        <w:jc w:val="both"/>
        <w:ind w:right="40" w:firstLine="1036"/>
        <w:spacing w:after="0" w:line="225" w:lineRule="auto"/>
        <w:tabs>
          <w:tab w:leader="none" w:pos="1484" w:val="left"/>
        </w:tabs>
        <w:numPr>
          <w:ilvl w:val="0"/>
          <w:numId w:val="199"/>
        </w:numPr>
        <w:rPr>
          <w:rFonts w:ascii="Arial" w:cs="Arial" w:eastAsia="Arial" w:hAnsi="Arial"/>
          <w:sz w:val="21"/>
          <w:szCs w:val="21"/>
          <w:color w:val="auto"/>
        </w:rPr>
      </w:pPr>
      <w:r>
        <w:rPr>
          <w:rFonts w:ascii="Arial" w:cs="Arial" w:eastAsia="Arial" w:hAnsi="Arial"/>
          <w:sz w:val="21"/>
          <w:szCs w:val="21"/>
          <w:color w:val="auto"/>
        </w:rPr>
        <w:t>promptly, upon any Default becoming known to any Responsible Officer of the Borrower, a written statement of a Responsible Officer of the Borrower containing a heading or a reference line that reads “Notice under Section 6.02(c) of Incyte Corporation Credit Agreement dated August 18, 2021” and setting forth details of such Default and stating what action the Borrower or its Subsidiaries have taken and propose to take with respect thereto;</w:t>
      </w:r>
    </w:p>
    <w:p>
      <w:pPr>
        <w:spacing w:after="0" w:line="154" w:lineRule="exact"/>
        <w:rPr>
          <w:rFonts w:ascii="Arial" w:cs="Arial" w:eastAsia="Arial" w:hAnsi="Arial"/>
          <w:sz w:val="21"/>
          <w:szCs w:val="21"/>
          <w:color w:val="auto"/>
        </w:rPr>
      </w:pPr>
    </w:p>
    <w:p>
      <w:pPr>
        <w:jc w:val="both"/>
        <w:ind w:right="40" w:firstLine="1036"/>
        <w:spacing w:after="0" w:line="230" w:lineRule="auto"/>
        <w:tabs>
          <w:tab w:leader="none" w:pos="1513" w:val="left"/>
        </w:tabs>
        <w:numPr>
          <w:ilvl w:val="0"/>
          <w:numId w:val="199"/>
        </w:numPr>
        <w:rPr>
          <w:rFonts w:ascii="Arial" w:cs="Arial" w:eastAsia="Arial" w:hAnsi="Arial"/>
          <w:sz w:val="21"/>
          <w:szCs w:val="21"/>
          <w:color w:val="auto"/>
        </w:rPr>
      </w:pPr>
      <w:r>
        <w:rPr>
          <w:rFonts w:ascii="Arial" w:cs="Arial" w:eastAsia="Arial" w:hAnsi="Arial"/>
          <w:sz w:val="21"/>
          <w:szCs w:val="21"/>
          <w:color w:val="auto"/>
        </w:rPr>
        <w:t>promptly following request, information and documentation reasonably requested by the Administrative Agent or any Lender for purposes of compliance with applicable “know your customer” and anti-money laundering rules and regulations, including the Patriot Act and the Beneficial Ownership Regulation;</w:t>
      </w:r>
    </w:p>
    <w:p>
      <w:pPr>
        <w:spacing w:after="0" w:line="153" w:lineRule="exact"/>
        <w:rPr>
          <w:rFonts w:ascii="Arial" w:cs="Arial" w:eastAsia="Arial" w:hAnsi="Arial"/>
          <w:sz w:val="21"/>
          <w:szCs w:val="21"/>
          <w:color w:val="auto"/>
        </w:rPr>
      </w:pPr>
    </w:p>
    <w:p>
      <w:pPr>
        <w:ind w:right="40" w:firstLine="1036"/>
        <w:spacing w:after="0" w:line="263" w:lineRule="auto"/>
        <w:tabs>
          <w:tab w:leader="none" w:pos="1630" w:val="left"/>
        </w:tabs>
        <w:numPr>
          <w:ilvl w:val="0"/>
          <w:numId w:val="199"/>
        </w:numPr>
        <w:rPr>
          <w:rFonts w:ascii="Arial" w:cs="Arial" w:eastAsia="Arial" w:hAnsi="Arial"/>
          <w:sz w:val="20"/>
          <w:szCs w:val="20"/>
          <w:color w:val="auto"/>
        </w:rPr>
      </w:pPr>
      <w:r>
        <w:rPr>
          <w:rFonts w:ascii="Arial" w:cs="Arial" w:eastAsia="Arial" w:hAnsi="Arial"/>
          <w:sz w:val="20"/>
          <w:szCs w:val="20"/>
          <w:color w:val="auto"/>
        </w:rPr>
        <w:t>prompt written notice of any change in the information provided in the Beneficial Ownership Certification delivered to any Lender that would result in a change to the list of beneficial owners identified in such certification; and</w:t>
      </w:r>
    </w:p>
    <w:p>
      <w:pPr>
        <w:spacing w:after="0" w:line="131" w:lineRule="exact"/>
        <w:rPr>
          <w:rFonts w:ascii="Arial" w:cs="Arial" w:eastAsia="Arial" w:hAnsi="Arial"/>
          <w:sz w:val="20"/>
          <w:szCs w:val="20"/>
          <w:color w:val="auto"/>
        </w:rPr>
      </w:pPr>
    </w:p>
    <w:p>
      <w:pPr>
        <w:jc w:val="both"/>
        <w:ind w:right="40" w:firstLine="1036"/>
        <w:spacing w:after="0" w:line="238" w:lineRule="auto"/>
        <w:tabs>
          <w:tab w:leader="none" w:pos="1479" w:val="left"/>
        </w:tabs>
        <w:numPr>
          <w:ilvl w:val="0"/>
          <w:numId w:val="199"/>
        </w:numPr>
        <w:rPr>
          <w:rFonts w:ascii="Arial" w:cs="Arial" w:eastAsia="Arial" w:hAnsi="Arial"/>
          <w:sz w:val="19"/>
          <w:szCs w:val="19"/>
          <w:color w:val="auto"/>
        </w:rPr>
      </w:pPr>
      <w:r>
        <w:rPr>
          <w:rFonts w:ascii="Arial" w:cs="Arial" w:eastAsia="Arial" w:hAnsi="Arial"/>
          <w:sz w:val="19"/>
          <w:szCs w:val="19"/>
          <w:color w:val="auto"/>
        </w:rPr>
        <w:t xml:space="preserve">promptly following request, subject to the Borrower’s and its Subsidiaries’ internal policies for the protection and preservation of intellectual property, trade secrets and other non-financial proprietary information, such additional information regarding the corporate, financial or operating affairs of the Borrower or any Subsidiary (but excluding any financial information that the Borrower and its Subsidiaries do not produce in the ordinary course of business), or compliance with the terms of the Loan Documents by any Loan Party, as the Administrative Agent or any Lender through the Administrative Agent may from time to time reasonably request in relation to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in no case shall the Borrower be required to disclose any information if doing so would be reasonably likely to result in a violation of Regulation FD and (ii) if in the Borrower’s reasonable judgment the disclosure of any requested information would compromise attorney-client privilege, privilege afforded to attorney work product or similar privilege, the Borrower shall make available redacted versions of requested documents or, if unable to do so consistent with the preservation of such privilege, shall endeavor in good faith otherwise to disclose information responsive to such request in a manner that will protect such privilege;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96</w:t>
      </w:r>
    </w:p>
    <w:p>
      <w:pPr>
        <w:sectPr>
          <w:pgSz w:w="11900" w:h="16838" w:orient="portrait"/>
          <w:cols w:equalWidth="0" w:num="1">
            <w:col w:w="11240"/>
          </w:cols>
          <w:pgMar w:left="320" w:top="1152" w:right="339" w:bottom="1440" w:gutter="0" w:footer="0" w:header="0"/>
        </w:sectPr>
      </w:pPr>
    </w:p>
    <w:bookmarkStart w:id="235" w:name="page236"/>
    <w:bookmarkEnd w:id="235"/>
    <w:p>
      <w:pPr>
        <w:spacing w:after="0"/>
        <w:rPr>
          <w:sz w:val="20"/>
          <w:szCs w:val="20"/>
          <w:color w:val="auto"/>
        </w:rPr>
      </w:pPr>
      <w:r>
        <w:rPr>
          <w:rFonts w:ascii="Arial" w:cs="Arial" w:eastAsia="Arial" w:hAnsi="Arial"/>
          <w:sz w:val="21"/>
          <w:szCs w:val="21"/>
          <w:color w:val="auto"/>
        </w:rPr>
        <w:t>Borrower shall not be required to deliver such information to the extent such information is publicly available.</w:t>
      </w:r>
    </w:p>
    <w:p>
      <w:pPr>
        <w:spacing w:after="0" w:line="183" w:lineRule="exact"/>
        <w:rPr>
          <w:sz w:val="20"/>
          <w:szCs w:val="20"/>
          <w:color w:val="auto"/>
        </w:rPr>
      </w:pPr>
    </w:p>
    <w:p>
      <w:pPr>
        <w:jc w:val="both"/>
        <w:ind w:firstLine="624"/>
        <w:spacing w:after="0" w:line="241" w:lineRule="auto"/>
        <w:rPr>
          <w:sz w:val="20"/>
          <w:szCs w:val="20"/>
          <w:color w:val="auto"/>
        </w:rPr>
      </w:pPr>
      <w:r>
        <w:rPr>
          <w:rFonts w:ascii="Arial" w:cs="Arial" w:eastAsia="Arial" w:hAnsi="Arial"/>
          <w:sz w:val="19"/>
          <w:szCs w:val="19"/>
          <w:color w:val="auto"/>
        </w:rPr>
        <w:t xml:space="preserve">Documents required to be delivered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6.01(b)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6.02(b)</w:t>
      </w:r>
      <w:r>
        <w:rPr>
          <w:rFonts w:ascii="Arial" w:cs="Arial" w:eastAsia="Arial" w:hAnsi="Arial"/>
          <w:sz w:val="19"/>
          <w:szCs w:val="19"/>
          <w:color w:val="auto"/>
        </w:rPr>
        <w:t xml:space="preserve"> (to the extent any such documents are included in materials otherwise filed with the SEC) may be delivered electronically and if so delivered, will be deemed to have been delivered on the date on which (i) the Borrower posts such documents, or provides a link thereto on the Borrower’s website on the Internet at http://www.incyte.com (or such other website address as may be updated from time to time and provided to the Administrative Agent in writing) or (ii) such documents are posted on the Borrower’s behalf on an Approved Electronic Platform. The Administrative Agent shall have no obligation to request the delivery or to maintain copies of the documents referred to above, and in any event shall have no responsibility to monitor compliance by the Borrower with any such request for delivery, and each Lender shall be solely responsible for requesting delivery to it or maintaining its copies of such documents.</w:t>
      </w:r>
    </w:p>
    <w:p>
      <w:pPr>
        <w:spacing w:after="0" w:line="153" w:lineRule="exact"/>
        <w:rPr>
          <w:sz w:val="20"/>
          <w:szCs w:val="20"/>
          <w:color w:val="auto"/>
        </w:rPr>
      </w:pPr>
    </w:p>
    <w:p>
      <w:pPr>
        <w:jc w:val="both"/>
        <w:ind w:right="40" w:firstLine="954"/>
        <w:spacing w:after="0" w:line="222" w:lineRule="auto"/>
        <w:rPr>
          <w:sz w:val="20"/>
          <w:szCs w:val="20"/>
          <w:color w:val="auto"/>
        </w:rPr>
      </w:pPr>
      <w:r>
        <w:rPr>
          <w:rFonts w:ascii="Arial" w:cs="Arial" w:eastAsia="Arial" w:hAnsi="Arial"/>
          <w:sz w:val="21"/>
          <w:szCs w:val="21"/>
          <w:color w:val="auto"/>
        </w:rPr>
        <w:t xml:space="preserve">Section 6.03 </w:t>
      </w:r>
      <w:r>
        <w:rPr>
          <w:rFonts w:ascii="Arial" w:cs="Arial" w:eastAsia="Arial" w:hAnsi="Arial"/>
          <w:sz w:val="21"/>
          <w:szCs w:val="21"/>
          <w:u w:val="single" w:color="auto"/>
          <w:color w:val="auto"/>
        </w:rPr>
        <w:t>Payment of Taxes</w:t>
      </w:r>
      <w:r>
        <w:rPr>
          <w:rFonts w:ascii="Arial" w:cs="Arial" w:eastAsia="Arial" w:hAnsi="Arial"/>
          <w:sz w:val="21"/>
          <w:szCs w:val="21"/>
          <w:color w:val="auto"/>
        </w:rPr>
        <w:t>. The Borrower, the other Loan Parties and each other Material Subsidiary will pay and discharge its Tax liabilities at such time as they are due and payable, unless the same are being contested in good faith by appropriate proceedings diligently conducted and it is maintaining adequate reserves in accordance with GAAP, except to the extent that failure to pay or discharge such Tax liabilities, individually or in the aggregate, would not reasonably be expected to have a Material Adverse Effect.</w:t>
      </w:r>
    </w:p>
    <w:p>
      <w:pPr>
        <w:spacing w:after="0" w:line="155" w:lineRule="exact"/>
        <w:rPr>
          <w:sz w:val="20"/>
          <w:szCs w:val="20"/>
          <w:color w:val="auto"/>
        </w:rPr>
      </w:pPr>
    </w:p>
    <w:p>
      <w:pPr>
        <w:jc w:val="both"/>
        <w:ind w:right="40" w:firstLine="954"/>
        <w:spacing w:after="0" w:line="220" w:lineRule="auto"/>
        <w:rPr>
          <w:sz w:val="20"/>
          <w:szCs w:val="20"/>
          <w:color w:val="auto"/>
        </w:rPr>
      </w:pPr>
      <w:r>
        <w:rPr>
          <w:rFonts w:ascii="Arial" w:cs="Arial" w:eastAsia="Arial" w:hAnsi="Arial"/>
          <w:sz w:val="21"/>
          <w:szCs w:val="21"/>
          <w:color w:val="auto"/>
        </w:rPr>
        <w:t xml:space="preserve">Section 6.04 </w:t>
      </w:r>
      <w:r>
        <w:rPr>
          <w:rFonts w:ascii="Arial" w:cs="Arial" w:eastAsia="Arial" w:hAnsi="Arial"/>
          <w:sz w:val="21"/>
          <w:szCs w:val="21"/>
          <w:u w:val="single" w:color="auto"/>
          <w:color w:val="auto"/>
        </w:rPr>
        <w:t>Preservation of Existence, Etc</w:t>
      </w:r>
      <w:r>
        <w:rPr>
          <w:rFonts w:ascii="Arial" w:cs="Arial" w:eastAsia="Arial" w:hAnsi="Arial"/>
          <w:sz w:val="21"/>
          <w:szCs w:val="21"/>
          <w:color w:val="auto"/>
        </w:rPr>
        <w:t xml:space="preserve">. The Borrower, the other Loan Parties and each other Material Subsidiary will (a) preserve, renew and maintain in full force and effect its legal existence and good standing under the Laws of the jurisdiction of its organization or incorporation;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this </w:t>
      </w:r>
      <w:r>
        <w:rPr>
          <w:rFonts w:ascii="Arial" w:cs="Arial" w:eastAsia="Arial" w:hAnsi="Arial"/>
          <w:sz w:val="21"/>
          <w:szCs w:val="21"/>
          <w:u w:val="single" w:color="auto"/>
          <w:color w:val="auto"/>
        </w:rPr>
        <w:t>clause (a)</w:t>
      </w:r>
      <w:r>
        <w:rPr>
          <w:rFonts w:ascii="Arial" w:cs="Arial" w:eastAsia="Arial" w:hAnsi="Arial"/>
          <w:sz w:val="21"/>
          <w:szCs w:val="21"/>
          <w:color w:val="auto"/>
        </w:rPr>
        <w:t xml:space="preserve"> shall not prohibit any transaction permitted by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7.03</w:t>
      </w:r>
      <w:r>
        <w:rPr>
          <w:rFonts w:ascii="Arial" w:cs="Arial" w:eastAsia="Arial" w:hAnsi="Arial"/>
          <w:sz w:val="21"/>
          <w:szCs w:val="21"/>
          <w:color w:val="auto"/>
        </w:rPr>
        <w:t>, and (b) take all reasonable action to maintain all rights, privileges, permits, licenses and franchises necessary or desirable in the normal conduct of its business, except to the extent that failure to do so, individually or in the aggregate, would not reasonably be expected to have a Material Adverse Effect.</w:t>
      </w:r>
    </w:p>
    <w:p>
      <w:pPr>
        <w:spacing w:after="0" w:line="156" w:lineRule="exact"/>
        <w:rPr>
          <w:sz w:val="20"/>
          <w:szCs w:val="20"/>
          <w:color w:val="auto"/>
        </w:rPr>
      </w:pPr>
    </w:p>
    <w:p>
      <w:pPr>
        <w:jc w:val="both"/>
        <w:ind w:right="40" w:firstLine="954"/>
        <w:spacing w:after="0" w:line="225" w:lineRule="auto"/>
        <w:rPr>
          <w:sz w:val="20"/>
          <w:szCs w:val="20"/>
          <w:color w:val="auto"/>
        </w:rPr>
      </w:pPr>
      <w:r>
        <w:rPr>
          <w:rFonts w:ascii="Arial" w:cs="Arial" w:eastAsia="Arial" w:hAnsi="Arial"/>
          <w:sz w:val="21"/>
          <w:szCs w:val="21"/>
          <w:color w:val="auto"/>
        </w:rPr>
        <w:t xml:space="preserve">Section 6.05 </w:t>
      </w:r>
      <w:r>
        <w:rPr>
          <w:rFonts w:ascii="Arial" w:cs="Arial" w:eastAsia="Arial" w:hAnsi="Arial"/>
          <w:sz w:val="21"/>
          <w:szCs w:val="21"/>
          <w:u w:val="single" w:color="auto"/>
          <w:color w:val="auto"/>
        </w:rPr>
        <w:t>Compliance with Laws</w:t>
      </w:r>
      <w:r>
        <w:rPr>
          <w:rFonts w:ascii="Arial" w:cs="Arial" w:eastAsia="Arial" w:hAnsi="Arial"/>
          <w:sz w:val="21"/>
          <w:szCs w:val="21"/>
          <w:color w:val="auto"/>
        </w:rPr>
        <w:t>. The Borrower, the other Loan Parties and each other Material Subsidiary will comply with the requirements of all Laws applicable to it or to its business or property, except in such instances in which (a) such requirement of Law is being contested in good faith by appropriate proceedings or (b) the failure to comply therewith, individually or in the aggregate, would not reasonably be expected to have a Material Adverse Effect.</w:t>
      </w:r>
    </w:p>
    <w:p>
      <w:pPr>
        <w:spacing w:after="0" w:line="154" w:lineRule="exact"/>
        <w:rPr>
          <w:sz w:val="20"/>
          <w:szCs w:val="20"/>
          <w:color w:val="auto"/>
        </w:rPr>
      </w:pPr>
    </w:p>
    <w:p>
      <w:pPr>
        <w:jc w:val="both"/>
        <w:ind w:right="40" w:firstLine="954"/>
        <w:spacing w:after="0" w:line="230" w:lineRule="auto"/>
        <w:rPr>
          <w:sz w:val="20"/>
          <w:szCs w:val="20"/>
          <w:color w:val="auto"/>
        </w:rPr>
      </w:pPr>
      <w:r>
        <w:rPr>
          <w:rFonts w:ascii="Arial" w:cs="Arial" w:eastAsia="Arial" w:hAnsi="Arial"/>
          <w:sz w:val="21"/>
          <w:szCs w:val="21"/>
          <w:color w:val="auto"/>
        </w:rPr>
        <w:t xml:space="preserve">Section 6.06 </w:t>
      </w:r>
      <w:r>
        <w:rPr>
          <w:rFonts w:ascii="Arial" w:cs="Arial" w:eastAsia="Arial" w:hAnsi="Arial"/>
          <w:sz w:val="21"/>
          <w:szCs w:val="21"/>
          <w:u w:val="single" w:color="auto"/>
          <w:color w:val="auto"/>
        </w:rPr>
        <w:t>Use of Proceeds</w:t>
      </w:r>
      <w:r>
        <w:rPr>
          <w:rFonts w:ascii="Arial" w:cs="Arial" w:eastAsia="Arial" w:hAnsi="Arial"/>
          <w:sz w:val="21"/>
          <w:szCs w:val="21"/>
          <w:color w:val="auto"/>
        </w:rPr>
        <w:t>. (a) The Borrower and the other Loan Parties and each other Subsidiary will use the proceeds of the Credit Extensions for general corporate purposes, including (but not limited to) working capital, capital expenditures, acquisitions, investments, dividends, distributions and share buybacks.</w:t>
      </w:r>
    </w:p>
    <w:p>
      <w:pPr>
        <w:spacing w:after="0" w:line="154" w:lineRule="exact"/>
        <w:rPr>
          <w:sz w:val="20"/>
          <w:szCs w:val="20"/>
          <w:color w:val="auto"/>
        </w:rPr>
      </w:pPr>
    </w:p>
    <w:p>
      <w:pPr>
        <w:jc w:val="both"/>
        <w:ind w:right="40" w:firstLine="1036"/>
        <w:spacing w:after="0" w:line="236" w:lineRule="auto"/>
        <w:tabs>
          <w:tab w:leader="none" w:pos="1498" w:val="left"/>
        </w:tabs>
        <w:numPr>
          <w:ilvl w:val="1"/>
          <w:numId w:val="200"/>
        </w:numPr>
        <w:rPr>
          <w:rFonts w:ascii="Arial" w:cs="Arial" w:eastAsia="Arial" w:hAnsi="Arial"/>
          <w:sz w:val="19"/>
          <w:szCs w:val="19"/>
          <w:color w:val="auto"/>
        </w:rPr>
      </w:pPr>
      <w:r>
        <w:rPr>
          <w:rFonts w:ascii="Arial" w:cs="Arial" w:eastAsia="Arial" w:hAnsi="Arial"/>
          <w:sz w:val="19"/>
          <w:szCs w:val="19"/>
          <w:color w:val="auto"/>
        </w:rPr>
        <w:t>The Borrower will not request any Loan or Letter of Credit, and the Borrower shall not use, and shall procure that Borrower and the Subsidiaries and their respective directors, officers, employees and Agent shall not use, the proceeds of any Loan or any Letter of Credit (i) in furtherance of an offer, payment, promise to pay, or authorization of the payment or giving of money, or anything else of value, to any Person in violation of any Anti-Corruption Laws or (ii) (A) for the purpose of funding any activity or business in any Sanctioned Country or for the purpose of funding any activity or business of or with any Sanctioned Person or</w:t>
      </w:r>
    </w:p>
    <w:p>
      <w:pPr>
        <w:spacing w:after="0" w:line="3" w:lineRule="exact"/>
        <w:rPr>
          <w:rFonts w:ascii="Arial" w:cs="Arial" w:eastAsia="Arial" w:hAnsi="Arial"/>
          <w:sz w:val="19"/>
          <w:szCs w:val="19"/>
          <w:color w:val="auto"/>
        </w:rPr>
      </w:pPr>
    </w:p>
    <w:p>
      <w:pPr>
        <w:ind w:left="340" w:hanging="334"/>
        <w:spacing w:after="0"/>
        <w:tabs>
          <w:tab w:leader="none" w:pos="340" w:val="left"/>
        </w:tabs>
        <w:numPr>
          <w:ilvl w:val="0"/>
          <w:numId w:val="201"/>
        </w:numPr>
        <w:rPr>
          <w:rFonts w:ascii="Arial" w:cs="Arial" w:eastAsia="Arial" w:hAnsi="Arial"/>
          <w:sz w:val="21"/>
          <w:szCs w:val="21"/>
          <w:color w:val="auto"/>
        </w:rPr>
      </w:pPr>
      <w:r>
        <w:rPr>
          <w:rFonts w:ascii="Arial" w:cs="Arial" w:eastAsia="Arial" w:hAnsi="Arial"/>
          <w:sz w:val="21"/>
          <w:szCs w:val="21"/>
          <w:color w:val="auto"/>
        </w:rPr>
        <w:t>in any other manner, in each case,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97</w:t>
      </w:r>
    </w:p>
    <w:p>
      <w:pPr>
        <w:sectPr>
          <w:pgSz w:w="11900" w:h="16838" w:orient="portrait"/>
          <w:cols w:equalWidth="0" w:num="1">
            <w:col w:w="11240"/>
          </w:cols>
          <w:pgMar w:left="320" w:top="1152" w:right="339" w:bottom="1440" w:gutter="0" w:footer="0" w:header="0"/>
        </w:sectPr>
      </w:pPr>
    </w:p>
    <w:bookmarkStart w:id="236" w:name="page237"/>
    <w:bookmarkEnd w:id="236"/>
    <w:p>
      <w:pPr>
        <w:spacing w:after="0"/>
        <w:rPr>
          <w:sz w:val="20"/>
          <w:szCs w:val="20"/>
          <w:color w:val="auto"/>
        </w:rPr>
      </w:pPr>
      <w:r>
        <w:rPr>
          <w:rFonts w:ascii="Arial" w:cs="Arial" w:eastAsia="Arial" w:hAnsi="Arial"/>
          <w:sz w:val="21"/>
          <w:szCs w:val="21"/>
          <w:color w:val="auto"/>
        </w:rPr>
        <w:t>will result in any violation by any Lender, any L/C Issuer, any Arranger or the Administrative Agent of any Sanctions.</w:t>
      </w:r>
    </w:p>
    <w:p>
      <w:pPr>
        <w:spacing w:after="0" w:line="183" w:lineRule="exact"/>
        <w:rPr>
          <w:sz w:val="20"/>
          <w:szCs w:val="20"/>
          <w:color w:val="auto"/>
        </w:rPr>
      </w:pPr>
    </w:p>
    <w:p>
      <w:pPr>
        <w:jc w:val="both"/>
        <w:ind w:right="40" w:firstLine="954"/>
        <w:spacing w:after="0" w:line="242" w:lineRule="auto"/>
        <w:rPr>
          <w:sz w:val="20"/>
          <w:szCs w:val="20"/>
          <w:color w:val="auto"/>
        </w:rPr>
      </w:pPr>
      <w:r>
        <w:rPr>
          <w:rFonts w:ascii="Arial" w:cs="Arial" w:eastAsia="Arial" w:hAnsi="Arial"/>
          <w:sz w:val="19"/>
          <w:szCs w:val="19"/>
          <w:color w:val="auto"/>
        </w:rPr>
        <w:t xml:space="preserve">Section 6.07 </w:t>
      </w:r>
      <w:r>
        <w:rPr>
          <w:rFonts w:ascii="Arial" w:cs="Arial" w:eastAsia="Arial" w:hAnsi="Arial"/>
          <w:sz w:val="19"/>
          <w:szCs w:val="19"/>
          <w:u w:val="single" w:color="auto"/>
          <w:color w:val="auto"/>
        </w:rPr>
        <w:t>Maintenance of Property and Insurance</w:t>
      </w:r>
      <w:r>
        <w:rPr>
          <w:rFonts w:ascii="Arial" w:cs="Arial" w:eastAsia="Arial" w:hAnsi="Arial"/>
          <w:sz w:val="19"/>
          <w:szCs w:val="19"/>
          <w:color w:val="auto"/>
        </w:rPr>
        <w:t>. The Borrower will, and will cause each of its Material Subsidiaries to, (a) keep and maintain all tangible property material to the conduct of its business in good working order and condition, ordinary wear and tear and casualty excepted and except (i) as otherwise permitted by Section 7.03 or (ii) where the failure to do so would not reasonably be expected to result in a Material Adverse Effect and (b) maintain, in all material respects, with carriers reasonably believed by the Borrower to be financially sound and reputable or through reasonable and adequate self-insurance insurance in such amounts and against such risks and such other hazards, as is customarily maintained by companies engaged in the same or similar businesses operating in the same or similar locations or where the Material Subsidiary operates.</w:t>
      </w:r>
    </w:p>
    <w:p>
      <w:pPr>
        <w:spacing w:after="0" w:line="154" w:lineRule="exact"/>
        <w:rPr>
          <w:sz w:val="20"/>
          <w:szCs w:val="20"/>
          <w:color w:val="auto"/>
        </w:rPr>
      </w:pPr>
    </w:p>
    <w:p>
      <w:pPr>
        <w:ind w:left="5000"/>
        <w:spacing w:after="0"/>
        <w:rPr>
          <w:sz w:val="20"/>
          <w:szCs w:val="20"/>
          <w:color w:val="auto"/>
        </w:rPr>
      </w:pPr>
      <w:r>
        <w:rPr>
          <w:rFonts w:ascii="Arial" w:cs="Arial" w:eastAsia="Arial" w:hAnsi="Arial"/>
          <w:sz w:val="21"/>
          <w:szCs w:val="21"/>
          <w:color w:val="auto"/>
        </w:rPr>
        <w:t>ARTICLE 7</w:t>
      </w:r>
    </w:p>
    <w:p>
      <w:pPr>
        <w:spacing w:after="0" w:line="183" w:lineRule="exact"/>
        <w:rPr>
          <w:sz w:val="20"/>
          <w:szCs w:val="20"/>
          <w:color w:val="auto"/>
        </w:rPr>
      </w:pPr>
    </w:p>
    <w:p>
      <w:pPr>
        <w:ind w:left="4440"/>
        <w:spacing w:after="0"/>
        <w:rPr>
          <w:sz w:val="20"/>
          <w:szCs w:val="20"/>
          <w:color w:val="auto"/>
        </w:rPr>
      </w:pPr>
      <w:r>
        <w:rPr>
          <w:rFonts w:ascii="Arial" w:cs="Arial" w:eastAsia="Arial" w:hAnsi="Arial"/>
          <w:sz w:val="21"/>
          <w:szCs w:val="21"/>
          <w:color w:val="auto"/>
        </w:rPr>
        <w:t>NEGATIVE COVENANTS</w:t>
      </w:r>
    </w:p>
    <w:p>
      <w:pPr>
        <w:spacing w:after="0" w:line="183" w:lineRule="exact"/>
        <w:rPr>
          <w:sz w:val="20"/>
          <w:szCs w:val="20"/>
          <w:color w:val="auto"/>
        </w:rPr>
      </w:pPr>
    </w:p>
    <w:p>
      <w:pPr>
        <w:jc w:val="both"/>
        <w:ind w:firstLine="624"/>
        <w:spacing w:after="0" w:line="233" w:lineRule="auto"/>
        <w:rPr>
          <w:sz w:val="20"/>
          <w:szCs w:val="20"/>
          <w:color w:val="auto"/>
        </w:rPr>
      </w:pPr>
      <w:r>
        <w:rPr>
          <w:rFonts w:ascii="Arial" w:cs="Arial" w:eastAsia="Arial" w:hAnsi="Arial"/>
          <w:sz w:val="20"/>
          <w:szCs w:val="20"/>
          <w:color w:val="auto"/>
        </w:rPr>
        <w:t>Until the Commitments shall have expired or been terminated, all Loans and other Obligations (other than contingent obligations as to which no claim has been made) shall have been paid in full, all Letters of Credit shall have expired or been terminated (other than Letters of Credit that have been Cash Collateralized in full or as to which other arrangements satisfactory to the applicable L/C Issuer and the Administrative Agent shall have been made) and all L/C Borrowings shall have been reimbursed in full, each of the Borrower and the other Loan Parties covenants and agrees with the Lenders that:</w:t>
      </w:r>
    </w:p>
    <w:p>
      <w:pPr>
        <w:spacing w:after="0" w:line="156" w:lineRule="exact"/>
        <w:rPr>
          <w:sz w:val="20"/>
          <w:szCs w:val="20"/>
          <w:color w:val="auto"/>
        </w:rPr>
      </w:pPr>
    </w:p>
    <w:p>
      <w:pPr>
        <w:jc w:val="both"/>
        <w:ind w:right="40" w:firstLine="636"/>
        <w:spacing w:after="0" w:line="230" w:lineRule="auto"/>
        <w:rPr>
          <w:sz w:val="20"/>
          <w:szCs w:val="20"/>
          <w:color w:val="auto"/>
        </w:rPr>
      </w:pPr>
      <w:r>
        <w:rPr>
          <w:rFonts w:ascii="Arial" w:cs="Arial" w:eastAsia="Arial" w:hAnsi="Arial"/>
          <w:sz w:val="21"/>
          <w:szCs w:val="21"/>
          <w:color w:val="auto"/>
        </w:rPr>
        <w:t xml:space="preserve">Section 7.01 </w:t>
      </w:r>
      <w:r>
        <w:rPr>
          <w:rFonts w:ascii="Arial" w:cs="Arial" w:eastAsia="Arial" w:hAnsi="Arial"/>
          <w:sz w:val="21"/>
          <w:szCs w:val="21"/>
          <w:u w:val="single" w:color="auto"/>
          <w:color w:val="auto"/>
        </w:rPr>
        <w:t>Liens</w:t>
      </w:r>
      <w:r>
        <w:rPr>
          <w:rFonts w:ascii="Arial" w:cs="Arial" w:eastAsia="Arial" w:hAnsi="Arial"/>
          <w:sz w:val="21"/>
          <w:szCs w:val="21"/>
          <w:color w:val="auto"/>
        </w:rPr>
        <w:t>. None of the Borrower, the other Loan Parties or any other Subsidiary will create, incur, assume or permit to exist any Lien upon any of its property, assets or revenues, whether now owned or hereafter acquired, other than the following:</w:t>
      </w:r>
    </w:p>
    <w:p>
      <w:pPr>
        <w:spacing w:after="0" w:line="154" w:lineRule="exact"/>
        <w:rPr>
          <w:sz w:val="20"/>
          <w:szCs w:val="20"/>
          <w:color w:val="auto"/>
        </w:rPr>
      </w:pPr>
    </w:p>
    <w:p>
      <w:pPr>
        <w:ind w:left="1480" w:hanging="444"/>
        <w:spacing w:after="0"/>
        <w:tabs>
          <w:tab w:leader="none" w:pos="1480" w:val="left"/>
        </w:tabs>
        <w:numPr>
          <w:ilvl w:val="1"/>
          <w:numId w:val="202"/>
        </w:numPr>
        <w:rPr>
          <w:rFonts w:ascii="Arial" w:cs="Arial" w:eastAsia="Arial" w:hAnsi="Arial"/>
          <w:sz w:val="21"/>
          <w:szCs w:val="21"/>
          <w:color w:val="auto"/>
        </w:rPr>
      </w:pPr>
      <w:r>
        <w:rPr>
          <w:rFonts w:ascii="Arial" w:cs="Arial" w:eastAsia="Arial" w:hAnsi="Arial"/>
          <w:sz w:val="21"/>
          <w:szCs w:val="21"/>
          <w:color w:val="auto"/>
        </w:rPr>
        <w:t>Liens created pursuant to any Loan Document;</w:t>
      </w:r>
    </w:p>
    <w:p>
      <w:pPr>
        <w:spacing w:after="0" w:line="182" w:lineRule="exact"/>
        <w:rPr>
          <w:rFonts w:ascii="Arial" w:cs="Arial" w:eastAsia="Arial" w:hAnsi="Arial"/>
          <w:sz w:val="21"/>
          <w:szCs w:val="21"/>
          <w:color w:val="auto"/>
        </w:rPr>
      </w:pPr>
    </w:p>
    <w:p>
      <w:pPr>
        <w:jc w:val="both"/>
        <w:ind w:right="40" w:firstLine="1036"/>
        <w:spacing w:after="0" w:line="222" w:lineRule="auto"/>
        <w:tabs>
          <w:tab w:leader="none" w:pos="1497" w:val="left"/>
        </w:tabs>
        <w:numPr>
          <w:ilvl w:val="1"/>
          <w:numId w:val="202"/>
        </w:numPr>
        <w:rPr>
          <w:rFonts w:ascii="Arial" w:cs="Arial" w:eastAsia="Arial" w:hAnsi="Arial"/>
          <w:sz w:val="21"/>
          <w:szCs w:val="21"/>
          <w:color w:val="auto"/>
        </w:rPr>
      </w:pPr>
      <w:r>
        <w:rPr>
          <w:rFonts w:ascii="Arial" w:cs="Arial" w:eastAsia="Arial" w:hAnsi="Arial"/>
          <w:sz w:val="21"/>
          <w:szCs w:val="21"/>
          <w:color w:val="auto"/>
        </w:rPr>
        <w:t xml:space="preserve">Liens existing on the Effective Date and set forth on </w:t>
      </w:r>
      <w:r>
        <w:rPr>
          <w:rFonts w:ascii="Arial" w:cs="Arial" w:eastAsia="Arial" w:hAnsi="Arial"/>
          <w:sz w:val="21"/>
          <w:szCs w:val="21"/>
          <w:u w:val="single" w:color="auto"/>
          <w:color w:val="auto"/>
        </w:rPr>
        <w:t>Schedule 7</w:t>
      </w:r>
      <w:r>
        <w:rPr>
          <w:rFonts w:ascii="Arial" w:cs="Arial" w:eastAsia="Arial" w:hAnsi="Arial"/>
          <w:sz w:val="21"/>
          <w:szCs w:val="21"/>
          <w:color w:val="auto"/>
        </w:rPr>
        <w:t>.</w:t>
      </w:r>
      <w:r>
        <w:rPr>
          <w:rFonts w:ascii="Arial" w:cs="Arial" w:eastAsia="Arial" w:hAnsi="Arial"/>
          <w:sz w:val="21"/>
          <w:szCs w:val="21"/>
          <w:u w:val="single" w:color="auto"/>
          <w:color w:val="auto"/>
        </w:rPr>
        <w:t>01</w:t>
      </w:r>
      <w:r>
        <w:rPr>
          <w:rFonts w:ascii="Arial" w:cs="Arial" w:eastAsia="Arial" w:hAnsi="Arial"/>
          <w:sz w:val="21"/>
          <w:szCs w:val="21"/>
          <w:color w:val="auto"/>
        </w:rPr>
        <w:t xml:space="preserve"> and any renewals, extensions and refinancings thereof;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such Liens do not encumber property other than the property subject to the original Lien or improvements thereon or replacements thereof and (ii) the amount of Indebtedness secured or benefited thereby is not increased, except by an amount equal to a reasonable premium or other reasonable amount paid, and fees and expenses reasonably incurred, in connection with any renewal, extension or refinancing of such Indebtedness;</w:t>
      </w:r>
    </w:p>
    <w:p>
      <w:pPr>
        <w:spacing w:after="0" w:line="155" w:lineRule="exact"/>
        <w:rPr>
          <w:rFonts w:ascii="Arial" w:cs="Arial" w:eastAsia="Arial" w:hAnsi="Arial"/>
          <w:sz w:val="21"/>
          <w:szCs w:val="21"/>
          <w:color w:val="auto"/>
        </w:rPr>
      </w:pPr>
    </w:p>
    <w:p>
      <w:pPr>
        <w:jc w:val="both"/>
        <w:ind w:right="40" w:firstLine="1036"/>
        <w:spacing w:after="0" w:line="236" w:lineRule="auto"/>
        <w:tabs>
          <w:tab w:leader="none" w:pos="1487" w:val="left"/>
        </w:tabs>
        <w:numPr>
          <w:ilvl w:val="1"/>
          <w:numId w:val="202"/>
        </w:numPr>
        <w:rPr>
          <w:rFonts w:ascii="Arial" w:cs="Arial" w:eastAsia="Arial" w:hAnsi="Arial"/>
          <w:sz w:val="19"/>
          <w:szCs w:val="19"/>
          <w:color w:val="auto"/>
        </w:rPr>
      </w:pPr>
      <w:r>
        <w:rPr>
          <w:rFonts w:ascii="Arial" w:cs="Arial" w:eastAsia="Arial" w:hAnsi="Arial"/>
          <w:sz w:val="19"/>
          <w:szCs w:val="19"/>
          <w:color w:val="auto"/>
        </w:rPr>
        <w:t xml:space="preserve">Liens on any assets acquired by the Borrower or any Subsidiary after the Effective Date existing at the time of the acquisition thereof or on any asset of any Person that becomes a Subsidiary (or of any Person not previously Borrower or a Subsidiary that is merged or consolidated with or into Borrower or a Subsidiary in a transaction or series of related transactions permitted hereunder) after the Effective Date existing at the time such Person becomes a Subsidiary (or is so merged or consolidated), and any renewals, extensions and refinancings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Liens were not created in contemplation of or in connection with such acquisition or such Person becoming a Subsidiary (or such merger or consolidation),</w:t>
      </w:r>
    </w:p>
    <w:p>
      <w:pPr>
        <w:jc w:val="both"/>
        <w:ind w:right="40" w:firstLine="6"/>
        <w:spacing w:after="0" w:line="224" w:lineRule="auto"/>
        <w:tabs>
          <w:tab w:leader="none" w:pos="364" w:val="left"/>
        </w:tabs>
        <w:numPr>
          <w:ilvl w:val="0"/>
          <w:numId w:val="203"/>
        </w:numPr>
        <w:rPr>
          <w:rFonts w:ascii="Arial" w:cs="Arial" w:eastAsia="Arial" w:hAnsi="Arial"/>
          <w:sz w:val="21"/>
          <w:szCs w:val="21"/>
          <w:color w:val="auto"/>
        </w:rPr>
      </w:pPr>
      <w:r>
        <w:rPr>
          <w:rFonts w:ascii="Arial" w:cs="Arial" w:eastAsia="Arial" w:hAnsi="Arial"/>
          <w:sz w:val="21"/>
          <w:szCs w:val="21"/>
          <w:color w:val="auto"/>
        </w:rPr>
        <w:t>such Liens do not encumber property other than the property subject to the original Lien or improvements thereon or replacements thereof and (iii) the amount of Indebtedness secured or benefited thereby is not increased, except by an amount equal to a reasonable premium or other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98</w:t>
      </w:r>
    </w:p>
    <w:p>
      <w:pPr>
        <w:sectPr>
          <w:pgSz w:w="11900" w:h="16838" w:orient="portrait"/>
          <w:cols w:equalWidth="0" w:num="1">
            <w:col w:w="11240"/>
          </w:cols>
          <w:pgMar w:left="320" w:top="1152" w:right="339" w:bottom="1440" w:gutter="0" w:footer="0" w:header="0"/>
        </w:sectPr>
      </w:pPr>
    </w:p>
    <w:bookmarkStart w:id="237" w:name="page238"/>
    <w:bookmarkEnd w:id="237"/>
    <w:p>
      <w:pPr>
        <w:spacing w:after="0" w:line="239" w:lineRule="auto"/>
        <w:rPr>
          <w:sz w:val="20"/>
          <w:szCs w:val="20"/>
          <w:color w:val="auto"/>
        </w:rPr>
      </w:pPr>
      <w:r>
        <w:rPr>
          <w:rFonts w:ascii="Arial" w:cs="Arial" w:eastAsia="Arial" w:hAnsi="Arial"/>
          <w:sz w:val="21"/>
          <w:szCs w:val="21"/>
          <w:color w:val="auto"/>
        </w:rPr>
        <w:t>amount paid, and fees and expenses reasonably incurred, in connection with any renewal, extension or refinancing of such Indebtedness;</w:t>
      </w:r>
    </w:p>
    <w:p>
      <w:pPr>
        <w:spacing w:after="0" w:line="155" w:lineRule="exact"/>
        <w:rPr>
          <w:sz w:val="20"/>
          <w:szCs w:val="20"/>
          <w:color w:val="auto"/>
        </w:rPr>
      </w:pPr>
    </w:p>
    <w:p>
      <w:pPr>
        <w:jc w:val="both"/>
        <w:ind w:firstLine="1036"/>
        <w:spacing w:after="0" w:line="226" w:lineRule="auto"/>
        <w:tabs>
          <w:tab w:leader="none" w:pos="1543" w:val="left"/>
        </w:tabs>
        <w:numPr>
          <w:ilvl w:val="0"/>
          <w:numId w:val="204"/>
        </w:numPr>
        <w:rPr>
          <w:rFonts w:ascii="Arial" w:cs="Arial" w:eastAsia="Arial" w:hAnsi="Arial"/>
          <w:sz w:val="20"/>
          <w:szCs w:val="20"/>
          <w:color w:val="auto"/>
        </w:rPr>
      </w:pPr>
      <w:r>
        <w:rPr>
          <w:rFonts w:ascii="Arial" w:cs="Arial" w:eastAsia="Arial" w:hAnsi="Arial"/>
          <w:sz w:val="20"/>
          <w:szCs w:val="20"/>
          <w:color w:val="auto"/>
        </w:rPr>
        <w:t xml:space="preserve">Liens on fixed or capital assets acquired, constructed or improved by the Borrower or any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such Liens secure only Indebtedness incurred to finance the acquisition, construction or improvement of such fixed or capital assets (and obligations relating thereto not constituting Indebtedness), including any Capital Lease Obligations, and renewals, extensions and refinancings of any such Indebtedness that do not increase the amount of Indebtedness secured or benefited thereby, except by an amount equal to a reasonable premium or other reasonable amount paid, and fees and expenses reasonably incurred, in connection with any renewal, extension or refinancing of such Indebtedness and (ii) such Liens and the Indebtedness secured thereby (other than any such renewals, extensions or refinancings thereof) are incurred prior to or within 120 days after the later of such acquisition, the completion of such construction or improvement or full operation of such acquired asset;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in the event purchase money obligations are owed to any Person with respect to financing of more than one purchase of any fixed or capital assets, such Liens may secure all such purchase money obligations and may apply to all such fixed or capital assets financed by such Person;</w:t>
      </w:r>
    </w:p>
    <w:p>
      <w:pPr>
        <w:spacing w:after="0" w:line="161" w:lineRule="exact"/>
        <w:rPr>
          <w:rFonts w:ascii="Arial" w:cs="Arial" w:eastAsia="Arial" w:hAnsi="Arial"/>
          <w:sz w:val="20"/>
          <w:szCs w:val="20"/>
          <w:color w:val="auto"/>
        </w:rPr>
      </w:pPr>
    </w:p>
    <w:p>
      <w:pPr>
        <w:ind w:left="1480" w:hanging="444"/>
        <w:spacing w:after="0"/>
        <w:tabs>
          <w:tab w:leader="none" w:pos="1480" w:val="left"/>
        </w:tabs>
        <w:numPr>
          <w:ilvl w:val="0"/>
          <w:numId w:val="204"/>
        </w:numPr>
        <w:rPr>
          <w:rFonts w:ascii="Arial" w:cs="Arial" w:eastAsia="Arial" w:hAnsi="Arial"/>
          <w:sz w:val="21"/>
          <w:szCs w:val="21"/>
          <w:color w:val="auto"/>
        </w:rPr>
      </w:pPr>
      <w:r>
        <w:rPr>
          <w:rFonts w:ascii="Arial" w:cs="Arial" w:eastAsia="Arial" w:hAnsi="Arial"/>
          <w:sz w:val="21"/>
          <w:szCs w:val="21"/>
          <w:color w:val="auto"/>
        </w:rPr>
        <w:t>Liens in favor of the Borrower or any Subsidiary of the Borrower;</w:t>
      </w:r>
    </w:p>
    <w:p>
      <w:pPr>
        <w:spacing w:after="0" w:line="182" w:lineRule="exact"/>
        <w:rPr>
          <w:rFonts w:ascii="Arial" w:cs="Arial" w:eastAsia="Arial" w:hAnsi="Arial"/>
          <w:sz w:val="21"/>
          <w:szCs w:val="21"/>
          <w:color w:val="auto"/>
        </w:rPr>
      </w:pPr>
    </w:p>
    <w:p>
      <w:pPr>
        <w:ind w:firstLine="1036"/>
        <w:spacing w:after="0" w:line="290" w:lineRule="auto"/>
        <w:tabs>
          <w:tab w:leader="none" w:pos="1482" w:val="left"/>
        </w:tabs>
        <w:numPr>
          <w:ilvl w:val="0"/>
          <w:numId w:val="204"/>
        </w:numPr>
        <w:rPr>
          <w:rFonts w:ascii="Arial" w:cs="Arial" w:eastAsia="Arial" w:hAnsi="Arial"/>
          <w:sz w:val="19"/>
          <w:szCs w:val="19"/>
          <w:color w:val="auto"/>
        </w:rPr>
      </w:pPr>
      <w:r>
        <w:rPr>
          <w:rFonts w:ascii="Arial" w:cs="Arial" w:eastAsia="Arial" w:hAnsi="Arial"/>
          <w:sz w:val="19"/>
          <w:szCs w:val="19"/>
          <w:color w:val="auto"/>
        </w:rPr>
        <w:t>any Lien securing any obligation of the Borrower or any Subsidiary in respect of interest rate, currency exchange rates or commodity pricing Swap Contracts entered into in the ordinary course of business for bona fide business purposes;</w:t>
      </w:r>
    </w:p>
    <w:p>
      <w:pPr>
        <w:spacing w:after="0" w:line="107" w:lineRule="exact"/>
        <w:rPr>
          <w:rFonts w:ascii="Arial" w:cs="Arial" w:eastAsia="Arial" w:hAnsi="Arial"/>
          <w:sz w:val="19"/>
          <w:szCs w:val="19"/>
          <w:color w:val="auto"/>
        </w:rPr>
      </w:pPr>
    </w:p>
    <w:p>
      <w:pPr>
        <w:ind w:left="1500" w:hanging="464"/>
        <w:spacing w:after="0"/>
        <w:tabs>
          <w:tab w:leader="none" w:pos="1500" w:val="left"/>
        </w:tabs>
        <w:numPr>
          <w:ilvl w:val="0"/>
          <w:numId w:val="204"/>
        </w:numPr>
        <w:rPr>
          <w:rFonts w:ascii="Arial" w:cs="Arial" w:eastAsia="Arial" w:hAnsi="Arial"/>
          <w:sz w:val="19"/>
          <w:szCs w:val="19"/>
          <w:color w:val="auto"/>
        </w:rPr>
      </w:pPr>
      <w:r>
        <w:rPr>
          <w:rFonts w:ascii="Arial" w:cs="Arial" w:eastAsia="Arial" w:hAnsi="Arial"/>
          <w:sz w:val="19"/>
          <w:szCs w:val="19"/>
          <w:color w:val="auto"/>
        </w:rPr>
        <w:t>Liens on the proceeds of any Acquisition Indebtedness held in escrow prior to the release thereof from escrow;</w:t>
      </w:r>
    </w:p>
    <w:p>
      <w:pPr>
        <w:spacing w:after="0" w:line="205" w:lineRule="exact"/>
        <w:rPr>
          <w:rFonts w:ascii="Arial" w:cs="Arial" w:eastAsia="Arial" w:hAnsi="Arial"/>
          <w:sz w:val="19"/>
          <w:szCs w:val="19"/>
          <w:color w:val="auto"/>
        </w:rPr>
      </w:pPr>
    </w:p>
    <w:p>
      <w:pPr>
        <w:ind w:left="1500" w:hanging="464"/>
        <w:spacing w:after="0"/>
        <w:tabs>
          <w:tab w:leader="none" w:pos="1500" w:val="left"/>
        </w:tabs>
        <w:numPr>
          <w:ilvl w:val="0"/>
          <w:numId w:val="204"/>
        </w:numPr>
        <w:rPr>
          <w:rFonts w:ascii="Arial" w:cs="Arial" w:eastAsia="Arial" w:hAnsi="Arial"/>
          <w:sz w:val="21"/>
          <w:szCs w:val="21"/>
          <w:color w:val="auto"/>
        </w:rPr>
      </w:pPr>
      <w:r>
        <w:rPr>
          <w:rFonts w:ascii="Arial" w:cs="Arial" w:eastAsia="Arial" w:hAnsi="Arial"/>
          <w:sz w:val="21"/>
          <w:szCs w:val="21"/>
          <w:color w:val="auto"/>
        </w:rPr>
        <w:t>Permitted Encumbrances;</w:t>
      </w:r>
    </w:p>
    <w:p>
      <w:pPr>
        <w:spacing w:after="0" w:line="182" w:lineRule="exact"/>
        <w:rPr>
          <w:rFonts w:ascii="Arial" w:cs="Arial" w:eastAsia="Arial" w:hAnsi="Arial"/>
          <w:sz w:val="21"/>
          <w:szCs w:val="21"/>
          <w:color w:val="auto"/>
        </w:rPr>
      </w:pPr>
    </w:p>
    <w:p>
      <w:pPr>
        <w:jc w:val="both"/>
        <w:ind w:firstLine="1036"/>
        <w:spacing w:after="0" w:line="230" w:lineRule="auto"/>
        <w:tabs>
          <w:tab w:leader="none" w:pos="1483" w:val="left"/>
        </w:tabs>
        <w:numPr>
          <w:ilvl w:val="0"/>
          <w:numId w:val="204"/>
        </w:numPr>
        <w:rPr>
          <w:rFonts w:ascii="Arial" w:cs="Arial" w:eastAsia="Arial" w:hAnsi="Arial"/>
          <w:sz w:val="21"/>
          <w:szCs w:val="21"/>
          <w:color w:val="auto"/>
        </w:rPr>
      </w:pPr>
      <w:r>
        <w:rPr>
          <w:rFonts w:ascii="Arial" w:cs="Arial" w:eastAsia="Arial" w:hAnsi="Arial"/>
          <w:sz w:val="21"/>
          <w:szCs w:val="21"/>
          <w:color w:val="auto"/>
        </w:rPr>
        <w:t>Liens arising out of any conditional sale, title retention, consignment, licensing or other similar arrangements for the sale of goods or commercialization of IP Rights entered into by the Borrower or any of its Subsidiaries the ordinary course of business;</w:t>
      </w:r>
    </w:p>
    <w:p>
      <w:pPr>
        <w:spacing w:after="0" w:line="153" w:lineRule="exact"/>
        <w:rPr>
          <w:rFonts w:ascii="Arial" w:cs="Arial" w:eastAsia="Arial" w:hAnsi="Arial"/>
          <w:sz w:val="21"/>
          <w:szCs w:val="21"/>
          <w:color w:val="auto"/>
        </w:rPr>
      </w:pPr>
    </w:p>
    <w:p>
      <w:pPr>
        <w:ind w:left="1580" w:hanging="544"/>
        <w:spacing w:after="0"/>
        <w:tabs>
          <w:tab w:leader="none" w:pos="1580" w:val="left"/>
        </w:tabs>
        <w:numPr>
          <w:ilvl w:val="0"/>
          <w:numId w:val="204"/>
        </w:numPr>
        <w:rPr>
          <w:rFonts w:ascii="Arial" w:cs="Arial" w:eastAsia="Arial" w:hAnsi="Arial"/>
          <w:sz w:val="20"/>
          <w:szCs w:val="20"/>
          <w:color w:val="auto"/>
        </w:rPr>
      </w:pPr>
      <w:r>
        <w:rPr>
          <w:rFonts w:ascii="Arial" w:cs="Arial" w:eastAsia="Arial" w:hAnsi="Arial"/>
          <w:sz w:val="20"/>
          <w:szCs w:val="20"/>
          <w:color w:val="auto"/>
        </w:rPr>
        <w:t>Liens securing Indebtedness permitted hereunder to finance insurance premiums solely to the extent of such</w:t>
      </w:r>
    </w:p>
    <w:p>
      <w:pPr>
        <w:spacing w:after="0"/>
        <w:rPr>
          <w:rFonts w:ascii="Arial" w:cs="Arial" w:eastAsia="Arial" w:hAnsi="Arial"/>
          <w:sz w:val="20"/>
          <w:szCs w:val="20"/>
          <w:color w:val="auto"/>
        </w:rPr>
      </w:pPr>
      <w:r>
        <w:rPr>
          <w:rFonts w:ascii="Arial" w:cs="Arial" w:eastAsia="Arial" w:hAnsi="Arial"/>
          <w:sz w:val="21"/>
          <w:szCs w:val="21"/>
          <w:color w:val="auto"/>
        </w:rPr>
        <w:t>premiums;</w:t>
      </w:r>
    </w:p>
    <w:p>
      <w:pPr>
        <w:spacing w:after="0" w:line="164" w:lineRule="exact"/>
        <w:rPr>
          <w:rFonts w:ascii="Arial" w:cs="Arial" w:eastAsia="Arial" w:hAnsi="Arial"/>
          <w:sz w:val="20"/>
          <w:szCs w:val="20"/>
          <w:color w:val="auto"/>
        </w:rPr>
      </w:pPr>
    </w:p>
    <w:p>
      <w:pPr>
        <w:jc w:val="both"/>
        <w:ind w:firstLine="1036"/>
        <w:spacing w:after="0" w:line="222" w:lineRule="auto"/>
        <w:tabs>
          <w:tab w:leader="none" w:pos="1522" w:val="left"/>
        </w:tabs>
        <w:numPr>
          <w:ilvl w:val="0"/>
          <w:numId w:val="204"/>
        </w:numPr>
        <w:rPr>
          <w:rFonts w:ascii="Arial" w:cs="Arial" w:eastAsia="Arial" w:hAnsi="Arial"/>
          <w:sz w:val="21"/>
          <w:szCs w:val="21"/>
          <w:color w:val="auto"/>
        </w:rPr>
      </w:pPr>
      <w:r>
        <w:rPr>
          <w:rFonts w:ascii="Arial" w:cs="Arial" w:eastAsia="Arial" w:hAnsi="Arial"/>
          <w:sz w:val="21"/>
          <w:szCs w:val="21"/>
          <w:color w:val="auto"/>
        </w:rPr>
        <w:t>statutory and common law rights of setoff and other Liens, similar rights and remedies arising as a matter of law encumbering deposits of cash, securities, commodities and other funds in favor of banks, financial institutions, other depository institutions, securities or commodities intermediaries or brokerage, and Liens of a collecting bank arising under Section 4-208 or 4-210 of the UCC in effect in the relevant jurisdiction or any similar law of any foreign jurisdiction on items in the course of collection;</w:t>
      </w:r>
    </w:p>
    <w:p>
      <w:pPr>
        <w:spacing w:after="0" w:line="155" w:lineRule="exact"/>
        <w:rPr>
          <w:sz w:val="20"/>
          <w:szCs w:val="20"/>
          <w:color w:val="auto"/>
        </w:rPr>
      </w:pPr>
    </w:p>
    <w:p>
      <w:pPr>
        <w:ind w:left="640" w:firstLine="638"/>
        <w:spacing w:after="0" w:line="239" w:lineRule="auto"/>
        <w:tabs>
          <w:tab w:leader="none" w:pos="1789" w:val="left"/>
        </w:tabs>
        <w:numPr>
          <w:ilvl w:val="1"/>
          <w:numId w:val="205"/>
        </w:numPr>
        <w:rPr>
          <w:rFonts w:ascii="Arial" w:cs="Arial" w:eastAsia="Arial" w:hAnsi="Arial"/>
          <w:sz w:val="21"/>
          <w:szCs w:val="21"/>
          <w:color w:val="auto"/>
        </w:rPr>
      </w:pPr>
      <w:r>
        <w:rPr>
          <w:rFonts w:ascii="Arial" w:cs="Arial" w:eastAsia="Arial" w:hAnsi="Arial"/>
          <w:sz w:val="21"/>
          <w:szCs w:val="21"/>
          <w:color w:val="auto"/>
        </w:rPr>
        <w:t>Liens in favor of customs and revenue authorities arising as a matter of law to secure payment of customs duties in connection with the importation of goods in the ordinary course of business;</w:t>
      </w:r>
    </w:p>
    <w:p>
      <w:pPr>
        <w:spacing w:after="0" w:line="155" w:lineRule="exact"/>
        <w:rPr>
          <w:rFonts w:ascii="Arial" w:cs="Arial" w:eastAsia="Arial" w:hAnsi="Arial"/>
          <w:sz w:val="21"/>
          <w:szCs w:val="21"/>
          <w:color w:val="auto"/>
        </w:rPr>
      </w:pPr>
    </w:p>
    <w:p>
      <w:pPr>
        <w:ind w:firstLine="1036"/>
        <w:spacing w:after="0" w:line="239" w:lineRule="auto"/>
        <w:tabs>
          <w:tab w:leader="none" w:pos="1611" w:val="left"/>
        </w:tabs>
        <w:numPr>
          <w:ilvl w:val="0"/>
          <w:numId w:val="206"/>
        </w:numPr>
        <w:rPr>
          <w:rFonts w:ascii="Arial" w:cs="Arial" w:eastAsia="Arial" w:hAnsi="Arial"/>
          <w:sz w:val="21"/>
          <w:szCs w:val="21"/>
          <w:color w:val="auto"/>
        </w:rPr>
      </w:pPr>
      <w:r>
        <w:rPr>
          <w:rFonts w:ascii="Arial" w:cs="Arial" w:eastAsia="Arial" w:hAnsi="Arial"/>
          <w:sz w:val="21"/>
          <w:szCs w:val="21"/>
          <w:color w:val="auto"/>
        </w:rPr>
        <w:t>Liens on any cash earnest money deposits made by the Borrower or any of its Subsidiaries in connection with any Acquisition permitted by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99</w:t>
      </w:r>
    </w:p>
    <w:p>
      <w:pPr>
        <w:sectPr>
          <w:pgSz w:w="11900" w:h="16838" w:orient="portrait"/>
          <w:cols w:equalWidth="0" w:num="1">
            <w:col w:w="11200"/>
          </w:cols>
          <w:pgMar w:left="320" w:top="1152" w:right="379" w:bottom="1440" w:gutter="0" w:footer="0" w:header="0"/>
        </w:sectPr>
      </w:pPr>
    </w:p>
    <w:bookmarkStart w:id="238" w:name="page239"/>
    <w:bookmarkEnd w:id="238"/>
    <w:p>
      <w:pPr>
        <w:spacing w:after="0"/>
        <w:rPr>
          <w:sz w:val="20"/>
          <w:szCs w:val="20"/>
          <w:color w:val="auto"/>
        </w:rPr>
      </w:pPr>
      <w:r>
        <w:rPr>
          <w:rFonts w:ascii="Arial" w:cs="Arial" w:eastAsia="Arial" w:hAnsi="Arial"/>
          <w:sz w:val="21"/>
          <w:szCs w:val="21"/>
          <w:color w:val="auto"/>
        </w:rPr>
        <w:t>including, without limitation, in connection with any letter of intent or purchase agreement relating thereto;</w:t>
      </w:r>
    </w:p>
    <w:p>
      <w:pPr>
        <w:spacing w:after="0" w:line="183" w:lineRule="exact"/>
        <w:rPr>
          <w:sz w:val="20"/>
          <w:szCs w:val="20"/>
          <w:color w:val="auto"/>
        </w:rPr>
      </w:pPr>
    </w:p>
    <w:p>
      <w:pPr>
        <w:ind w:firstLine="1036"/>
        <w:spacing w:after="0" w:line="263" w:lineRule="auto"/>
        <w:tabs>
          <w:tab w:leader="none" w:pos="1588" w:val="left"/>
        </w:tabs>
        <w:numPr>
          <w:ilvl w:val="1"/>
          <w:numId w:val="207"/>
        </w:numPr>
        <w:rPr>
          <w:rFonts w:ascii="Arial" w:cs="Arial" w:eastAsia="Arial" w:hAnsi="Arial"/>
          <w:sz w:val="20"/>
          <w:szCs w:val="20"/>
          <w:color w:val="auto"/>
        </w:rPr>
      </w:pPr>
      <w:r>
        <w:rPr>
          <w:rFonts w:ascii="Arial" w:cs="Arial" w:eastAsia="Arial" w:hAnsi="Arial"/>
          <w:sz w:val="20"/>
          <w:szCs w:val="20"/>
          <w:color w:val="auto"/>
        </w:rPr>
        <w:t xml:space="preserve">in connection with the sale or transfer of any assets in a transaction permitted under </w:t>
      </w:r>
      <w:r>
        <w:rPr>
          <w:rFonts w:ascii="Arial" w:cs="Arial" w:eastAsia="Arial" w:hAnsi="Arial"/>
          <w:sz w:val="20"/>
          <w:szCs w:val="20"/>
          <w:u w:val="single" w:color="auto"/>
          <w:color w:val="auto"/>
        </w:rPr>
        <w:t>Section 7.04</w:t>
      </w:r>
      <w:r>
        <w:rPr>
          <w:rFonts w:ascii="Arial" w:cs="Arial" w:eastAsia="Arial" w:hAnsi="Arial"/>
          <w:sz w:val="20"/>
          <w:szCs w:val="20"/>
          <w:color w:val="auto"/>
        </w:rPr>
        <w:t>, customary rights and restrictions contained in agreements relating to such sale or transfer pending the completion thereof;</w:t>
      </w:r>
    </w:p>
    <w:p>
      <w:pPr>
        <w:spacing w:after="0" w:line="131" w:lineRule="exact"/>
        <w:rPr>
          <w:rFonts w:ascii="Arial" w:cs="Arial" w:eastAsia="Arial" w:hAnsi="Arial"/>
          <w:sz w:val="20"/>
          <w:szCs w:val="20"/>
          <w:color w:val="auto"/>
        </w:rPr>
      </w:pPr>
    </w:p>
    <w:p>
      <w:pPr>
        <w:ind w:left="1500" w:hanging="464"/>
        <w:spacing w:after="0"/>
        <w:tabs>
          <w:tab w:leader="none" w:pos="1500" w:val="left"/>
        </w:tabs>
        <w:numPr>
          <w:ilvl w:val="1"/>
          <w:numId w:val="207"/>
        </w:numPr>
        <w:rPr>
          <w:rFonts w:ascii="Arial" w:cs="Arial" w:eastAsia="Arial" w:hAnsi="Arial"/>
          <w:sz w:val="19"/>
          <w:szCs w:val="19"/>
          <w:color w:val="auto"/>
        </w:rPr>
      </w:pPr>
      <w:r>
        <w:rPr>
          <w:rFonts w:ascii="Arial" w:cs="Arial" w:eastAsia="Arial" w:hAnsi="Arial"/>
          <w:sz w:val="19"/>
          <w:szCs w:val="19"/>
          <w:color w:val="auto"/>
        </w:rPr>
        <w:t>Liens in the nature of the right of setoff in favor of counterparties to contractual agreements with the Loan Parties</w:t>
      </w:r>
    </w:p>
    <w:p>
      <w:pPr>
        <w:spacing w:after="0" w:line="11" w:lineRule="exact"/>
        <w:rPr>
          <w:rFonts w:ascii="Arial" w:cs="Arial" w:eastAsia="Arial" w:hAnsi="Arial"/>
          <w:sz w:val="19"/>
          <w:szCs w:val="19"/>
          <w:color w:val="auto"/>
        </w:rPr>
      </w:pPr>
    </w:p>
    <w:p>
      <w:pPr>
        <w:ind w:left="260" w:hanging="254"/>
        <w:spacing w:after="0"/>
        <w:tabs>
          <w:tab w:leader="none" w:pos="260" w:val="left"/>
        </w:tabs>
        <w:numPr>
          <w:ilvl w:val="0"/>
          <w:numId w:val="208"/>
        </w:numPr>
        <w:rPr>
          <w:rFonts w:ascii="Arial" w:cs="Arial" w:eastAsia="Arial" w:hAnsi="Arial"/>
          <w:sz w:val="21"/>
          <w:szCs w:val="21"/>
          <w:color w:val="auto"/>
        </w:rPr>
      </w:pPr>
      <w:r>
        <w:rPr>
          <w:rFonts w:ascii="Arial" w:cs="Arial" w:eastAsia="Arial" w:hAnsi="Arial"/>
          <w:sz w:val="21"/>
          <w:szCs w:val="21"/>
          <w:color w:val="auto"/>
        </w:rPr>
        <w:t>in the ordinary course of business or (ii) otherwise permitted hereunder other than in connection with Indebtedness;</w:t>
      </w:r>
    </w:p>
    <w:p>
      <w:pPr>
        <w:spacing w:after="0" w:line="164" w:lineRule="exact"/>
        <w:rPr>
          <w:rFonts w:ascii="Arial" w:cs="Arial" w:eastAsia="Arial" w:hAnsi="Arial"/>
          <w:sz w:val="21"/>
          <w:szCs w:val="21"/>
          <w:color w:val="auto"/>
        </w:rPr>
      </w:pPr>
    </w:p>
    <w:p>
      <w:pPr>
        <w:ind w:left="1500" w:hanging="464"/>
        <w:spacing w:after="0"/>
        <w:tabs>
          <w:tab w:leader="none" w:pos="1500" w:val="left"/>
        </w:tabs>
        <w:numPr>
          <w:ilvl w:val="1"/>
          <w:numId w:val="208"/>
        </w:numPr>
        <w:rPr>
          <w:rFonts w:ascii="Arial" w:cs="Arial" w:eastAsia="Arial" w:hAnsi="Arial"/>
          <w:sz w:val="21"/>
          <w:szCs w:val="21"/>
          <w:color w:val="auto"/>
        </w:rPr>
      </w:pPr>
      <w:r>
        <w:rPr>
          <w:rFonts w:ascii="Arial" w:cs="Arial" w:eastAsia="Arial" w:hAnsi="Arial"/>
          <w:sz w:val="21"/>
          <w:szCs w:val="21"/>
          <w:color w:val="auto"/>
        </w:rPr>
        <w:t xml:space="preserve">dispositions and other sales of assets permitted under </w:t>
      </w:r>
      <w:r>
        <w:rPr>
          <w:rFonts w:ascii="Arial" w:cs="Arial" w:eastAsia="Arial" w:hAnsi="Arial"/>
          <w:sz w:val="21"/>
          <w:szCs w:val="21"/>
          <w:u w:val="single" w:color="auto"/>
          <w:color w:val="auto"/>
        </w:rPr>
        <w:t>Section 7.04</w:t>
      </w:r>
      <w:r>
        <w:rPr>
          <w:rFonts w:ascii="Arial" w:cs="Arial" w:eastAsia="Arial" w:hAnsi="Arial"/>
          <w:sz w:val="21"/>
          <w:szCs w:val="21"/>
          <w:color w:val="auto"/>
        </w:rPr>
        <w:t>;</w:t>
      </w:r>
    </w:p>
    <w:p>
      <w:pPr>
        <w:spacing w:after="0" w:line="182" w:lineRule="exact"/>
        <w:rPr>
          <w:rFonts w:ascii="Arial" w:cs="Arial" w:eastAsia="Arial" w:hAnsi="Arial"/>
          <w:sz w:val="21"/>
          <w:szCs w:val="21"/>
          <w:color w:val="auto"/>
        </w:rPr>
      </w:pPr>
    </w:p>
    <w:p>
      <w:pPr>
        <w:ind w:left="1500" w:hanging="464"/>
        <w:spacing w:after="0"/>
        <w:tabs>
          <w:tab w:leader="none" w:pos="1500" w:val="left"/>
        </w:tabs>
        <w:numPr>
          <w:ilvl w:val="1"/>
          <w:numId w:val="208"/>
        </w:numPr>
        <w:rPr>
          <w:rFonts w:ascii="Arial" w:cs="Arial" w:eastAsia="Arial" w:hAnsi="Arial"/>
          <w:sz w:val="21"/>
          <w:szCs w:val="21"/>
          <w:color w:val="auto"/>
        </w:rPr>
      </w:pPr>
      <w:r>
        <w:rPr>
          <w:rFonts w:ascii="Arial" w:cs="Arial" w:eastAsia="Arial" w:hAnsi="Arial"/>
          <w:sz w:val="21"/>
          <w:szCs w:val="21"/>
          <w:color w:val="auto"/>
        </w:rPr>
        <w:t>to the extent constituting a Lien, Liens with respect to repurchase obligations related to investments;</w:t>
      </w:r>
    </w:p>
    <w:p>
      <w:pPr>
        <w:spacing w:after="0" w:line="182" w:lineRule="exact"/>
        <w:rPr>
          <w:rFonts w:ascii="Arial" w:cs="Arial" w:eastAsia="Arial" w:hAnsi="Arial"/>
          <w:sz w:val="21"/>
          <w:szCs w:val="21"/>
          <w:color w:val="auto"/>
        </w:rPr>
      </w:pPr>
    </w:p>
    <w:p>
      <w:pPr>
        <w:jc w:val="both"/>
        <w:ind w:firstLine="1036"/>
        <w:spacing w:after="0" w:line="230" w:lineRule="auto"/>
        <w:tabs>
          <w:tab w:leader="none" w:pos="1593" w:val="left"/>
        </w:tabs>
        <w:numPr>
          <w:ilvl w:val="1"/>
          <w:numId w:val="208"/>
        </w:numPr>
        <w:rPr>
          <w:rFonts w:ascii="Arial" w:cs="Arial" w:eastAsia="Arial" w:hAnsi="Arial"/>
          <w:sz w:val="21"/>
          <w:szCs w:val="21"/>
          <w:color w:val="auto"/>
        </w:rPr>
      </w:pPr>
      <w:r>
        <w:rPr>
          <w:rFonts w:ascii="Arial" w:cs="Arial" w:eastAsia="Arial" w:hAnsi="Arial"/>
          <w:sz w:val="21"/>
          <w:szCs w:val="21"/>
          <w:color w:val="auto"/>
        </w:rPr>
        <w:t>Liens in favor of a credit card or debit card processor arising in the ordinary course of business under any processor agreement and relating solely to the amounts paid or payable thereunder, or customary deposits on reserve held by such credit card or debit card processor;</w:t>
      </w:r>
    </w:p>
    <w:p>
      <w:pPr>
        <w:spacing w:after="0" w:line="153" w:lineRule="exact"/>
        <w:rPr>
          <w:rFonts w:ascii="Arial" w:cs="Arial" w:eastAsia="Arial" w:hAnsi="Arial"/>
          <w:sz w:val="21"/>
          <w:szCs w:val="21"/>
          <w:color w:val="auto"/>
        </w:rPr>
      </w:pPr>
    </w:p>
    <w:p>
      <w:pPr>
        <w:jc w:val="both"/>
        <w:ind w:firstLine="1036"/>
        <w:spacing w:after="0" w:line="225" w:lineRule="auto"/>
        <w:tabs>
          <w:tab w:leader="none" w:pos="1534" w:val="left"/>
        </w:tabs>
        <w:numPr>
          <w:ilvl w:val="1"/>
          <w:numId w:val="208"/>
        </w:numPr>
        <w:rPr>
          <w:rFonts w:ascii="Arial" w:cs="Arial" w:eastAsia="Arial" w:hAnsi="Arial"/>
          <w:sz w:val="21"/>
          <w:szCs w:val="21"/>
          <w:color w:val="auto"/>
        </w:rPr>
      </w:pPr>
      <w:r>
        <w:rPr>
          <w:rFonts w:ascii="Arial" w:cs="Arial" w:eastAsia="Arial" w:hAnsi="Arial"/>
          <w:sz w:val="21"/>
          <w:szCs w:val="21"/>
          <w:color w:val="auto"/>
        </w:rPr>
        <w:t>Liens that are contractual rights of set-off (i) relating to the establishment of depositary relations with banks or other financial institutions not given in connection with the issuance of Indebtedness, or (ii) relating to pooled deposit or sweep accounts of any Loan Party or any Subsidiary to permit satisfaction of overdraft or similar obligations incurred in the ordinary course of business of the any such Loan Party or Subsidiary;</w:t>
      </w:r>
    </w:p>
    <w:p>
      <w:pPr>
        <w:spacing w:after="0" w:line="154" w:lineRule="exact"/>
        <w:rPr>
          <w:rFonts w:ascii="Arial" w:cs="Arial" w:eastAsia="Arial" w:hAnsi="Arial"/>
          <w:sz w:val="21"/>
          <w:szCs w:val="21"/>
          <w:color w:val="auto"/>
        </w:rPr>
      </w:pPr>
    </w:p>
    <w:p>
      <w:pPr>
        <w:jc w:val="both"/>
        <w:ind w:firstLine="1036"/>
        <w:spacing w:after="0" w:line="230" w:lineRule="auto"/>
        <w:tabs>
          <w:tab w:leader="none" w:pos="1472" w:val="left"/>
        </w:tabs>
        <w:numPr>
          <w:ilvl w:val="1"/>
          <w:numId w:val="208"/>
        </w:numPr>
        <w:rPr>
          <w:rFonts w:ascii="Arial" w:cs="Arial" w:eastAsia="Arial" w:hAnsi="Arial"/>
          <w:sz w:val="21"/>
          <w:szCs w:val="21"/>
          <w:color w:val="auto"/>
        </w:rPr>
      </w:pPr>
      <w:r>
        <w:rPr>
          <w:rFonts w:ascii="Arial" w:cs="Arial" w:eastAsia="Arial" w:hAnsi="Arial"/>
          <w:sz w:val="21"/>
          <w:szCs w:val="21"/>
          <w:color w:val="auto"/>
        </w:rPr>
        <w:t>Liens of sellers of goods to any Loan Party and any of their respective Subsidiaries arising under Article II of the UCC or similar provisions of applicable law in the ordinary course of business, covering only the goods sold and securing only the unpaid purchase price for such goods and related expenses;</w:t>
      </w:r>
    </w:p>
    <w:p>
      <w:pPr>
        <w:spacing w:after="0" w:line="153" w:lineRule="exact"/>
        <w:rPr>
          <w:rFonts w:ascii="Arial" w:cs="Arial" w:eastAsia="Arial" w:hAnsi="Arial"/>
          <w:sz w:val="21"/>
          <w:szCs w:val="21"/>
          <w:color w:val="auto"/>
        </w:rPr>
      </w:pPr>
    </w:p>
    <w:p>
      <w:pPr>
        <w:jc w:val="both"/>
        <w:ind w:firstLine="1036"/>
        <w:spacing w:after="0" w:line="227" w:lineRule="auto"/>
        <w:tabs>
          <w:tab w:leader="none" w:pos="1540" w:val="left"/>
        </w:tabs>
        <w:numPr>
          <w:ilvl w:val="1"/>
          <w:numId w:val="208"/>
        </w:numPr>
        <w:rPr>
          <w:rFonts w:ascii="Arial" w:cs="Arial" w:eastAsia="Arial" w:hAnsi="Arial"/>
          <w:sz w:val="20"/>
          <w:szCs w:val="20"/>
          <w:color w:val="auto"/>
        </w:rPr>
      </w:pPr>
      <w:r>
        <w:rPr>
          <w:rFonts w:ascii="Arial" w:cs="Arial" w:eastAsia="Arial" w:hAnsi="Arial"/>
          <w:sz w:val="20"/>
          <w:szCs w:val="20"/>
          <w:color w:val="auto"/>
        </w:rPr>
        <w:t xml:space="preserve">any Lien existing on any property or asset prior to the acquisition thereof by the Borrower or any Subsidiary or existing on any property or asset of any Person that becomes a Subsidiary after the date hereof prior to the time such Person becomes a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such Lien is not created in contemplation of or in connection with such acquisition or such Person becoming a Subsidiary, as the case may be, (ii) such Lien shall not apply to any other property or assets of the Borrower or any Subsidiary, (iii) such Lien shall secure only those obligations which it secures on the date of such acquisition or the date such Person becomes a Subsidiary, as the case may be, and extensions, renewals and replacements thereof that do not increase the outstanding principal amount thereof (except by the amount of any accrued interest and premiums with respect to such Indebtedness and transaction fees, costs and expenses in connection with such extension, renewal or replacement thereof) and (iv) the aggregate principal amount of Indebtedness and other obligations secured by any Lien permitted by this clause (u) shall not exceed $100,000,000 at any time outstanding;</w:t>
      </w:r>
    </w:p>
    <w:p>
      <w:pPr>
        <w:spacing w:after="0" w:line="156" w:lineRule="exact"/>
        <w:rPr>
          <w:rFonts w:ascii="Arial" w:cs="Arial" w:eastAsia="Arial" w:hAnsi="Arial"/>
          <w:sz w:val="20"/>
          <w:szCs w:val="20"/>
          <w:color w:val="auto"/>
        </w:rPr>
      </w:pPr>
    </w:p>
    <w:p>
      <w:pPr>
        <w:jc w:val="both"/>
        <w:ind w:firstLine="1036"/>
        <w:spacing w:after="0" w:line="225" w:lineRule="auto"/>
        <w:tabs>
          <w:tab w:leader="none" w:pos="1578" w:val="left"/>
        </w:tabs>
        <w:numPr>
          <w:ilvl w:val="1"/>
          <w:numId w:val="208"/>
        </w:numPr>
        <w:rPr>
          <w:rFonts w:ascii="Arial" w:cs="Arial" w:eastAsia="Arial" w:hAnsi="Arial"/>
          <w:sz w:val="21"/>
          <w:szCs w:val="21"/>
          <w:color w:val="auto"/>
        </w:rPr>
      </w:pPr>
      <w:r>
        <w:rPr>
          <w:rFonts w:ascii="Arial" w:cs="Arial" w:eastAsia="Arial" w:hAnsi="Arial"/>
          <w:sz w:val="21"/>
          <w:szCs w:val="21"/>
          <w:color w:val="auto"/>
        </w:rPr>
        <w:t xml:space="preserve">Liens not securing Indebtedness that are created or deemed to exist in favor of any purchaser or transferee of assets, accounts, or other rights to payment in connection with any Disposition permitted under </w:t>
      </w:r>
      <w:r>
        <w:rPr>
          <w:rFonts w:ascii="Arial" w:cs="Arial" w:eastAsia="Arial" w:hAnsi="Arial"/>
          <w:sz w:val="21"/>
          <w:szCs w:val="21"/>
          <w:u w:val="single" w:color="auto"/>
          <w:color w:val="auto"/>
        </w:rPr>
        <w:t>Section 7.04</w:t>
      </w:r>
      <w:r>
        <w:rPr>
          <w:rFonts w:ascii="Arial" w:cs="Arial" w:eastAsia="Arial" w:hAnsi="Arial"/>
          <w:sz w:val="21"/>
          <w:szCs w:val="21"/>
          <w:color w:val="auto"/>
        </w:rPr>
        <w:t>, including UCC financing statements (or equivalent filings or registrations in foreign jurisdictions) that evidence or perfect the interests of such purchasers or transferees;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100</w:t>
      </w:r>
    </w:p>
    <w:p>
      <w:pPr>
        <w:sectPr>
          <w:pgSz w:w="11900" w:h="16838" w:orient="portrait"/>
          <w:cols w:equalWidth="0" w:num="1">
            <w:col w:w="11200"/>
          </w:cols>
          <w:pgMar w:left="320" w:top="1152" w:right="379" w:bottom="1440" w:gutter="0" w:footer="0" w:header="0"/>
        </w:sectPr>
      </w:pPr>
    </w:p>
    <w:bookmarkStart w:id="239" w:name="page240"/>
    <w:bookmarkEnd w:id="239"/>
    <w:p>
      <w:pPr>
        <w:jc w:val="both"/>
        <w:ind w:firstLine="1036"/>
        <w:spacing w:after="0" w:line="222" w:lineRule="auto"/>
        <w:tabs>
          <w:tab w:leader="none" w:pos="1622" w:val="left"/>
        </w:tabs>
        <w:numPr>
          <w:ilvl w:val="0"/>
          <w:numId w:val="209"/>
        </w:numPr>
        <w:rPr>
          <w:rFonts w:ascii="Arial" w:cs="Arial" w:eastAsia="Arial" w:hAnsi="Arial"/>
          <w:sz w:val="21"/>
          <w:szCs w:val="21"/>
          <w:color w:val="auto"/>
        </w:rPr>
      </w:pPr>
      <w:r>
        <w:rPr>
          <w:rFonts w:ascii="Arial" w:cs="Arial" w:eastAsia="Arial" w:hAnsi="Arial"/>
          <w:sz w:val="21"/>
          <w:szCs w:val="21"/>
          <w:color w:val="auto"/>
        </w:rPr>
        <w:t xml:space="preserve">other Liens securing other Indebtedness (and obligations relating thereto not constituting Indebtedness) of the Borrower and its Subsidiaries;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at the time any such Lien or Indebtedness is created, incurred or assumed, the aggregate outstanding principal amount of Indebtedness secured pursuant to this clause (w), when added to, without duplication, the aggregate outstanding principal amount of Indebtedness permitted pursuant to </w:t>
      </w:r>
      <w:r>
        <w:rPr>
          <w:rFonts w:ascii="Arial" w:cs="Arial" w:eastAsia="Arial" w:hAnsi="Arial"/>
          <w:sz w:val="21"/>
          <w:szCs w:val="21"/>
          <w:u w:val="single" w:color="auto"/>
          <w:color w:val="auto"/>
        </w:rPr>
        <w:t>Section 7.02(f)</w:t>
      </w:r>
      <w:r>
        <w:rPr>
          <w:rFonts w:ascii="Arial" w:cs="Arial" w:eastAsia="Arial" w:hAnsi="Arial"/>
          <w:sz w:val="21"/>
          <w:szCs w:val="21"/>
          <w:color w:val="auto"/>
        </w:rPr>
        <w:t>, does not exceed $100,000,000 at any time outstanding.</w:t>
      </w:r>
    </w:p>
    <w:p>
      <w:pPr>
        <w:spacing w:after="0" w:line="144" w:lineRule="exact"/>
        <w:rPr>
          <w:sz w:val="20"/>
          <w:szCs w:val="20"/>
          <w:color w:val="auto"/>
        </w:rPr>
      </w:pPr>
    </w:p>
    <w:p>
      <w:pPr>
        <w:ind w:left="960"/>
        <w:spacing w:after="0"/>
        <w:tabs>
          <w:tab w:leader="none" w:pos="2260" w:val="left"/>
        </w:tabs>
        <w:rPr>
          <w:sz w:val="20"/>
          <w:szCs w:val="20"/>
          <w:color w:val="auto"/>
        </w:rPr>
      </w:pPr>
      <w:r>
        <w:rPr>
          <w:rFonts w:ascii="Arial" w:cs="Arial" w:eastAsia="Arial" w:hAnsi="Arial"/>
          <w:sz w:val="21"/>
          <w:szCs w:val="21"/>
          <w:color w:val="auto"/>
        </w:rPr>
        <w:t>Section 7.02</w:t>
      </w:r>
      <w:r>
        <w:rPr>
          <w:sz w:val="20"/>
          <w:szCs w:val="20"/>
          <w:color w:val="auto"/>
        </w:rPr>
        <w:tab/>
      </w:r>
      <w:r>
        <w:rPr>
          <w:rFonts w:ascii="Arial" w:cs="Arial" w:eastAsia="Arial" w:hAnsi="Arial"/>
          <w:sz w:val="19"/>
          <w:szCs w:val="19"/>
          <w:u w:val="single" w:color="auto"/>
          <w:color w:val="auto"/>
        </w:rPr>
        <w:t>Subsidiary Indebtedness</w:t>
      </w:r>
      <w:r>
        <w:rPr>
          <w:rFonts w:ascii="Arial" w:cs="Arial" w:eastAsia="Arial" w:hAnsi="Arial"/>
          <w:sz w:val="19"/>
          <w:szCs w:val="19"/>
          <w:color w:val="auto"/>
        </w:rPr>
        <w:t>. The Borrower will not permit any Subsidiary (other than the Borrower or any</w:t>
      </w:r>
    </w:p>
    <w:p>
      <w:pPr>
        <w:spacing w:after="0"/>
        <w:rPr>
          <w:sz w:val="20"/>
          <w:szCs w:val="20"/>
          <w:color w:val="auto"/>
        </w:rPr>
      </w:pPr>
      <w:r>
        <w:rPr>
          <w:rFonts w:ascii="Arial" w:cs="Arial" w:eastAsia="Arial" w:hAnsi="Arial"/>
          <w:sz w:val="21"/>
          <w:szCs w:val="21"/>
          <w:color w:val="auto"/>
        </w:rPr>
        <w:t>Subsidiary Guarantor) to create, incur, assume or permit to exist any Indebtedness, other than:</w:t>
      </w:r>
    </w:p>
    <w:p>
      <w:pPr>
        <w:spacing w:after="0" w:line="165" w:lineRule="exact"/>
        <w:rPr>
          <w:sz w:val="20"/>
          <w:szCs w:val="20"/>
          <w:color w:val="auto"/>
        </w:rPr>
      </w:pPr>
    </w:p>
    <w:p>
      <w:pPr>
        <w:jc w:val="both"/>
        <w:ind w:firstLine="1036"/>
        <w:spacing w:after="0" w:line="236" w:lineRule="auto"/>
        <w:tabs>
          <w:tab w:leader="none" w:pos="1543" w:val="left"/>
        </w:tabs>
        <w:numPr>
          <w:ilvl w:val="1"/>
          <w:numId w:val="210"/>
        </w:numPr>
        <w:rPr>
          <w:rFonts w:ascii="Arial" w:cs="Arial" w:eastAsia="Arial" w:hAnsi="Arial"/>
          <w:sz w:val="20"/>
          <w:szCs w:val="20"/>
          <w:color w:val="auto"/>
        </w:rPr>
      </w:pPr>
      <w:r>
        <w:rPr>
          <w:rFonts w:ascii="Arial" w:cs="Arial" w:eastAsia="Arial" w:hAnsi="Arial"/>
          <w:sz w:val="20"/>
          <w:szCs w:val="20"/>
          <w:color w:val="auto"/>
        </w:rPr>
        <w:t xml:space="preserve">Indebtedness outstanding on the Effective Date and set forth on </w:t>
      </w:r>
      <w:r>
        <w:rPr>
          <w:rFonts w:ascii="Arial" w:cs="Arial" w:eastAsia="Arial" w:hAnsi="Arial"/>
          <w:sz w:val="20"/>
          <w:szCs w:val="20"/>
          <w:u w:val="single" w:color="auto"/>
          <w:color w:val="auto"/>
        </w:rPr>
        <w:t>Schedule 7</w:t>
      </w:r>
      <w:r>
        <w:rPr>
          <w:rFonts w:ascii="Arial" w:cs="Arial" w:eastAsia="Arial" w:hAnsi="Arial"/>
          <w:sz w:val="20"/>
          <w:szCs w:val="20"/>
          <w:color w:val="auto"/>
        </w:rPr>
        <w:t>.</w:t>
      </w:r>
      <w:r>
        <w:rPr>
          <w:rFonts w:ascii="Arial" w:cs="Arial" w:eastAsia="Arial" w:hAnsi="Arial"/>
          <w:sz w:val="20"/>
          <w:szCs w:val="20"/>
          <w:u w:val="single" w:color="auto"/>
          <w:color w:val="auto"/>
        </w:rPr>
        <w:t>02</w:t>
      </w:r>
      <w:r>
        <w:rPr>
          <w:rFonts w:ascii="Arial" w:cs="Arial" w:eastAsia="Arial" w:hAnsi="Arial"/>
          <w:sz w:val="20"/>
          <w:szCs w:val="20"/>
          <w:color w:val="auto"/>
        </w:rPr>
        <w:t xml:space="preserve"> and any renewals, extensions or refinancings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amount of such Indebtedness is not increased except by an amount equal to a reasonable premium or other reasonable amount paid, and fees and expenses reasonably incurred, in connection with any renewal, extension or refinancing thereof and by an amount equal to any existing commitments unutilized thereunder;</w:t>
      </w:r>
    </w:p>
    <w:p>
      <w:pPr>
        <w:spacing w:after="0" w:line="155" w:lineRule="exact"/>
        <w:rPr>
          <w:rFonts w:ascii="Arial" w:cs="Arial" w:eastAsia="Arial" w:hAnsi="Arial"/>
          <w:sz w:val="20"/>
          <w:szCs w:val="20"/>
          <w:color w:val="auto"/>
        </w:rPr>
      </w:pPr>
    </w:p>
    <w:p>
      <w:pPr>
        <w:ind w:left="1500" w:hanging="464"/>
        <w:spacing w:after="0"/>
        <w:tabs>
          <w:tab w:leader="none" w:pos="1500" w:val="left"/>
        </w:tabs>
        <w:numPr>
          <w:ilvl w:val="1"/>
          <w:numId w:val="210"/>
        </w:numPr>
        <w:rPr>
          <w:rFonts w:ascii="Arial" w:cs="Arial" w:eastAsia="Arial" w:hAnsi="Arial"/>
          <w:sz w:val="19"/>
          <w:szCs w:val="19"/>
          <w:color w:val="auto"/>
        </w:rPr>
      </w:pPr>
      <w:r>
        <w:rPr>
          <w:rFonts w:ascii="Arial" w:cs="Arial" w:eastAsia="Arial" w:hAnsi="Arial"/>
          <w:sz w:val="19"/>
          <w:szCs w:val="19"/>
          <w:color w:val="auto"/>
        </w:rPr>
        <w:t xml:space="preserve">obligations (contingent or otherwise) of any Subsidiary existing or arising under any Swap Contract;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1" w:lineRule="exact"/>
        <w:rPr>
          <w:rFonts w:ascii="Arial" w:cs="Arial" w:eastAsia="Arial" w:hAnsi="Arial"/>
          <w:sz w:val="19"/>
          <w:szCs w:val="19"/>
          <w:color w:val="auto"/>
        </w:rPr>
      </w:pPr>
    </w:p>
    <w:p>
      <w:pPr>
        <w:jc w:val="both"/>
        <w:ind w:firstLine="6"/>
        <w:spacing w:after="0" w:line="218" w:lineRule="auto"/>
        <w:tabs>
          <w:tab w:leader="none" w:pos="259" w:val="left"/>
        </w:tabs>
        <w:numPr>
          <w:ilvl w:val="0"/>
          <w:numId w:val="211"/>
        </w:numPr>
        <w:rPr>
          <w:rFonts w:ascii="Arial" w:cs="Arial" w:eastAsia="Arial" w:hAnsi="Arial"/>
          <w:sz w:val="21"/>
          <w:szCs w:val="21"/>
          <w:color w:val="auto"/>
        </w:rPr>
      </w:pPr>
      <w:r>
        <w:rPr>
          <w:rFonts w:ascii="Arial" w:cs="Arial" w:eastAsia="Arial" w:hAnsi="Arial"/>
          <w:sz w:val="21"/>
          <w:szCs w:val="21"/>
          <w:color w:val="auto"/>
        </w:rPr>
        <w:t>such obligations are (or were) entered into by such Person for the purpose of directly mitigating risks associated with liabilities, commitments, investments, assets, or property held or reasonably anticipated by such Person, or changes in the value of securities issued by such Person, and not for purposes of speculation or taking a “market view” and (ii) such Swap Contract does not contain any provision exonerating the non-defaulting party from its obligation to make payments on outstanding transactions to the defaulting party;</w:t>
      </w:r>
    </w:p>
    <w:p>
      <w:pPr>
        <w:spacing w:after="0" w:line="157" w:lineRule="exact"/>
        <w:rPr>
          <w:rFonts w:ascii="Arial" w:cs="Arial" w:eastAsia="Arial" w:hAnsi="Arial"/>
          <w:sz w:val="21"/>
          <w:szCs w:val="21"/>
          <w:color w:val="auto"/>
        </w:rPr>
      </w:pPr>
    </w:p>
    <w:p>
      <w:pPr>
        <w:ind w:left="1560" w:hanging="524"/>
        <w:spacing w:after="0"/>
        <w:tabs>
          <w:tab w:leader="none" w:pos="1560" w:val="left"/>
        </w:tabs>
        <w:numPr>
          <w:ilvl w:val="1"/>
          <w:numId w:val="211"/>
        </w:numPr>
        <w:rPr>
          <w:rFonts w:ascii="Arial" w:cs="Arial" w:eastAsia="Arial" w:hAnsi="Arial"/>
          <w:sz w:val="19"/>
          <w:szCs w:val="19"/>
          <w:color w:val="auto"/>
        </w:rPr>
      </w:pPr>
      <w:r>
        <w:rPr>
          <w:rFonts w:ascii="Arial" w:cs="Arial" w:eastAsia="Arial" w:hAnsi="Arial"/>
          <w:sz w:val="19"/>
          <w:szCs w:val="19"/>
          <w:color w:val="auto"/>
        </w:rPr>
        <w:t>Guarantees by any Subsidiary of Indebtedness otherwise permitted hereunder of any other Subsidiary or of the</w:t>
      </w:r>
    </w:p>
    <w:p>
      <w:pPr>
        <w:spacing w:after="0" w:line="1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Borrower;</w:t>
      </w:r>
    </w:p>
    <w:p>
      <w:pPr>
        <w:spacing w:after="0" w:line="164" w:lineRule="exact"/>
        <w:rPr>
          <w:rFonts w:ascii="Arial" w:cs="Arial" w:eastAsia="Arial" w:hAnsi="Arial"/>
          <w:sz w:val="19"/>
          <w:szCs w:val="19"/>
          <w:color w:val="auto"/>
        </w:rPr>
      </w:pPr>
    </w:p>
    <w:p>
      <w:pPr>
        <w:jc w:val="both"/>
        <w:ind w:firstLine="1036"/>
        <w:spacing w:after="0" w:line="230" w:lineRule="auto"/>
        <w:tabs>
          <w:tab w:leader="none" w:pos="1612" w:val="left"/>
        </w:tabs>
        <w:numPr>
          <w:ilvl w:val="1"/>
          <w:numId w:val="211"/>
        </w:numPr>
        <w:rPr>
          <w:rFonts w:ascii="Arial" w:cs="Arial" w:eastAsia="Arial" w:hAnsi="Arial"/>
          <w:sz w:val="20"/>
          <w:szCs w:val="20"/>
          <w:color w:val="auto"/>
        </w:rPr>
      </w:pPr>
      <w:r>
        <w:rPr>
          <w:rFonts w:ascii="Arial" w:cs="Arial" w:eastAsia="Arial" w:hAnsi="Arial"/>
          <w:sz w:val="20"/>
          <w:szCs w:val="20"/>
          <w:color w:val="auto"/>
        </w:rPr>
        <w:t xml:space="preserve">Indebtedness of any Person that becomes a Subsidiary (or of any Person not previously a Subsidiary that is merged or consolidated with or into a Subsidiary in a transaction or series of related transactions permitted hereunder) after the Effective Date existing at the time such Person becomes a Subsidiary (or is so merged or consolidated), and any renewals, extensions or refinancings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such Indebtedness is not created in contemplation of or in connection with such Person becoming a Subsidiary (or such merger or consolidation) and (ii) the amount of such Indebtedness is not increased, except by an amount equal to a reasonable premium or other reasonable amount paid, and fees and expenses reasonably incurred, in connection with any renewal, extension or refinancing of such Indebtedness;</w:t>
      </w:r>
    </w:p>
    <w:p>
      <w:pPr>
        <w:spacing w:after="0" w:line="153" w:lineRule="exact"/>
        <w:rPr>
          <w:rFonts w:ascii="Arial" w:cs="Arial" w:eastAsia="Arial" w:hAnsi="Arial"/>
          <w:sz w:val="20"/>
          <w:szCs w:val="20"/>
          <w:color w:val="auto"/>
        </w:rPr>
      </w:pPr>
    </w:p>
    <w:p>
      <w:pPr>
        <w:jc w:val="both"/>
        <w:ind w:firstLine="1036"/>
        <w:spacing w:after="0" w:line="222" w:lineRule="auto"/>
        <w:tabs>
          <w:tab w:leader="none" w:pos="1604" w:val="left"/>
        </w:tabs>
        <w:numPr>
          <w:ilvl w:val="1"/>
          <w:numId w:val="211"/>
        </w:numPr>
        <w:rPr>
          <w:rFonts w:ascii="Arial" w:cs="Arial" w:eastAsia="Arial" w:hAnsi="Arial"/>
          <w:sz w:val="21"/>
          <w:szCs w:val="21"/>
          <w:color w:val="auto"/>
        </w:rPr>
      </w:pPr>
      <w:r>
        <w:rPr>
          <w:rFonts w:ascii="Arial" w:cs="Arial" w:eastAsia="Arial" w:hAnsi="Arial"/>
          <w:sz w:val="21"/>
          <w:szCs w:val="21"/>
          <w:color w:val="auto"/>
        </w:rPr>
        <w:t>Indebtedness incurred to finance the acquisition, construction or improvement of any fixed or capital assets, including Capital Lease Obligations, or assumed in connection with the acquisition of any fixed or capital assets, and any extensions, renewals and refinancings thereof that do not increase the outstanding principal amount thereof except by an amount equal to a reasonable premium or other reasonable amount paid, and fees and expenses reasonably incurred, in connection with any renewal, extension or refinancing of such Indebtedness;</w:t>
      </w:r>
    </w:p>
    <w:p>
      <w:pPr>
        <w:spacing w:after="0" w:line="155" w:lineRule="exact"/>
        <w:rPr>
          <w:rFonts w:ascii="Arial" w:cs="Arial" w:eastAsia="Arial" w:hAnsi="Arial"/>
          <w:sz w:val="21"/>
          <w:szCs w:val="21"/>
          <w:color w:val="auto"/>
        </w:rPr>
      </w:pPr>
    </w:p>
    <w:p>
      <w:pPr>
        <w:ind w:firstLine="1036"/>
        <w:spacing w:after="0" w:line="290" w:lineRule="auto"/>
        <w:tabs>
          <w:tab w:leader="none" w:pos="1534" w:val="left"/>
        </w:tabs>
        <w:numPr>
          <w:ilvl w:val="1"/>
          <w:numId w:val="211"/>
        </w:numPr>
        <w:rPr>
          <w:rFonts w:ascii="Arial" w:cs="Arial" w:eastAsia="Arial" w:hAnsi="Arial"/>
          <w:sz w:val="19"/>
          <w:szCs w:val="19"/>
          <w:color w:val="auto"/>
        </w:rPr>
      </w:pPr>
      <w:r>
        <w:rPr>
          <w:rFonts w:ascii="Arial" w:cs="Arial" w:eastAsia="Arial" w:hAnsi="Arial"/>
          <w:sz w:val="19"/>
          <w:szCs w:val="19"/>
          <w:color w:val="auto"/>
        </w:rPr>
        <w:t xml:space="preserve">other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the time such Indebtedness is created, incurred or assumed, the aggregate outstanding principal amount of Indebtedness permitted by this clause (f), when added to, without duplication, the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101</w:t>
      </w:r>
    </w:p>
    <w:p>
      <w:pPr>
        <w:sectPr>
          <w:pgSz w:w="11900" w:h="16838" w:orient="portrait"/>
          <w:cols w:equalWidth="0" w:num="1">
            <w:col w:w="11200"/>
          </w:cols>
          <w:pgMar w:left="320" w:top="1152" w:right="379" w:bottom="1440" w:gutter="0" w:footer="0" w:header="0"/>
        </w:sectPr>
      </w:pPr>
    </w:p>
    <w:bookmarkStart w:id="240" w:name="page241"/>
    <w:bookmarkEnd w:id="240"/>
    <w:p>
      <w:pPr>
        <w:ind w:right="40"/>
        <w:spacing w:after="0" w:line="239" w:lineRule="auto"/>
        <w:rPr>
          <w:sz w:val="20"/>
          <w:szCs w:val="20"/>
          <w:color w:val="auto"/>
        </w:rPr>
      </w:pPr>
      <w:r>
        <w:rPr>
          <w:rFonts w:ascii="Arial" w:cs="Arial" w:eastAsia="Arial" w:hAnsi="Arial"/>
          <w:sz w:val="21"/>
          <w:szCs w:val="21"/>
          <w:color w:val="auto"/>
        </w:rPr>
        <w:t xml:space="preserve">outstanding principal amount of Indebtedness that is secured by Liens permitted by </w:t>
      </w:r>
      <w:r>
        <w:rPr>
          <w:rFonts w:ascii="Arial" w:cs="Arial" w:eastAsia="Arial" w:hAnsi="Arial"/>
          <w:sz w:val="21"/>
          <w:szCs w:val="21"/>
          <w:u w:val="single" w:color="auto"/>
          <w:color w:val="auto"/>
        </w:rPr>
        <w:t>Section 7.01(w)</w:t>
      </w:r>
      <w:r>
        <w:rPr>
          <w:rFonts w:ascii="Arial" w:cs="Arial" w:eastAsia="Arial" w:hAnsi="Arial"/>
          <w:sz w:val="21"/>
          <w:szCs w:val="21"/>
          <w:color w:val="auto"/>
        </w:rPr>
        <w:t>, does not exceed $100,000,000 at any time outstanding;</w:t>
      </w:r>
    </w:p>
    <w:p>
      <w:pPr>
        <w:spacing w:after="0" w:line="155" w:lineRule="exact"/>
        <w:rPr>
          <w:sz w:val="20"/>
          <w:szCs w:val="20"/>
          <w:color w:val="auto"/>
        </w:rPr>
      </w:pPr>
    </w:p>
    <w:p>
      <w:pPr>
        <w:ind w:right="40" w:firstLine="1036"/>
        <w:spacing w:after="0" w:line="239" w:lineRule="auto"/>
        <w:tabs>
          <w:tab w:leader="none" w:pos="1685" w:val="left"/>
        </w:tabs>
        <w:numPr>
          <w:ilvl w:val="1"/>
          <w:numId w:val="212"/>
        </w:numPr>
        <w:rPr>
          <w:rFonts w:ascii="Arial" w:cs="Arial" w:eastAsia="Arial" w:hAnsi="Arial"/>
          <w:sz w:val="21"/>
          <w:szCs w:val="21"/>
          <w:color w:val="auto"/>
        </w:rPr>
      </w:pPr>
      <w:r>
        <w:rPr>
          <w:rFonts w:ascii="Arial" w:cs="Arial" w:eastAsia="Arial" w:hAnsi="Arial"/>
          <w:sz w:val="21"/>
          <w:szCs w:val="21"/>
          <w:color w:val="auto"/>
        </w:rPr>
        <w:t xml:space="preserve">intercompany loans owed by any Subsidiary to Borrower or to any other Subsidiary;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Indebtedness shall not have been transferred or assigned to any Person other than Borrower or any Subsidiary;</w:t>
      </w:r>
    </w:p>
    <w:p>
      <w:pPr>
        <w:spacing w:after="0" w:line="155" w:lineRule="exact"/>
        <w:rPr>
          <w:rFonts w:ascii="Arial" w:cs="Arial" w:eastAsia="Arial" w:hAnsi="Arial"/>
          <w:sz w:val="21"/>
          <w:szCs w:val="21"/>
          <w:color w:val="auto"/>
        </w:rPr>
      </w:pPr>
    </w:p>
    <w:p>
      <w:pPr>
        <w:ind w:right="40" w:firstLine="1036"/>
        <w:spacing w:after="0" w:line="239" w:lineRule="auto"/>
        <w:tabs>
          <w:tab w:leader="none" w:pos="1613" w:val="left"/>
        </w:tabs>
        <w:numPr>
          <w:ilvl w:val="1"/>
          <w:numId w:val="212"/>
        </w:numPr>
        <w:rPr>
          <w:rFonts w:ascii="Arial" w:cs="Arial" w:eastAsia="Arial" w:hAnsi="Arial"/>
          <w:sz w:val="21"/>
          <w:szCs w:val="21"/>
          <w:color w:val="auto"/>
        </w:rPr>
      </w:pPr>
      <w:r>
        <w:rPr>
          <w:rFonts w:ascii="Arial" w:cs="Arial" w:eastAsia="Arial" w:hAnsi="Arial"/>
          <w:sz w:val="21"/>
          <w:szCs w:val="21"/>
          <w:color w:val="auto"/>
        </w:rPr>
        <w:t>obligations arising in connection with the administration and operation of cash management services for the Borrower and any of its Subsidiaries, including cash pooling arrangements and overdraft facilities;</w:t>
      </w:r>
    </w:p>
    <w:p>
      <w:pPr>
        <w:spacing w:after="0" w:line="155" w:lineRule="exact"/>
        <w:rPr>
          <w:rFonts w:ascii="Arial" w:cs="Arial" w:eastAsia="Arial" w:hAnsi="Arial"/>
          <w:sz w:val="21"/>
          <w:szCs w:val="21"/>
          <w:color w:val="auto"/>
        </w:rPr>
      </w:pPr>
    </w:p>
    <w:p>
      <w:pPr>
        <w:ind w:right="40" w:firstLine="518"/>
        <w:spacing w:after="0" w:line="290" w:lineRule="auto"/>
        <w:tabs>
          <w:tab w:leader="none" w:pos="1272" w:val="left"/>
        </w:tabs>
        <w:numPr>
          <w:ilvl w:val="0"/>
          <w:numId w:val="213"/>
        </w:numPr>
        <w:rPr>
          <w:rFonts w:ascii="Arial" w:cs="Arial" w:eastAsia="Arial" w:hAnsi="Arial"/>
          <w:sz w:val="19"/>
          <w:szCs w:val="19"/>
          <w:color w:val="auto"/>
        </w:rPr>
      </w:pPr>
      <w:r>
        <w:rPr>
          <w:rFonts w:ascii="Arial" w:cs="Arial" w:eastAsia="Arial" w:hAnsi="Arial"/>
          <w:sz w:val="19"/>
          <w:szCs w:val="19"/>
          <w:color w:val="auto"/>
        </w:rPr>
        <w:t>direct or contingent obligations arising under letters of credit (including standby and commercial), bankers’ acceptances, bank guarantees, surety bonds and similar instruments; obtained or applied for in the ordinary course of business; and</w:t>
      </w:r>
    </w:p>
    <w:p>
      <w:pPr>
        <w:spacing w:after="0" w:line="107" w:lineRule="exact"/>
        <w:rPr>
          <w:rFonts w:ascii="Arial" w:cs="Arial" w:eastAsia="Arial" w:hAnsi="Arial"/>
          <w:sz w:val="19"/>
          <w:szCs w:val="19"/>
          <w:color w:val="auto"/>
        </w:rPr>
      </w:pPr>
    </w:p>
    <w:p>
      <w:pPr>
        <w:jc w:val="both"/>
        <w:ind w:right="40" w:firstLine="1036"/>
        <w:spacing w:after="0" w:line="230" w:lineRule="auto"/>
        <w:tabs>
          <w:tab w:leader="none" w:pos="1459" w:val="left"/>
        </w:tabs>
        <w:numPr>
          <w:ilvl w:val="1"/>
          <w:numId w:val="213"/>
        </w:numPr>
        <w:rPr>
          <w:rFonts w:ascii="Arial" w:cs="Arial" w:eastAsia="Arial" w:hAnsi="Arial"/>
          <w:sz w:val="21"/>
          <w:szCs w:val="21"/>
          <w:color w:val="auto"/>
        </w:rPr>
      </w:pPr>
      <w:r>
        <w:rPr>
          <w:rFonts w:ascii="Arial" w:cs="Arial" w:eastAsia="Arial" w:hAnsi="Arial"/>
          <w:sz w:val="21"/>
          <w:szCs w:val="21"/>
          <w:color w:val="auto"/>
        </w:rPr>
        <w:t xml:space="preserve">Indebtedness of a Person that becomes a Subsidiary after the date hereof pursuant to an acquisition; </w:t>
      </w:r>
      <w:r>
        <w:rPr>
          <w:rFonts w:ascii="Arial" w:cs="Arial" w:eastAsia="Arial" w:hAnsi="Arial"/>
          <w:sz w:val="21"/>
          <w:szCs w:val="21"/>
          <w:u w:val="single" w:color="auto"/>
          <w:color w:val="auto"/>
        </w:rPr>
        <w:t>provided</w:t>
      </w:r>
      <w:r>
        <w:rPr>
          <w:rFonts w:ascii="Arial" w:cs="Arial" w:eastAsia="Arial" w:hAnsi="Arial"/>
          <w:sz w:val="21"/>
          <w:szCs w:val="21"/>
          <w:color w:val="auto"/>
        </w:rPr>
        <w:t>, that such Indebtedness (i) was in existence prior to the date of such acquisition and (ii) was not incurred in connection with, or in contemplation of, such acquisition.</w:t>
      </w:r>
    </w:p>
    <w:p>
      <w:pPr>
        <w:spacing w:after="0" w:line="154" w:lineRule="exact"/>
        <w:rPr>
          <w:sz w:val="20"/>
          <w:szCs w:val="20"/>
          <w:color w:val="auto"/>
        </w:rPr>
      </w:pPr>
    </w:p>
    <w:p>
      <w:pPr>
        <w:jc w:val="both"/>
        <w:ind w:right="40" w:firstLine="954"/>
        <w:spacing w:after="0"/>
        <w:rPr>
          <w:sz w:val="20"/>
          <w:szCs w:val="20"/>
          <w:color w:val="auto"/>
        </w:rPr>
      </w:pPr>
      <w:r>
        <w:rPr>
          <w:rFonts w:ascii="Arial" w:cs="Arial" w:eastAsia="Arial" w:hAnsi="Arial"/>
          <w:sz w:val="19"/>
          <w:szCs w:val="19"/>
          <w:color w:val="auto"/>
        </w:rPr>
        <w:t xml:space="preserve">Section 7.03 </w:t>
      </w:r>
      <w:r>
        <w:rPr>
          <w:rFonts w:ascii="Arial" w:cs="Arial" w:eastAsia="Arial" w:hAnsi="Arial"/>
          <w:sz w:val="19"/>
          <w:szCs w:val="19"/>
          <w:u w:val="single" w:color="auto"/>
          <w:color w:val="auto"/>
        </w:rPr>
        <w:t>Fundamental Changes</w:t>
      </w:r>
      <w:r>
        <w:rPr>
          <w:rFonts w:ascii="Arial" w:cs="Arial" w:eastAsia="Arial" w:hAnsi="Arial"/>
          <w:sz w:val="19"/>
          <w:szCs w:val="19"/>
          <w:color w:val="auto"/>
        </w:rPr>
        <w:t>. (a) None of the Borrower or the other Loan Parties will (i) dissolve or be liquidated or (ii) merge or consolidate with or into another Person, unless, in the case of this clause (ii), (A) at the time thereof and immediately after giving effect thereto no Event of Default shall have occurred and be continuing, (B) if the Borrower is party to such consolidation or merger, the Borrower is the survivor of such consolidation or merger and (C) if any other Loan Party is party to such consolidation or merger and is not the survivor of any such consolidation or merger, (1) the surviving Person of such consolidation or merger shall expressly assume all the rights and obligations of such other Loan Party under this Agreement and the other Loan Documents pursuant to documentation reasonably satisfactory to the Administrative Agent and shall thereafter be deemed to be such other Loan Party for all purposes hereunder and (2) such consolidation or merger will not result in a change in the jurisdiction of organization of such other Loan Party (other than to any state within the United States).</w:t>
      </w:r>
    </w:p>
    <w:p>
      <w:pPr>
        <w:spacing w:after="0" w:line="154" w:lineRule="exact"/>
        <w:rPr>
          <w:sz w:val="20"/>
          <w:szCs w:val="20"/>
          <w:color w:val="auto"/>
        </w:rPr>
      </w:pPr>
    </w:p>
    <w:p>
      <w:pPr>
        <w:jc w:val="both"/>
        <w:ind w:right="40" w:firstLine="1036"/>
        <w:spacing w:after="0" w:line="225" w:lineRule="auto"/>
        <w:tabs>
          <w:tab w:leader="none" w:pos="1634" w:val="left"/>
        </w:tabs>
        <w:numPr>
          <w:ilvl w:val="0"/>
          <w:numId w:val="214"/>
        </w:numPr>
        <w:rPr>
          <w:rFonts w:ascii="Arial" w:cs="Arial" w:eastAsia="Arial" w:hAnsi="Arial"/>
          <w:sz w:val="21"/>
          <w:szCs w:val="21"/>
          <w:color w:val="auto"/>
        </w:rPr>
      </w:pPr>
      <w:r>
        <w:rPr>
          <w:rFonts w:ascii="Arial" w:cs="Arial" w:eastAsia="Arial" w:hAnsi="Arial"/>
          <w:sz w:val="21"/>
          <w:szCs w:val="21"/>
          <w:color w:val="auto"/>
        </w:rPr>
        <w:t xml:space="preserve">None of the Borrower and the other Loan Parties or any other Subsidiary will Dispose of (whether in one transaction or in a series of transactions) all or substantially all of the assets (whether now owned or hereafter acquired) of the Borrower and the Subsidiaries, taken as a whole;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assets of and Equity Interests in any Subsidiary may be disposed of to any other Wholly-Owned Subsidiary or to Borrower.</w:t>
      </w:r>
    </w:p>
    <w:p>
      <w:pPr>
        <w:spacing w:after="0" w:line="154" w:lineRule="exact"/>
        <w:rPr>
          <w:sz w:val="20"/>
          <w:szCs w:val="20"/>
          <w:color w:val="auto"/>
        </w:rPr>
      </w:pPr>
    </w:p>
    <w:p>
      <w:pPr>
        <w:ind w:left="960"/>
        <w:spacing w:after="0"/>
        <w:tabs>
          <w:tab w:leader="none" w:pos="2220" w:val="left"/>
        </w:tabs>
        <w:rPr>
          <w:sz w:val="20"/>
          <w:szCs w:val="20"/>
          <w:color w:val="auto"/>
        </w:rPr>
      </w:pPr>
      <w:r>
        <w:rPr>
          <w:rFonts w:ascii="Arial" w:cs="Arial" w:eastAsia="Arial" w:hAnsi="Arial"/>
          <w:sz w:val="21"/>
          <w:szCs w:val="21"/>
          <w:color w:val="auto"/>
        </w:rPr>
        <w:t>Section 7.04</w:t>
      </w:r>
      <w:r>
        <w:rPr>
          <w:sz w:val="20"/>
          <w:szCs w:val="20"/>
          <w:color w:val="auto"/>
        </w:rPr>
        <w:tab/>
      </w:r>
      <w:r>
        <w:rPr>
          <w:rFonts w:ascii="Arial" w:cs="Arial" w:eastAsia="Arial" w:hAnsi="Arial"/>
          <w:sz w:val="19"/>
          <w:szCs w:val="19"/>
          <w:u w:val="single" w:color="auto"/>
          <w:color w:val="auto"/>
        </w:rPr>
        <w:t>Dispositions</w:t>
      </w:r>
      <w:r>
        <w:rPr>
          <w:rFonts w:ascii="Arial" w:cs="Arial" w:eastAsia="Arial" w:hAnsi="Arial"/>
          <w:sz w:val="19"/>
          <w:szCs w:val="19"/>
          <w:color w:val="auto"/>
        </w:rPr>
        <w:t>. The Borrower will not,</w:t>
      </w:r>
      <w:r>
        <w:rPr>
          <w:rFonts w:ascii="Arial" w:cs="Arial" w:eastAsia="Arial" w:hAnsi="Arial"/>
          <w:sz w:val="19"/>
          <w:szCs w:val="19"/>
          <w:u w:val="single" w:color="auto"/>
          <w:color w:val="auto"/>
        </w:rPr>
        <w:t xml:space="preserve"> </w:t>
      </w:r>
      <w:r>
        <w:rPr>
          <w:rFonts w:ascii="Arial" w:cs="Arial" w:eastAsia="Arial" w:hAnsi="Arial"/>
          <w:sz w:val="17"/>
          <w:szCs w:val="17"/>
          <w:color w:val="auto"/>
        </w:rPr>
        <w:t>and will not permit any Subsidiary to, make any Disposition, except:</w:t>
      </w:r>
    </w:p>
    <w:p>
      <w:pPr>
        <w:spacing w:after="0" w:line="183" w:lineRule="exact"/>
        <w:rPr>
          <w:sz w:val="20"/>
          <w:szCs w:val="20"/>
          <w:color w:val="auto"/>
        </w:rPr>
      </w:pPr>
    </w:p>
    <w:p>
      <w:pPr>
        <w:jc w:val="both"/>
        <w:ind w:firstLine="1596"/>
        <w:spacing w:after="0" w:line="230" w:lineRule="auto"/>
        <w:tabs>
          <w:tab w:leader="none" w:pos="2144" w:val="left"/>
        </w:tabs>
        <w:numPr>
          <w:ilvl w:val="0"/>
          <w:numId w:val="215"/>
        </w:numPr>
        <w:rPr>
          <w:rFonts w:ascii="Arial" w:cs="Arial" w:eastAsia="Arial" w:hAnsi="Arial"/>
          <w:sz w:val="21"/>
          <w:szCs w:val="21"/>
          <w:color w:val="auto"/>
        </w:rPr>
      </w:pPr>
      <w:r>
        <w:rPr>
          <w:rFonts w:ascii="Arial" w:cs="Arial" w:eastAsia="Arial" w:hAnsi="Arial"/>
          <w:sz w:val="21"/>
          <w:szCs w:val="21"/>
          <w:color w:val="auto"/>
        </w:rPr>
        <w:t>Dispositions of obsolete, worn out or surplus property (other than IP Rights) that is not material to the business of the Borrower or its Subsidiaries, property no longer used or useful or economically practicable to maintain in the conduct of the business of the Borrower and its Subsidiaries in the ordinary course of business;</w:t>
      </w:r>
    </w:p>
    <w:p>
      <w:pPr>
        <w:spacing w:after="0" w:line="154" w:lineRule="exact"/>
        <w:rPr>
          <w:sz w:val="20"/>
          <w:szCs w:val="20"/>
          <w:color w:val="auto"/>
        </w:rPr>
      </w:pPr>
    </w:p>
    <w:p>
      <w:pPr>
        <w:ind w:left="1600"/>
        <w:spacing w:after="0"/>
        <w:rPr>
          <w:sz w:val="20"/>
          <w:szCs w:val="20"/>
          <w:color w:val="auto"/>
        </w:rPr>
      </w:pPr>
      <w:r>
        <w:rPr>
          <w:rFonts w:ascii="Arial" w:cs="Arial" w:eastAsia="Arial" w:hAnsi="Arial"/>
          <w:sz w:val="21"/>
          <w:szCs w:val="21"/>
          <w:color w:val="auto"/>
        </w:rPr>
        <w:t>(b)Dispositions of cash and inventory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102</w:t>
      </w:r>
    </w:p>
    <w:p>
      <w:pPr>
        <w:sectPr>
          <w:pgSz w:w="11900" w:h="16838" w:orient="portrait"/>
          <w:cols w:equalWidth="0" w:num="1">
            <w:col w:w="11240"/>
          </w:cols>
          <w:pgMar w:left="320" w:top="1152" w:right="339" w:bottom="1440" w:gutter="0" w:footer="0" w:header="0"/>
        </w:sectPr>
      </w:pPr>
    </w:p>
    <w:bookmarkStart w:id="241" w:name="page242"/>
    <w:bookmarkEnd w:id="241"/>
    <w:p>
      <w:pPr>
        <w:ind w:firstLine="1596"/>
        <w:spacing w:after="0" w:line="239" w:lineRule="auto"/>
        <w:tabs>
          <w:tab w:leader="none" w:pos="2123" w:val="left"/>
        </w:tabs>
        <w:numPr>
          <w:ilvl w:val="0"/>
          <w:numId w:val="216"/>
        </w:numPr>
        <w:rPr>
          <w:rFonts w:ascii="Arial" w:cs="Arial" w:eastAsia="Arial" w:hAnsi="Arial"/>
          <w:sz w:val="21"/>
          <w:szCs w:val="21"/>
          <w:color w:val="auto"/>
        </w:rPr>
      </w:pPr>
      <w:r>
        <w:rPr>
          <w:rFonts w:ascii="Arial" w:cs="Arial" w:eastAsia="Arial" w:hAnsi="Arial"/>
          <w:sz w:val="21"/>
          <w:szCs w:val="21"/>
          <w:color w:val="auto"/>
        </w:rPr>
        <w:t>Dispositions of (i) long-term investments and (ii) other investments acquired pursuant to the Borrower’s investment policy approved by its board of directors (or committee thereof);</w:t>
      </w:r>
    </w:p>
    <w:p>
      <w:pPr>
        <w:spacing w:after="0" w:line="155" w:lineRule="exact"/>
        <w:rPr>
          <w:rFonts w:ascii="Arial" w:cs="Arial" w:eastAsia="Arial" w:hAnsi="Arial"/>
          <w:sz w:val="21"/>
          <w:szCs w:val="21"/>
          <w:color w:val="auto"/>
        </w:rPr>
      </w:pPr>
    </w:p>
    <w:p>
      <w:pPr>
        <w:jc w:val="both"/>
        <w:ind w:firstLine="1596"/>
        <w:spacing w:after="0" w:line="230" w:lineRule="auto"/>
        <w:tabs>
          <w:tab w:leader="none" w:pos="2179" w:val="left"/>
        </w:tabs>
        <w:numPr>
          <w:ilvl w:val="0"/>
          <w:numId w:val="216"/>
        </w:numPr>
        <w:rPr>
          <w:rFonts w:ascii="Arial" w:cs="Arial" w:eastAsia="Arial" w:hAnsi="Arial"/>
          <w:sz w:val="21"/>
          <w:szCs w:val="21"/>
          <w:color w:val="auto"/>
        </w:rPr>
      </w:pPr>
      <w:r>
        <w:rPr>
          <w:rFonts w:ascii="Arial" w:cs="Arial" w:eastAsia="Arial" w:hAnsi="Arial"/>
          <w:sz w:val="21"/>
          <w:szCs w:val="21"/>
          <w:color w:val="auto"/>
        </w:rPr>
        <w:t>Dispositions of equipment or real property to the extent that (i) such property is exchanged for credit against the purchase price of similar replacement property or (ii) the proceeds of such Disposition are reasonably promptly applied to the purchase price of such replacement property;</w:t>
      </w:r>
    </w:p>
    <w:p>
      <w:pPr>
        <w:spacing w:after="0" w:line="153" w:lineRule="exact"/>
        <w:rPr>
          <w:rFonts w:ascii="Arial" w:cs="Arial" w:eastAsia="Arial" w:hAnsi="Arial"/>
          <w:sz w:val="21"/>
          <w:szCs w:val="21"/>
          <w:color w:val="auto"/>
        </w:rPr>
      </w:pPr>
    </w:p>
    <w:p>
      <w:pPr>
        <w:ind w:left="2200" w:hanging="604"/>
        <w:spacing w:after="0"/>
        <w:tabs>
          <w:tab w:leader="none" w:pos="2200" w:val="left"/>
        </w:tabs>
        <w:numPr>
          <w:ilvl w:val="0"/>
          <w:numId w:val="216"/>
        </w:numPr>
        <w:rPr>
          <w:rFonts w:ascii="Arial" w:cs="Arial" w:eastAsia="Arial" w:hAnsi="Arial"/>
          <w:sz w:val="20"/>
          <w:szCs w:val="20"/>
          <w:color w:val="auto"/>
        </w:rPr>
      </w:pPr>
      <w:r>
        <w:rPr>
          <w:rFonts w:ascii="Arial" w:cs="Arial" w:eastAsia="Arial" w:hAnsi="Arial"/>
          <w:sz w:val="20"/>
          <w:szCs w:val="20"/>
          <w:color w:val="auto"/>
        </w:rPr>
        <w:t>Dispositions of property by the Borrower or any Subsidiary Guarantor to the Borrower or any other</w:t>
      </w:r>
    </w:p>
    <w:p>
      <w:pPr>
        <w:spacing w:after="0"/>
        <w:rPr>
          <w:rFonts w:ascii="Arial" w:cs="Arial" w:eastAsia="Arial" w:hAnsi="Arial"/>
          <w:sz w:val="20"/>
          <w:szCs w:val="20"/>
          <w:color w:val="auto"/>
        </w:rPr>
      </w:pPr>
      <w:r>
        <w:rPr>
          <w:rFonts w:ascii="Arial" w:cs="Arial" w:eastAsia="Arial" w:hAnsi="Arial"/>
          <w:sz w:val="21"/>
          <w:szCs w:val="21"/>
          <w:color w:val="auto"/>
        </w:rPr>
        <w:t>Subsidiary Guarantor;</w:t>
      </w:r>
    </w:p>
    <w:p>
      <w:pPr>
        <w:spacing w:after="0" w:line="164" w:lineRule="exact"/>
        <w:rPr>
          <w:rFonts w:ascii="Arial" w:cs="Arial" w:eastAsia="Arial" w:hAnsi="Arial"/>
          <w:sz w:val="20"/>
          <w:szCs w:val="20"/>
          <w:color w:val="auto"/>
        </w:rPr>
      </w:pPr>
    </w:p>
    <w:p>
      <w:pPr>
        <w:jc w:val="both"/>
        <w:ind w:firstLine="1596"/>
        <w:spacing w:after="0" w:line="225" w:lineRule="auto"/>
        <w:tabs>
          <w:tab w:leader="none" w:pos="2093" w:val="left"/>
        </w:tabs>
        <w:numPr>
          <w:ilvl w:val="0"/>
          <w:numId w:val="216"/>
        </w:numPr>
        <w:rPr>
          <w:rFonts w:ascii="Arial" w:cs="Arial" w:eastAsia="Arial" w:hAnsi="Arial"/>
          <w:sz w:val="21"/>
          <w:szCs w:val="21"/>
          <w:color w:val="auto"/>
        </w:rPr>
      </w:pPr>
      <w:r>
        <w:rPr>
          <w:rFonts w:ascii="Arial" w:cs="Arial" w:eastAsia="Arial" w:hAnsi="Arial"/>
          <w:sz w:val="21"/>
          <w:szCs w:val="21"/>
          <w:color w:val="auto"/>
        </w:rPr>
        <w:t>leases, licenses, subleases or sublicenses (including the provision of open source software under an open source license) granted in the ordinary course of business or as approved by the board of directors of the Borrower and, in each case, on ordinary commercial terms that do not interfere in any material respect with the business of the Borrower and its Subsidiaries;</w:t>
      </w:r>
    </w:p>
    <w:p>
      <w:pPr>
        <w:spacing w:after="0" w:line="154" w:lineRule="exact"/>
        <w:rPr>
          <w:rFonts w:ascii="Arial" w:cs="Arial" w:eastAsia="Arial" w:hAnsi="Arial"/>
          <w:sz w:val="21"/>
          <w:szCs w:val="21"/>
          <w:color w:val="auto"/>
        </w:rPr>
      </w:pPr>
    </w:p>
    <w:p>
      <w:pPr>
        <w:ind w:firstLine="1596"/>
        <w:spacing w:after="0" w:line="239" w:lineRule="auto"/>
        <w:tabs>
          <w:tab w:leader="none" w:pos="2092" w:val="left"/>
        </w:tabs>
        <w:numPr>
          <w:ilvl w:val="0"/>
          <w:numId w:val="216"/>
        </w:numPr>
        <w:rPr>
          <w:rFonts w:ascii="Arial" w:cs="Arial" w:eastAsia="Arial" w:hAnsi="Arial"/>
          <w:sz w:val="21"/>
          <w:szCs w:val="21"/>
          <w:color w:val="auto"/>
        </w:rPr>
      </w:pPr>
      <w:r>
        <w:rPr>
          <w:rFonts w:ascii="Arial" w:cs="Arial" w:eastAsia="Arial" w:hAnsi="Arial"/>
          <w:sz w:val="21"/>
          <w:szCs w:val="21"/>
          <w:color w:val="auto"/>
        </w:rPr>
        <w:t>Dispositions of intellectual property rights (other than as permitted by clause (e) above) that are no longer used or useful in the business of the Borrower and its Subsidiaries;</w:t>
      </w:r>
    </w:p>
    <w:p>
      <w:pPr>
        <w:spacing w:after="0" w:line="155" w:lineRule="exact"/>
        <w:rPr>
          <w:rFonts w:ascii="Arial" w:cs="Arial" w:eastAsia="Arial" w:hAnsi="Arial"/>
          <w:sz w:val="21"/>
          <w:szCs w:val="21"/>
          <w:color w:val="auto"/>
        </w:rPr>
      </w:pPr>
    </w:p>
    <w:p>
      <w:pPr>
        <w:ind w:firstLine="1596"/>
        <w:spacing w:after="0" w:line="239" w:lineRule="auto"/>
        <w:tabs>
          <w:tab w:leader="none" w:pos="2055" w:val="left"/>
        </w:tabs>
        <w:numPr>
          <w:ilvl w:val="0"/>
          <w:numId w:val="216"/>
        </w:numPr>
        <w:rPr>
          <w:rFonts w:ascii="Arial" w:cs="Arial" w:eastAsia="Arial" w:hAnsi="Arial"/>
          <w:sz w:val="21"/>
          <w:szCs w:val="21"/>
          <w:color w:val="auto"/>
        </w:rPr>
      </w:pPr>
      <w:r>
        <w:rPr>
          <w:rFonts w:ascii="Arial" w:cs="Arial" w:eastAsia="Arial" w:hAnsi="Arial"/>
          <w:sz w:val="21"/>
          <w:szCs w:val="21"/>
          <w:color w:val="auto"/>
        </w:rPr>
        <w:t>the discount, write-off or Disposition of accounts receivable overdue by more than ninety days, in each case in the ordinary course of business;</w:t>
      </w:r>
    </w:p>
    <w:p>
      <w:pPr>
        <w:spacing w:after="0" w:line="155" w:lineRule="exact"/>
        <w:rPr>
          <w:sz w:val="20"/>
          <w:szCs w:val="20"/>
          <w:color w:val="auto"/>
        </w:rPr>
      </w:pPr>
    </w:p>
    <w:p>
      <w:pPr>
        <w:jc w:val="both"/>
        <w:ind w:firstLine="1072"/>
        <w:spacing w:after="0" w:line="225" w:lineRule="auto"/>
        <w:rPr>
          <w:sz w:val="20"/>
          <w:szCs w:val="20"/>
          <w:color w:val="auto"/>
        </w:rPr>
      </w:pPr>
      <w:r>
        <w:rPr>
          <w:rFonts w:ascii="Arial" w:cs="Arial" w:eastAsia="Arial" w:hAnsi="Arial"/>
          <w:sz w:val="21"/>
          <w:szCs w:val="21"/>
          <w:color w:val="010000"/>
        </w:rPr>
        <w:t>(i)</w:t>
      </w:r>
      <w:r>
        <w:rPr>
          <w:rFonts w:ascii="Arial" w:cs="Arial" w:eastAsia="Arial" w:hAnsi="Arial"/>
          <w:sz w:val="21"/>
          <w:szCs w:val="21"/>
          <w:color w:val="000000"/>
        </w:rPr>
        <w:t>Dispositions of non-core assets acquired in an Acquisition;</w:t>
      </w:r>
      <w:r>
        <w:rPr>
          <w:rFonts w:ascii="Arial" w:cs="Arial" w:eastAsia="Arial" w:hAnsi="Arial"/>
          <w:sz w:val="21"/>
          <w:szCs w:val="21"/>
          <w:color w:val="010000"/>
        </w:rPr>
        <w:t xml:space="preserve"> </w:t>
      </w:r>
      <w:r>
        <w:rPr>
          <w:rFonts w:ascii="Arial" w:cs="Arial" w:eastAsia="Arial" w:hAnsi="Arial"/>
          <w:sz w:val="21"/>
          <w:szCs w:val="21"/>
          <w:u w:val="single" w:color="auto"/>
          <w:color w:val="000000"/>
        </w:rPr>
        <w:t>provided</w:t>
      </w:r>
      <w:r>
        <w:rPr>
          <w:rFonts w:ascii="Arial" w:cs="Arial" w:eastAsia="Arial" w:hAnsi="Arial"/>
          <w:sz w:val="21"/>
          <w:szCs w:val="21"/>
          <w:color w:val="010000"/>
        </w:rPr>
        <w:t xml:space="preserve"> </w:t>
      </w:r>
      <w:r>
        <w:rPr>
          <w:rFonts w:ascii="Arial" w:cs="Arial" w:eastAsia="Arial" w:hAnsi="Arial"/>
          <w:sz w:val="21"/>
          <w:szCs w:val="21"/>
          <w:color w:val="000000"/>
        </w:rPr>
        <w:t>that such Dispositions shall be consummated</w:t>
      </w:r>
      <w:r>
        <w:rPr>
          <w:rFonts w:ascii="Arial" w:cs="Arial" w:eastAsia="Arial" w:hAnsi="Arial"/>
          <w:sz w:val="21"/>
          <w:szCs w:val="21"/>
          <w:color w:val="010000"/>
        </w:rPr>
        <w:t xml:space="preserve"> </w:t>
      </w:r>
      <w:r>
        <w:rPr>
          <w:rFonts w:ascii="Arial" w:cs="Arial" w:eastAsia="Arial" w:hAnsi="Arial"/>
          <w:sz w:val="21"/>
          <w:szCs w:val="21"/>
          <w:color w:val="000000"/>
        </w:rPr>
        <w:t xml:space="preserve">within 360 days of such Acquisition; </w:t>
      </w:r>
      <w:r>
        <w:rPr>
          <w:rFonts w:ascii="Arial" w:cs="Arial" w:eastAsia="Arial" w:hAnsi="Arial"/>
          <w:sz w:val="21"/>
          <w:szCs w:val="21"/>
          <w:u w:val="single" w:color="auto"/>
          <w:color w:val="000000"/>
        </w:rPr>
        <w:t>provided</w:t>
      </w:r>
      <w:r>
        <w:rPr>
          <w:rFonts w:ascii="Arial" w:cs="Arial" w:eastAsia="Arial" w:hAnsi="Arial"/>
          <w:sz w:val="21"/>
          <w:szCs w:val="21"/>
          <w:color w:val="000000"/>
        </w:rPr>
        <w:t xml:space="preserve">, </w:t>
      </w:r>
      <w:r>
        <w:rPr>
          <w:rFonts w:ascii="Arial" w:cs="Arial" w:eastAsia="Arial" w:hAnsi="Arial"/>
          <w:sz w:val="21"/>
          <w:szCs w:val="21"/>
          <w:u w:val="single" w:color="auto"/>
          <w:color w:val="000000"/>
        </w:rPr>
        <w:t>further</w:t>
      </w:r>
      <w:r>
        <w:rPr>
          <w:rFonts w:ascii="Arial" w:cs="Arial" w:eastAsia="Arial" w:hAnsi="Arial"/>
          <w:sz w:val="21"/>
          <w:szCs w:val="21"/>
          <w:color w:val="000000"/>
        </w:rPr>
        <w:t>, that (i) the consideration received for such assets shall be in an amount at least equal to the fair market value thereof (determined in good faith by the board of directors of the Borrower) and (ii) no less than 75% thereof shall be paid in cash;</w:t>
      </w:r>
    </w:p>
    <w:p>
      <w:pPr>
        <w:spacing w:after="0" w:line="154" w:lineRule="exact"/>
        <w:rPr>
          <w:sz w:val="20"/>
          <w:szCs w:val="20"/>
          <w:color w:val="auto"/>
        </w:rPr>
      </w:pPr>
    </w:p>
    <w:p>
      <w:pPr>
        <w:ind w:left="2000" w:hanging="404"/>
        <w:spacing w:after="0"/>
        <w:tabs>
          <w:tab w:leader="none" w:pos="2000" w:val="left"/>
        </w:tabs>
        <w:numPr>
          <w:ilvl w:val="0"/>
          <w:numId w:val="217"/>
        </w:numPr>
        <w:rPr>
          <w:rFonts w:ascii="Arial" w:cs="Arial" w:eastAsia="Arial" w:hAnsi="Arial"/>
          <w:sz w:val="21"/>
          <w:szCs w:val="21"/>
          <w:color w:val="auto"/>
        </w:rPr>
      </w:pPr>
      <w:r>
        <w:rPr>
          <w:rFonts w:ascii="Arial" w:cs="Arial" w:eastAsia="Arial" w:hAnsi="Arial"/>
          <w:sz w:val="21"/>
          <w:szCs w:val="21"/>
          <w:color w:val="auto"/>
        </w:rPr>
        <w:t xml:space="preserve">Restricted Payments permitted by </w:t>
      </w:r>
      <w:r>
        <w:rPr>
          <w:rFonts w:ascii="Arial" w:cs="Arial" w:eastAsia="Arial" w:hAnsi="Arial"/>
          <w:sz w:val="21"/>
          <w:szCs w:val="21"/>
          <w:u w:val="single" w:color="auto"/>
          <w:color w:val="auto"/>
        </w:rPr>
        <w:t>Section 7.05</w:t>
      </w:r>
      <w:r>
        <w:rPr>
          <w:rFonts w:ascii="Arial" w:cs="Arial" w:eastAsia="Arial" w:hAnsi="Arial"/>
          <w:sz w:val="21"/>
          <w:szCs w:val="21"/>
          <w:color w:val="auto"/>
        </w:rPr>
        <w:t>;</w:t>
      </w:r>
    </w:p>
    <w:p>
      <w:pPr>
        <w:spacing w:after="0" w:line="182" w:lineRule="exact"/>
        <w:rPr>
          <w:rFonts w:ascii="Arial" w:cs="Arial" w:eastAsia="Arial" w:hAnsi="Arial"/>
          <w:sz w:val="21"/>
          <w:szCs w:val="21"/>
          <w:color w:val="auto"/>
        </w:rPr>
      </w:pPr>
    </w:p>
    <w:p>
      <w:pPr>
        <w:ind w:firstLine="1596"/>
        <w:spacing w:after="0" w:line="239" w:lineRule="auto"/>
        <w:tabs>
          <w:tab w:leader="none" w:pos="2105" w:val="left"/>
        </w:tabs>
        <w:numPr>
          <w:ilvl w:val="0"/>
          <w:numId w:val="217"/>
        </w:numPr>
        <w:rPr>
          <w:rFonts w:ascii="Arial" w:cs="Arial" w:eastAsia="Arial" w:hAnsi="Arial"/>
          <w:sz w:val="21"/>
          <w:szCs w:val="21"/>
          <w:color w:val="auto"/>
        </w:rPr>
      </w:pPr>
      <w:r>
        <w:rPr>
          <w:rFonts w:ascii="Arial" w:cs="Arial" w:eastAsia="Arial" w:hAnsi="Arial"/>
          <w:sz w:val="21"/>
          <w:szCs w:val="21"/>
          <w:color w:val="auto"/>
        </w:rPr>
        <w:t>Dispositions of property to the Borrower or any of its Subsidiaries; provided that if the transferor of such property is a Guarantor, the transferee thereof must either be the Borrower or a Guarantor;</w:t>
      </w:r>
    </w:p>
    <w:p>
      <w:pPr>
        <w:spacing w:after="0" w:line="155" w:lineRule="exact"/>
        <w:rPr>
          <w:rFonts w:ascii="Arial" w:cs="Arial" w:eastAsia="Arial" w:hAnsi="Arial"/>
          <w:sz w:val="21"/>
          <w:szCs w:val="21"/>
          <w:color w:val="auto"/>
        </w:rPr>
      </w:pPr>
    </w:p>
    <w:p>
      <w:pPr>
        <w:ind w:firstLine="1596"/>
        <w:spacing w:after="0" w:line="263" w:lineRule="auto"/>
        <w:tabs>
          <w:tab w:leader="none" w:pos="2163" w:val="left"/>
        </w:tabs>
        <w:numPr>
          <w:ilvl w:val="0"/>
          <w:numId w:val="217"/>
        </w:numPr>
        <w:rPr>
          <w:rFonts w:ascii="Arial" w:cs="Arial" w:eastAsia="Arial" w:hAnsi="Arial"/>
          <w:sz w:val="20"/>
          <w:szCs w:val="20"/>
          <w:color w:val="auto"/>
        </w:rPr>
      </w:pPr>
      <w:r>
        <w:rPr>
          <w:rFonts w:ascii="Arial" w:cs="Arial" w:eastAsia="Arial" w:hAnsi="Arial"/>
          <w:sz w:val="20"/>
          <w:szCs w:val="20"/>
          <w:color w:val="auto"/>
        </w:rPr>
        <w:t>Dispositions of investments in joint ventures, to the extent required by, or made pursuant to buy/sell arrangements between the joint venture parties set forth in joint venture arrangements and similar binding arrangements;</w:t>
      </w:r>
    </w:p>
    <w:p>
      <w:pPr>
        <w:spacing w:after="0" w:line="131" w:lineRule="exact"/>
        <w:rPr>
          <w:rFonts w:ascii="Arial" w:cs="Arial" w:eastAsia="Arial" w:hAnsi="Arial"/>
          <w:sz w:val="20"/>
          <w:szCs w:val="20"/>
          <w:color w:val="auto"/>
        </w:rPr>
      </w:pPr>
    </w:p>
    <w:p>
      <w:pPr>
        <w:jc w:val="both"/>
        <w:ind w:firstLine="1596"/>
        <w:spacing w:after="0" w:line="241" w:lineRule="auto"/>
        <w:tabs>
          <w:tab w:leader="none" w:pos="2114" w:val="left"/>
        </w:tabs>
        <w:numPr>
          <w:ilvl w:val="0"/>
          <w:numId w:val="217"/>
        </w:numPr>
        <w:rPr>
          <w:rFonts w:ascii="Arial" w:cs="Arial" w:eastAsia="Arial" w:hAnsi="Arial"/>
          <w:sz w:val="19"/>
          <w:szCs w:val="19"/>
          <w:color w:val="auto"/>
        </w:rPr>
      </w:pPr>
      <w:r>
        <w:rPr>
          <w:rFonts w:ascii="Arial" w:cs="Arial" w:eastAsia="Arial" w:hAnsi="Arial"/>
          <w:sz w:val="19"/>
          <w:szCs w:val="19"/>
          <w:color w:val="auto"/>
        </w:rPr>
        <w:t xml:space="preserve">Dispositions in any transaction or series of transactions not constituting Indebtedness pursuant to which the Borrower or any Subsidiary conveys, assigns, or otherwise transfers for fair market value (as determined by the Borrower in good faith) its right to receive royalty payments and related rights thereto from any Person that is not an Affiliate of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consolidated revenues of the Borrower and its Subsidiaries, when calculated on a pro forma basis in accordance with Section 1.03(c) after giving effect to any such Disposition for each Reference Period in which any such Disposition shall have been consummated, have not decreased by more than 10% in the aggregate for all such Dispositions made pursuant to (i) this clause (m) </w:t>
      </w:r>
      <w:r>
        <w:rPr>
          <w:rFonts w:ascii="Arial" w:cs="Arial" w:eastAsia="Arial" w:hAnsi="Arial"/>
          <w:sz w:val="19"/>
          <w:szCs w:val="19"/>
          <w:i w:val="1"/>
          <w:iCs w:val="1"/>
          <w:color w:val="auto"/>
        </w:rPr>
        <w:t xml:space="preserve">plus </w:t>
      </w:r>
      <w:r>
        <w:rPr>
          <w:rFonts w:ascii="Arial" w:cs="Arial" w:eastAsia="Arial" w:hAnsi="Arial"/>
          <w:sz w:val="19"/>
          <w:szCs w:val="19"/>
          <w:color w:val="auto"/>
        </w:rPr>
        <w:t>(ii) clause (n) of this Section, (determined on the date of consummation of any such Disposition by reference to the amount of</w:t>
      </w:r>
      <w:r>
        <w:rPr>
          <w:rFonts w:ascii="Arial" w:cs="Arial" w:eastAsia="Arial" w:hAnsi="Arial"/>
          <w:sz w:val="19"/>
          <w:szCs w:val="19"/>
          <w:i w:val="1"/>
          <w:iCs w:val="1"/>
          <w:color w:val="auto"/>
        </w:rPr>
        <w:t xml:space="preserve"> </w:t>
      </w:r>
      <w:r>
        <w:rPr>
          <w:rFonts w:ascii="Arial" w:cs="Arial" w:eastAsia="Arial" w:hAnsi="Arial"/>
          <w:sz w:val="19"/>
          <w:szCs w:val="19"/>
          <w:color w:val="auto"/>
        </w:rPr>
        <w:t>consolidated revenues of the Borrower and its Subsidiaries for the most recent Reference Period for which financial statements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103</w:t>
      </w:r>
    </w:p>
    <w:p>
      <w:pPr>
        <w:sectPr>
          <w:pgSz w:w="11900" w:h="16838" w:orient="portrait"/>
          <w:cols w:equalWidth="0" w:num="1">
            <w:col w:w="11240"/>
          </w:cols>
          <w:pgMar w:left="320" w:top="1152" w:right="339" w:bottom="1440" w:gutter="0" w:footer="0" w:header="0"/>
        </w:sectPr>
      </w:pPr>
    </w:p>
    <w:bookmarkStart w:id="242" w:name="page243"/>
    <w:bookmarkEnd w:id="242"/>
    <w:p>
      <w:pPr>
        <w:spacing w:after="0" w:line="239" w:lineRule="auto"/>
        <w:rPr>
          <w:sz w:val="20"/>
          <w:szCs w:val="20"/>
          <w:color w:val="auto"/>
        </w:rPr>
      </w:pPr>
      <w:r>
        <w:rPr>
          <w:rFonts w:ascii="Arial" w:cs="Arial" w:eastAsia="Arial" w:hAnsi="Arial"/>
          <w:sz w:val="21"/>
          <w:szCs w:val="21"/>
          <w:color w:val="auto"/>
        </w:rPr>
        <w:t xml:space="preserve">have been delivered pursuant to </w:t>
      </w:r>
      <w:r>
        <w:rPr>
          <w:rFonts w:ascii="Arial" w:cs="Arial" w:eastAsia="Arial" w:hAnsi="Arial"/>
          <w:sz w:val="21"/>
          <w:szCs w:val="21"/>
          <w:u w:val="single" w:color="auto"/>
          <w:color w:val="auto"/>
        </w:rPr>
        <w:t>Section 6.01(a)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6.01(b)</w:t>
      </w:r>
      <w:r>
        <w:rPr>
          <w:rFonts w:ascii="Arial" w:cs="Arial" w:eastAsia="Arial" w:hAnsi="Arial"/>
          <w:sz w:val="21"/>
          <w:szCs w:val="21"/>
          <w:color w:val="auto"/>
        </w:rPr>
        <w:t xml:space="preserve"> (or, prior to the first such delivery, as of the end of the most recent fiscal quarter covered by the financial statements referred to in </w:t>
      </w:r>
      <w:r>
        <w:rPr>
          <w:rFonts w:ascii="Arial" w:cs="Arial" w:eastAsia="Arial" w:hAnsi="Arial"/>
          <w:sz w:val="21"/>
          <w:szCs w:val="21"/>
          <w:u w:val="single" w:color="auto"/>
          <w:color w:val="auto"/>
        </w:rPr>
        <w:t>Section 5.05</w:t>
      </w:r>
      <w:r>
        <w:rPr>
          <w:rFonts w:ascii="Arial" w:cs="Arial" w:eastAsia="Arial" w:hAnsi="Arial"/>
          <w:sz w:val="21"/>
          <w:szCs w:val="21"/>
          <w:color w:val="auto"/>
        </w:rPr>
        <w:t>)); and</w:t>
      </w:r>
    </w:p>
    <w:p>
      <w:pPr>
        <w:spacing w:after="0" w:line="155" w:lineRule="exact"/>
        <w:rPr>
          <w:sz w:val="20"/>
          <w:szCs w:val="20"/>
          <w:color w:val="auto"/>
        </w:rPr>
      </w:pPr>
    </w:p>
    <w:p>
      <w:pPr>
        <w:jc w:val="both"/>
        <w:ind w:firstLine="1596"/>
        <w:spacing w:after="0" w:line="225" w:lineRule="auto"/>
        <w:tabs>
          <w:tab w:leader="none" w:pos="2070" w:val="left"/>
        </w:tabs>
        <w:numPr>
          <w:ilvl w:val="0"/>
          <w:numId w:val="218"/>
        </w:numPr>
        <w:rPr>
          <w:rFonts w:ascii="Arial" w:cs="Arial" w:eastAsia="Arial" w:hAnsi="Arial"/>
          <w:sz w:val="20"/>
          <w:szCs w:val="20"/>
          <w:color w:val="auto"/>
        </w:rPr>
      </w:pPr>
      <w:r>
        <w:rPr>
          <w:rFonts w:ascii="Arial" w:cs="Arial" w:eastAsia="Arial" w:hAnsi="Arial"/>
          <w:sz w:val="20"/>
          <w:szCs w:val="20"/>
          <w:color w:val="auto"/>
        </w:rPr>
        <w:t xml:space="preserve">Dispositions by the Borrower and its Subsidiaries not otherwise permitted under this Section;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consolidated revenues of the Borrower and its Subsidiaries, when calculated on a pro forma basis in accordance with Section 1.03(c) after giving effect to any such Disposition for each Reference Period in which any such Disposition shall have been consummated, have not decreased by more than 3% in the aggregate for all such Dispositions made pursuant to this clause (n) (determined on the date of consummation of any such Disposition by reference to the amount of consolidated revenues of the Borrower and its Subsidiaries for the most recent Reference Period for which financial statements shall have been delivered pursuant to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6.01(b)</w:t>
      </w:r>
      <w:r>
        <w:rPr>
          <w:rFonts w:ascii="Arial" w:cs="Arial" w:eastAsia="Arial" w:hAnsi="Arial"/>
          <w:sz w:val="20"/>
          <w:szCs w:val="20"/>
          <w:color w:val="auto"/>
        </w:rPr>
        <w:t xml:space="preserve"> (or, prior to the first such delivery, as of the end of the most recent fiscal quarter covered by the financial statements referred to in </w:t>
      </w:r>
      <w:r>
        <w:rPr>
          <w:rFonts w:ascii="Arial" w:cs="Arial" w:eastAsia="Arial" w:hAnsi="Arial"/>
          <w:sz w:val="20"/>
          <w:szCs w:val="20"/>
          <w:u w:val="single" w:color="auto"/>
          <w:color w:val="auto"/>
        </w:rPr>
        <w:t>Section 5.05</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xml:space="preserve"> that the consolidated revenues of the Borrower and its Subsidiaries, when calculated on a pro forma basis in accordance with Section 1.03(c) after giving effect to any such Disposition for each Reference Period in which any such Disposition shall have been consummated, have not decreased by more than 10% in the aggregate for all such Dispositions made pursuant to (i) this clause (n) </w:t>
      </w:r>
      <w:r>
        <w:rPr>
          <w:rFonts w:ascii="Arial" w:cs="Arial" w:eastAsia="Arial" w:hAnsi="Arial"/>
          <w:sz w:val="20"/>
          <w:szCs w:val="20"/>
          <w:i w:val="1"/>
          <w:iCs w:val="1"/>
          <w:color w:val="auto"/>
        </w:rPr>
        <w:t>plus</w:t>
      </w:r>
      <w:r>
        <w:rPr>
          <w:rFonts w:ascii="Arial" w:cs="Arial" w:eastAsia="Arial" w:hAnsi="Arial"/>
          <w:sz w:val="20"/>
          <w:szCs w:val="20"/>
          <w:color w:val="auto"/>
        </w:rPr>
        <w:t xml:space="preserve"> (ii) clause (m) of this Section (determined on the date of consummation of any such Disposition by reference to the amount of consolidated revenues of the Borrower and its Subsidiaries for the most recent Reference Period for which financial statements shall have been delivered pursuant to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6.01(b)</w:t>
      </w:r>
      <w:r>
        <w:rPr>
          <w:rFonts w:ascii="Arial" w:cs="Arial" w:eastAsia="Arial" w:hAnsi="Arial"/>
          <w:sz w:val="20"/>
          <w:szCs w:val="20"/>
          <w:color w:val="auto"/>
        </w:rPr>
        <w:t xml:space="preserve"> (or, prior to the first such delivery, as of the end of the most recent fiscal quarter covered by the financial statements referred to in </w:t>
      </w:r>
      <w:r>
        <w:rPr>
          <w:rFonts w:ascii="Arial" w:cs="Arial" w:eastAsia="Arial" w:hAnsi="Arial"/>
          <w:sz w:val="20"/>
          <w:szCs w:val="20"/>
          <w:u w:val="single" w:color="auto"/>
          <w:color w:val="auto"/>
        </w:rPr>
        <w:t>Section 5.05</w:t>
      </w:r>
      <w:r>
        <w:rPr>
          <w:rFonts w:ascii="Arial" w:cs="Arial" w:eastAsia="Arial" w:hAnsi="Arial"/>
          <w:sz w:val="20"/>
          <w:szCs w:val="20"/>
          <w:color w:val="auto"/>
        </w:rPr>
        <w:t>)).</w:t>
      </w:r>
    </w:p>
    <w:p>
      <w:pPr>
        <w:spacing w:after="0" w:line="158" w:lineRule="exact"/>
        <w:rPr>
          <w:sz w:val="20"/>
          <w:szCs w:val="20"/>
          <w:color w:val="auto"/>
        </w:rPr>
      </w:pPr>
    </w:p>
    <w:p>
      <w:pPr>
        <w:ind w:right="40" w:firstLine="954"/>
        <w:spacing w:after="0" w:line="239" w:lineRule="auto"/>
        <w:rPr>
          <w:sz w:val="20"/>
          <w:szCs w:val="20"/>
          <w:color w:val="auto"/>
        </w:rPr>
      </w:pPr>
      <w:r>
        <w:rPr>
          <w:rFonts w:ascii="Arial" w:cs="Arial" w:eastAsia="Arial" w:hAnsi="Arial"/>
          <w:sz w:val="21"/>
          <w:szCs w:val="21"/>
          <w:color w:val="auto"/>
        </w:rPr>
        <w:t xml:space="preserve">Section 7.05 </w:t>
      </w:r>
      <w:r>
        <w:rPr>
          <w:rFonts w:ascii="Arial" w:cs="Arial" w:eastAsia="Arial" w:hAnsi="Arial"/>
          <w:sz w:val="21"/>
          <w:szCs w:val="21"/>
          <w:u w:val="single" w:color="auto"/>
          <w:color w:val="auto"/>
        </w:rPr>
        <w:t>Restricted Payments</w:t>
      </w:r>
      <w:r>
        <w:rPr>
          <w:rFonts w:ascii="Arial" w:cs="Arial" w:eastAsia="Arial" w:hAnsi="Arial"/>
          <w:sz w:val="21"/>
          <w:szCs w:val="21"/>
          <w:color w:val="auto"/>
        </w:rPr>
        <w:t>. The Borrower will not, and will not permit any of its Subsidiaries to, declare or make, or agree to pay or make, directly or indirectly, any Restricted Payment, except:</w:t>
      </w:r>
    </w:p>
    <w:p>
      <w:pPr>
        <w:spacing w:after="0" w:line="155" w:lineRule="exact"/>
        <w:rPr>
          <w:sz w:val="20"/>
          <w:szCs w:val="20"/>
          <w:color w:val="auto"/>
        </w:rPr>
      </w:pPr>
    </w:p>
    <w:p>
      <w:pPr>
        <w:ind w:firstLine="1596"/>
        <w:spacing w:after="0" w:line="239" w:lineRule="auto"/>
        <w:tabs>
          <w:tab w:leader="none" w:pos="2078" w:val="left"/>
        </w:tabs>
        <w:numPr>
          <w:ilvl w:val="0"/>
          <w:numId w:val="219"/>
        </w:numPr>
        <w:rPr>
          <w:rFonts w:ascii="Arial" w:cs="Arial" w:eastAsia="Arial" w:hAnsi="Arial"/>
          <w:sz w:val="21"/>
          <w:szCs w:val="21"/>
          <w:color w:val="auto"/>
        </w:rPr>
      </w:pPr>
      <w:r>
        <w:rPr>
          <w:rFonts w:ascii="Arial" w:cs="Arial" w:eastAsia="Arial" w:hAnsi="Arial"/>
          <w:sz w:val="21"/>
          <w:szCs w:val="21"/>
          <w:color w:val="auto"/>
        </w:rPr>
        <w:t>the Borrower may declare and pay dividends or make other Restricted Payments with respect to its Equity Interests payable solely in additional Equity Interests;</w:t>
      </w:r>
    </w:p>
    <w:p>
      <w:pPr>
        <w:spacing w:after="0" w:line="155" w:lineRule="exact"/>
        <w:rPr>
          <w:rFonts w:ascii="Arial" w:cs="Arial" w:eastAsia="Arial" w:hAnsi="Arial"/>
          <w:sz w:val="21"/>
          <w:szCs w:val="21"/>
          <w:color w:val="auto"/>
        </w:rPr>
      </w:pPr>
    </w:p>
    <w:p>
      <w:pPr>
        <w:jc w:val="both"/>
        <w:ind w:firstLine="1596"/>
        <w:spacing w:after="0" w:line="231" w:lineRule="auto"/>
        <w:tabs>
          <w:tab w:leader="none" w:pos="2089" w:val="left"/>
        </w:tabs>
        <w:numPr>
          <w:ilvl w:val="0"/>
          <w:numId w:val="219"/>
        </w:numPr>
        <w:rPr>
          <w:rFonts w:ascii="Arial" w:cs="Arial" w:eastAsia="Arial" w:hAnsi="Arial"/>
          <w:sz w:val="20"/>
          <w:szCs w:val="20"/>
          <w:color w:val="auto"/>
        </w:rPr>
      </w:pPr>
      <w:r>
        <w:rPr>
          <w:rFonts w:ascii="Arial" w:cs="Arial" w:eastAsia="Arial" w:hAnsi="Arial"/>
          <w:sz w:val="20"/>
          <w:szCs w:val="20"/>
          <w:color w:val="auto"/>
        </w:rPr>
        <w:t>Subsidiaries may (i) make dividends or other distributions to their respective equityholders with respect to their Equity Interests (which distributions shall be (x) made on at least a ratable basis to any such equityholders that are Loan Parties and (y) in the case of a Subsidiary that is not a wholly-owned Subsidiary, made on at least a ratable basis to any such equityholders that are the Borrower or a Subsidiary), (ii) make other Restricted Payments to the Borrower or any Subsidiary Guarantor (either directly or indirectly through one or more Subsidiaries that are not Loan Parties) and (iii) make any Restricted Payments that the Borrower would have otherwise been permitted to make pursuant to this Section 7.05;</w:t>
      </w:r>
    </w:p>
    <w:p>
      <w:pPr>
        <w:spacing w:after="0" w:line="155" w:lineRule="exact"/>
        <w:rPr>
          <w:rFonts w:ascii="Arial" w:cs="Arial" w:eastAsia="Arial" w:hAnsi="Arial"/>
          <w:sz w:val="20"/>
          <w:szCs w:val="20"/>
          <w:color w:val="auto"/>
        </w:rPr>
      </w:pPr>
    </w:p>
    <w:p>
      <w:pPr>
        <w:jc w:val="both"/>
        <w:ind w:firstLine="1596"/>
        <w:spacing w:after="0" w:line="220" w:lineRule="auto"/>
        <w:tabs>
          <w:tab w:leader="none" w:pos="2173" w:val="left"/>
        </w:tabs>
        <w:numPr>
          <w:ilvl w:val="0"/>
          <w:numId w:val="219"/>
        </w:numPr>
        <w:rPr>
          <w:rFonts w:ascii="Arial" w:cs="Arial" w:eastAsia="Arial" w:hAnsi="Arial"/>
          <w:sz w:val="21"/>
          <w:szCs w:val="21"/>
          <w:color w:val="auto"/>
        </w:rPr>
      </w:pPr>
      <w:r>
        <w:rPr>
          <w:rFonts w:ascii="Arial" w:cs="Arial" w:eastAsia="Arial" w:hAnsi="Arial"/>
          <w:sz w:val="21"/>
          <w:szCs w:val="21"/>
          <w:color w:val="auto"/>
        </w:rPr>
        <w:t>the Borrower may make Restricted Payments (i) for the repurchase, retirement or other acquisition or retirement for value of Equity Interests of the Borrower from any future, present or former employee, officer, director, manager or consultant of the Borrower or any Subsidiary upon the death, disability, retirement or termination of employment of any such Person or (ii) pursuant to and in accordance with any agreement (including any employment agreement), stock option or stock purchase plans, incentive plans or other benefit plans, in each case for future, present or former directors, officers, managers, employees or consultants of the Borrower and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104</w:t>
      </w:r>
    </w:p>
    <w:p>
      <w:pPr>
        <w:sectPr>
          <w:pgSz w:w="11900" w:h="16838" w:orient="portrait"/>
          <w:cols w:equalWidth="0" w:num="1">
            <w:col w:w="11240"/>
          </w:cols>
          <w:pgMar w:left="320" w:top="1152" w:right="339" w:bottom="1440" w:gutter="0" w:footer="0" w:header="0"/>
        </w:sectPr>
      </w:pPr>
    </w:p>
    <w:bookmarkStart w:id="243" w:name="page244"/>
    <w:bookmarkEnd w:id="243"/>
    <w:p>
      <w:pPr>
        <w:spacing w:after="0"/>
        <w:rPr>
          <w:sz w:val="20"/>
          <w:szCs w:val="20"/>
          <w:color w:val="auto"/>
        </w:rPr>
      </w:pPr>
      <w:r>
        <w:rPr>
          <w:rFonts w:ascii="Arial" w:cs="Arial" w:eastAsia="Arial" w:hAnsi="Arial"/>
          <w:sz w:val="20"/>
          <w:szCs w:val="20"/>
          <w:color w:val="auto"/>
        </w:rPr>
        <w:t>Subsidiaries (including, without limitation, in respect of tax withholding or other similar tax obligation related to the foregoing);</w:t>
      </w:r>
    </w:p>
    <w:p>
      <w:pPr>
        <w:spacing w:after="0" w:line="194" w:lineRule="exact"/>
        <w:rPr>
          <w:sz w:val="20"/>
          <w:szCs w:val="20"/>
          <w:color w:val="auto"/>
        </w:rPr>
      </w:pPr>
    </w:p>
    <w:p>
      <w:pPr>
        <w:jc w:val="both"/>
        <w:ind w:firstLine="1596"/>
        <w:spacing w:after="0" w:line="230" w:lineRule="auto"/>
        <w:tabs>
          <w:tab w:leader="none" w:pos="2066" w:val="left"/>
        </w:tabs>
        <w:numPr>
          <w:ilvl w:val="0"/>
          <w:numId w:val="220"/>
        </w:numPr>
        <w:rPr>
          <w:rFonts w:ascii="Arial" w:cs="Arial" w:eastAsia="Arial" w:hAnsi="Arial"/>
          <w:sz w:val="21"/>
          <w:szCs w:val="21"/>
          <w:color w:val="auto"/>
        </w:rPr>
      </w:pPr>
      <w:r>
        <w:rPr>
          <w:rFonts w:ascii="Arial" w:cs="Arial" w:eastAsia="Arial" w:hAnsi="Arial"/>
          <w:sz w:val="21"/>
          <w:szCs w:val="21"/>
          <w:color w:val="auto"/>
        </w:rPr>
        <w:t>the Borrower may repurchase Equity Interests upon the exercise of stock options or warrants if such Equity Interests represent a portion of the exercise price of such options or warrants or with the proceeds received from the substantially concurrent issue of new Equity Interests;</w:t>
      </w:r>
    </w:p>
    <w:p>
      <w:pPr>
        <w:spacing w:after="0" w:line="153" w:lineRule="exact"/>
        <w:rPr>
          <w:rFonts w:ascii="Arial" w:cs="Arial" w:eastAsia="Arial" w:hAnsi="Arial"/>
          <w:sz w:val="21"/>
          <w:szCs w:val="21"/>
          <w:color w:val="auto"/>
        </w:rPr>
      </w:pPr>
    </w:p>
    <w:p>
      <w:pPr>
        <w:ind w:firstLine="1596"/>
        <w:spacing w:after="0" w:line="239" w:lineRule="auto"/>
        <w:tabs>
          <w:tab w:leader="none" w:pos="2059" w:val="left"/>
        </w:tabs>
        <w:numPr>
          <w:ilvl w:val="0"/>
          <w:numId w:val="220"/>
        </w:numPr>
        <w:rPr>
          <w:rFonts w:ascii="Arial" w:cs="Arial" w:eastAsia="Arial" w:hAnsi="Arial"/>
          <w:sz w:val="21"/>
          <w:szCs w:val="21"/>
          <w:color w:val="auto"/>
        </w:rPr>
      </w:pPr>
      <w:r>
        <w:rPr>
          <w:rFonts w:ascii="Arial" w:cs="Arial" w:eastAsia="Arial" w:hAnsi="Arial"/>
          <w:sz w:val="21"/>
          <w:szCs w:val="21"/>
          <w:color w:val="auto"/>
        </w:rPr>
        <w:t>the Borrower and its Subsidiaries may make any other Restricted Payment so long as the aggregate amount of all such Restricted Payments during any fiscal year does not exceed $100,000,000;</w:t>
      </w:r>
    </w:p>
    <w:p>
      <w:pPr>
        <w:spacing w:after="0" w:line="155" w:lineRule="exact"/>
        <w:rPr>
          <w:rFonts w:ascii="Arial" w:cs="Arial" w:eastAsia="Arial" w:hAnsi="Arial"/>
          <w:sz w:val="21"/>
          <w:szCs w:val="21"/>
          <w:color w:val="auto"/>
        </w:rPr>
      </w:pPr>
    </w:p>
    <w:p>
      <w:pPr>
        <w:jc w:val="both"/>
        <w:ind w:firstLine="1596"/>
        <w:spacing w:after="0" w:line="231" w:lineRule="auto"/>
        <w:tabs>
          <w:tab w:leader="none" w:pos="2045" w:val="left"/>
        </w:tabs>
        <w:numPr>
          <w:ilvl w:val="0"/>
          <w:numId w:val="220"/>
        </w:numPr>
        <w:rPr>
          <w:rFonts w:ascii="Arial" w:cs="Arial" w:eastAsia="Arial" w:hAnsi="Arial"/>
          <w:sz w:val="20"/>
          <w:szCs w:val="20"/>
          <w:color w:val="auto"/>
        </w:rPr>
      </w:pPr>
      <w:r>
        <w:rPr>
          <w:rFonts w:ascii="Arial" w:cs="Arial" w:eastAsia="Arial" w:hAnsi="Arial"/>
          <w:sz w:val="20"/>
          <w:szCs w:val="20"/>
          <w:color w:val="auto"/>
        </w:rPr>
        <w:t>the Borrower or any Subsidiary may distribute Equity Interests (or rights thereto) pursuant to a stockholder rights plan or redeem such rights in accordance with the terms of such plan to the extent such Equity Interests, by their terms (or by the terms of any security, instrument, agreement or other Equity Interest into which it is convertible, or for which it is exchangeable), or upon the happening of any event or condition, do not require the Borrower or any Subsidiary to purchase, redeem, retire, defease or otherwise make any payment prior to the date which is ninety-one (91) days after the Maturity Date in respect of any such Equity Interests or any warrant, right or option to acquire such Equity Interests; and</w:t>
      </w:r>
    </w:p>
    <w:p>
      <w:pPr>
        <w:spacing w:after="0" w:line="155" w:lineRule="exact"/>
        <w:rPr>
          <w:rFonts w:ascii="Arial" w:cs="Arial" w:eastAsia="Arial" w:hAnsi="Arial"/>
          <w:sz w:val="20"/>
          <w:szCs w:val="20"/>
          <w:color w:val="auto"/>
        </w:rPr>
      </w:pPr>
    </w:p>
    <w:p>
      <w:pPr>
        <w:jc w:val="both"/>
        <w:ind w:firstLine="1596"/>
        <w:spacing w:after="0" w:line="230" w:lineRule="auto"/>
        <w:tabs>
          <w:tab w:leader="none" w:pos="2152" w:val="left"/>
        </w:tabs>
        <w:numPr>
          <w:ilvl w:val="0"/>
          <w:numId w:val="220"/>
        </w:numPr>
        <w:rPr>
          <w:rFonts w:ascii="Arial" w:cs="Arial" w:eastAsia="Arial" w:hAnsi="Arial"/>
          <w:sz w:val="21"/>
          <w:szCs w:val="21"/>
          <w:color w:val="auto"/>
        </w:rPr>
      </w:pPr>
      <w:r>
        <w:rPr>
          <w:rFonts w:ascii="Arial" w:cs="Arial" w:eastAsia="Arial" w:hAnsi="Arial"/>
          <w:sz w:val="21"/>
          <w:szCs w:val="21"/>
          <w:color w:val="auto"/>
        </w:rPr>
        <w:t>the Borrower and its Subsidiaries may make any other Restricted Payment so long as the Consolidated Leverage Ratio, calculated as of the last day of the most recently ended fiscal quarter of the Borrower to give effect to the making of such Restricted Payment on a pro forma basis does not exceed 3.00:1.00.</w:t>
      </w:r>
    </w:p>
    <w:p>
      <w:pPr>
        <w:spacing w:after="0" w:line="154" w:lineRule="exact"/>
        <w:rPr>
          <w:sz w:val="20"/>
          <w:szCs w:val="20"/>
          <w:color w:val="auto"/>
        </w:rPr>
      </w:pPr>
    </w:p>
    <w:p>
      <w:pPr>
        <w:jc w:val="both"/>
        <w:ind w:right="40" w:firstLine="954"/>
        <w:spacing w:after="0" w:line="222" w:lineRule="auto"/>
        <w:rPr>
          <w:sz w:val="20"/>
          <w:szCs w:val="20"/>
          <w:color w:val="auto"/>
        </w:rPr>
      </w:pPr>
      <w:r>
        <w:rPr>
          <w:rFonts w:ascii="Arial" w:cs="Arial" w:eastAsia="Arial" w:hAnsi="Arial"/>
          <w:sz w:val="21"/>
          <w:szCs w:val="21"/>
          <w:color w:val="auto"/>
        </w:rPr>
        <w:t xml:space="preserve">Section 7.06 </w:t>
      </w:r>
      <w:r>
        <w:rPr>
          <w:rFonts w:ascii="Arial" w:cs="Arial" w:eastAsia="Arial" w:hAnsi="Arial"/>
          <w:sz w:val="21"/>
          <w:szCs w:val="21"/>
          <w:u w:val="single" w:color="auto"/>
          <w:color w:val="auto"/>
        </w:rPr>
        <w:t>Consolidated Leverage Ratio</w:t>
      </w:r>
      <w:r>
        <w:rPr>
          <w:rFonts w:ascii="Arial" w:cs="Arial" w:eastAsia="Arial" w:hAnsi="Arial"/>
          <w:sz w:val="21"/>
          <w:szCs w:val="21"/>
          <w:color w:val="auto"/>
        </w:rPr>
        <w:t xml:space="preserve">. Borrower will not permit the Consolidated Leverage Ratio as of the last day of any fiscal quarter of the Borrower to exceed 3.50:1.00;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on no more than two (2) occasions during the term of this Agreement, upon the consummation of a Qualified Acquisition, then the ratio set forth above shall be deemed increased to 4.00:1.00 as of the last day of each of the four fiscal quarters ending immediately after the most recent such Qualified Acquisition (including the fiscal quarter in which such Qualified Acquisition was consummated).</w:t>
      </w:r>
    </w:p>
    <w:p>
      <w:pPr>
        <w:spacing w:after="0" w:line="155" w:lineRule="exact"/>
        <w:rPr>
          <w:sz w:val="20"/>
          <w:szCs w:val="20"/>
          <w:color w:val="auto"/>
        </w:rPr>
      </w:pPr>
    </w:p>
    <w:p>
      <w:pPr>
        <w:ind w:left="5000"/>
        <w:spacing w:after="0"/>
        <w:rPr>
          <w:sz w:val="20"/>
          <w:szCs w:val="20"/>
          <w:color w:val="auto"/>
        </w:rPr>
      </w:pPr>
      <w:r>
        <w:rPr>
          <w:rFonts w:ascii="Arial" w:cs="Arial" w:eastAsia="Arial" w:hAnsi="Arial"/>
          <w:sz w:val="21"/>
          <w:szCs w:val="21"/>
          <w:color w:val="auto"/>
        </w:rPr>
        <w:t>ARTICLE 8</w:t>
      </w:r>
    </w:p>
    <w:p>
      <w:pPr>
        <w:spacing w:after="0" w:line="183" w:lineRule="exact"/>
        <w:rPr>
          <w:sz w:val="20"/>
          <w:szCs w:val="20"/>
          <w:color w:val="auto"/>
        </w:rPr>
      </w:pPr>
    </w:p>
    <w:p>
      <w:pPr>
        <w:ind w:left="3760"/>
        <w:spacing w:after="0"/>
        <w:rPr>
          <w:sz w:val="20"/>
          <w:szCs w:val="20"/>
          <w:color w:val="auto"/>
        </w:rPr>
      </w:pPr>
      <w:r>
        <w:rPr>
          <w:rFonts w:ascii="Arial" w:cs="Arial" w:eastAsia="Arial" w:hAnsi="Arial"/>
          <w:sz w:val="21"/>
          <w:szCs w:val="21"/>
          <w:color w:val="auto"/>
        </w:rPr>
        <w:t>EVENTS OF DEFAULT AND REMEDIES</w:t>
      </w:r>
    </w:p>
    <w:p>
      <w:pPr>
        <w:spacing w:after="0" w:line="183" w:lineRule="exact"/>
        <w:rPr>
          <w:sz w:val="20"/>
          <w:szCs w:val="20"/>
          <w:color w:val="auto"/>
        </w:rPr>
      </w:pPr>
    </w:p>
    <w:p>
      <w:pPr>
        <w:ind w:left="960"/>
        <w:spacing w:after="0"/>
        <w:tabs>
          <w:tab w:leader="none" w:pos="2220" w:val="left"/>
        </w:tabs>
        <w:rPr>
          <w:sz w:val="20"/>
          <w:szCs w:val="20"/>
          <w:color w:val="auto"/>
        </w:rPr>
      </w:pPr>
      <w:r>
        <w:rPr>
          <w:rFonts w:ascii="Arial" w:cs="Arial" w:eastAsia="Arial" w:hAnsi="Arial"/>
          <w:sz w:val="21"/>
          <w:szCs w:val="21"/>
          <w:color w:val="auto"/>
        </w:rPr>
        <w:t>Section 8.01</w:t>
      </w:r>
      <w:r>
        <w:rPr>
          <w:sz w:val="20"/>
          <w:szCs w:val="20"/>
          <w:color w:val="auto"/>
        </w:rPr>
        <w:tab/>
      </w:r>
      <w:r>
        <w:rPr>
          <w:rFonts w:ascii="Arial" w:cs="Arial" w:eastAsia="Arial" w:hAnsi="Arial"/>
          <w:sz w:val="19"/>
          <w:szCs w:val="19"/>
          <w:u w:val="single" w:color="auto"/>
          <w:color w:val="auto"/>
        </w:rPr>
        <w:t>Events of Default</w:t>
      </w:r>
      <w:r>
        <w:rPr>
          <w:rFonts w:ascii="Arial" w:cs="Arial" w:eastAsia="Arial" w:hAnsi="Arial"/>
          <w:sz w:val="19"/>
          <w:szCs w:val="19"/>
          <w:color w:val="auto"/>
        </w:rPr>
        <w:t>. Subject to</w:t>
      </w:r>
      <w:r>
        <w:rPr>
          <w:rFonts w:ascii="Arial" w:cs="Arial" w:eastAsia="Arial" w:hAnsi="Arial"/>
          <w:sz w:val="19"/>
          <w:szCs w:val="19"/>
          <w:u w:val="single" w:color="auto"/>
          <w:color w:val="auto"/>
        </w:rPr>
        <w:t xml:space="preserve"> Section 8.04</w:t>
      </w:r>
      <w:r>
        <w:rPr>
          <w:rFonts w:ascii="Arial" w:cs="Arial" w:eastAsia="Arial" w:hAnsi="Arial"/>
          <w:sz w:val="19"/>
          <w:szCs w:val="19"/>
          <w:color w:val="auto"/>
        </w:rPr>
        <w:t>, any of the following will constitute an “</w:t>
      </w:r>
      <w:r>
        <w:rPr>
          <w:rFonts w:ascii="Arial" w:cs="Arial" w:eastAsia="Arial" w:hAnsi="Arial"/>
          <w:sz w:val="19"/>
          <w:szCs w:val="19"/>
          <w:u w:val="single" w:color="auto"/>
          <w:color w:val="auto"/>
        </w:rPr>
        <w:t>Event of Default</w:t>
      </w:r>
      <w:r>
        <w:rPr>
          <w:rFonts w:ascii="Arial" w:cs="Arial" w:eastAsia="Arial" w:hAnsi="Arial"/>
          <w:sz w:val="19"/>
          <w:szCs w:val="19"/>
          <w:color w:val="auto"/>
        </w:rPr>
        <w:t>”:</w:t>
      </w:r>
    </w:p>
    <w:p>
      <w:pPr>
        <w:spacing w:after="0" w:line="183" w:lineRule="exact"/>
        <w:rPr>
          <w:sz w:val="20"/>
          <w:szCs w:val="20"/>
          <w:color w:val="auto"/>
        </w:rPr>
      </w:pPr>
    </w:p>
    <w:p>
      <w:pPr>
        <w:jc w:val="both"/>
        <w:ind w:right="40" w:firstLine="1036"/>
        <w:spacing w:after="0" w:line="225" w:lineRule="auto"/>
        <w:tabs>
          <w:tab w:leader="none" w:pos="1554" w:val="left"/>
        </w:tabs>
        <w:numPr>
          <w:ilvl w:val="1"/>
          <w:numId w:val="221"/>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Non-Payment</w:t>
      </w:r>
      <w:r>
        <w:rPr>
          <w:rFonts w:ascii="Arial" w:cs="Arial" w:eastAsia="Arial" w:hAnsi="Arial"/>
          <w:sz w:val="21"/>
          <w:szCs w:val="21"/>
          <w:color w:val="auto"/>
        </w:rPr>
        <w:t xml:space="preserve">. The Borrower fails to pay when and as required to be paid herein, and in the currency required hereunder, (i) any amount of principal of any Loan or any L/C Obligation or (ii) within five (5) Business Days after the same becomes due, any interest on any Loan or on any L/C Obligation, any fee due hereunder or any other amount payable hereunder or under any other Loan Document (other than an amount specified in </w:t>
      </w:r>
      <w:r>
        <w:rPr>
          <w:rFonts w:ascii="Arial" w:cs="Arial" w:eastAsia="Arial" w:hAnsi="Arial"/>
          <w:sz w:val="21"/>
          <w:szCs w:val="21"/>
          <w:u w:val="single" w:color="auto"/>
          <w:color w:val="auto"/>
        </w:rPr>
        <w:t>clause (i)</w:t>
      </w:r>
      <w:r>
        <w:rPr>
          <w:rFonts w:ascii="Arial" w:cs="Arial" w:eastAsia="Arial" w:hAnsi="Arial"/>
          <w:sz w:val="21"/>
          <w:szCs w:val="21"/>
          <w:color w:val="auto"/>
        </w:rPr>
        <w:t xml:space="preserve"> above);</w:t>
      </w:r>
    </w:p>
    <w:p>
      <w:pPr>
        <w:spacing w:after="0" w:line="154" w:lineRule="exact"/>
        <w:rPr>
          <w:rFonts w:ascii="Arial" w:cs="Arial" w:eastAsia="Arial" w:hAnsi="Arial"/>
          <w:sz w:val="21"/>
          <w:szCs w:val="21"/>
          <w:u w:val="single" w:color="auto"/>
          <w:color w:val="auto"/>
        </w:rPr>
      </w:pPr>
    </w:p>
    <w:p>
      <w:pPr>
        <w:ind w:right="40" w:firstLine="642"/>
        <w:spacing w:after="0" w:line="263" w:lineRule="auto"/>
        <w:tabs>
          <w:tab w:leader="none" w:pos="1110" w:val="left"/>
        </w:tabs>
        <w:numPr>
          <w:ilvl w:val="0"/>
          <w:numId w:val="222"/>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Specific Covenants</w:t>
      </w:r>
      <w:r>
        <w:rPr>
          <w:rFonts w:ascii="Arial" w:cs="Arial" w:eastAsia="Arial" w:hAnsi="Arial"/>
          <w:sz w:val="20"/>
          <w:szCs w:val="20"/>
          <w:color w:val="auto"/>
        </w:rPr>
        <w:t xml:space="preserve">. Any Loan Party fails to perform or observe any term, covenant or agreement contained in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6.02(c)</w:t>
      </w:r>
      <w:r>
        <w:rPr>
          <w:rFonts w:ascii="Arial" w:cs="Arial" w:eastAsia="Arial" w:hAnsi="Arial"/>
          <w:sz w:val="20"/>
          <w:szCs w:val="20"/>
          <w:color w:val="auto"/>
        </w:rPr>
        <w:t xml:space="preserve">, </w:t>
      </w:r>
      <w:r>
        <w:rPr>
          <w:rFonts w:ascii="Arial" w:cs="Arial" w:eastAsia="Arial" w:hAnsi="Arial"/>
          <w:sz w:val="20"/>
          <w:szCs w:val="20"/>
          <w:u w:val="single" w:color="auto"/>
          <w:color w:val="auto"/>
        </w:rPr>
        <w:t>6.04(a)</w:t>
      </w:r>
      <w:r>
        <w:rPr>
          <w:rFonts w:ascii="Arial" w:cs="Arial" w:eastAsia="Arial" w:hAnsi="Arial"/>
          <w:sz w:val="20"/>
          <w:szCs w:val="20"/>
          <w:color w:val="auto"/>
        </w:rPr>
        <w:t xml:space="preserve"> (with respect to existence of the Borrower or any other Loan Party), </w:t>
      </w:r>
      <w:r>
        <w:rPr>
          <w:rFonts w:ascii="Arial" w:cs="Arial" w:eastAsia="Arial" w:hAnsi="Arial"/>
          <w:sz w:val="20"/>
          <w:szCs w:val="20"/>
          <w:u w:val="single" w:color="auto"/>
          <w:color w:val="auto"/>
        </w:rPr>
        <w:t>6.06</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9.11</w:t>
      </w:r>
      <w:r>
        <w:rPr>
          <w:rFonts w:ascii="Arial" w:cs="Arial" w:eastAsia="Arial" w:hAnsi="Arial"/>
          <w:sz w:val="20"/>
          <w:szCs w:val="20"/>
          <w:color w:val="auto"/>
        </w:rPr>
        <w:t xml:space="preserve"> or in </w:t>
      </w:r>
      <w:r>
        <w:rPr>
          <w:rFonts w:ascii="Arial" w:cs="Arial" w:eastAsia="Arial" w:hAnsi="Arial"/>
          <w:sz w:val="20"/>
          <w:szCs w:val="20"/>
          <w:u w:val="single" w:color="auto"/>
          <w:color w:val="auto"/>
        </w:rPr>
        <w:t>Article VII</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105</w:t>
      </w:r>
    </w:p>
    <w:p>
      <w:pPr>
        <w:sectPr>
          <w:pgSz w:w="11900" w:h="16838" w:orient="portrait"/>
          <w:cols w:equalWidth="0" w:num="1">
            <w:col w:w="11240"/>
          </w:cols>
          <w:pgMar w:left="320" w:top="1152" w:right="339" w:bottom="1440" w:gutter="0" w:footer="0" w:header="0"/>
        </w:sectPr>
      </w:pPr>
    </w:p>
    <w:bookmarkStart w:id="244" w:name="page245"/>
    <w:bookmarkEnd w:id="244"/>
    <w:p>
      <w:pPr>
        <w:jc w:val="both"/>
        <w:ind w:left="-40" w:firstLine="1036"/>
        <w:spacing w:after="0" w:line="261" w:lineRule="auto"/>
        <w:tabs>
          <w:tab w:leader="none" w:pos="1521" w:val="left"/>
        </w:tabs>
        <w:numPr>
          <w:ilvl w:val="0"/>
          <w:numId w:val="223"/>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Other Defaults</w:t>
      </w:r>
      <w:r>
        <w:rPr>
          <w:rFonts w:ascii="Arial" w:cs="Arial" w:eastAsia="Arial" w:hAnsi="Arial"/>
          <w:sz w:val="19"/>
          <w:szCs w:val="19"/>
          <w:color w:val="auto"/>
        </w:rPr>
        <w:t xml:space="preserve">. Any Loan Party fails to perform or observe any other covenant or agreement (not specified in </w:t>
      </w:r>
      <w:r>
        <w:rPr>
          <w:rFonts w:ascii="Arial" w:cs="Arial" w:eastAsia="Arial" w:hAnsi="Arial"/>
          <w:sz w:val="19"/>
          <w:szCs w:val="19"/>
          <w:u w:val="single" w:color="auto"/>
          <w:color w:val="auto"/>
        </w:rPr>
        <w:t>Section 8.01(a)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8.01(b)</w:t>
      </w:r>
      <w:r>
        <w:rPr>
          <w:rFonts w:ascii="Arial" w:cs="Arial" w:eastAsia="Arial" w:hAnsi="Arial"/>
          <w:sz w:val="19"/>
          <w:szCs w:val="19"/>
          <w:color w:val="auto"/>
        </w:rPr>
        <w:t>) contained in any Loan Document on its part to be performed or observed and such failure continues for thirty (30) days after notice thereof from the Administrative Agent (given at the request of any Lender) to the Borrower;</w:t>
      </w:r>
    </w:p>
    <w:p>
      <w:pPr>
        <w:spacing w:after="0" w:line="135" w:lineRule="exact"/>
        <w:rPr>
          <w:rFonts w:ascii="Arial" w:cs="Arial" w:eastAsia="Arial" w:hAnsi="Arial"/>
          <w:sz w:val="19"/>
          <w:szCs w:val="19"/>
          <w:u w:val="single" w:color="auto"/>
          <w:color w:val="auto"/>
        </w:rPr>
      </w:pPr>
    </w:p>
    <w:p>
      <w:pPr>
        <w:jc w:val="both"/>
        <w:ind w:left="-40" w:firstLine="1036"/>
        <w:spacing w:after="0" w:line="225" w:lineRule="auto"/>
        <w:tabs>
          <w:tab w:leader="none" w:pos="1501" w:val="left"/>
        </w:tabs>
        <w:numPr>
          <w:ilvl w:val="0"/>
          <w:numId w:val="223"/>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Representations and Warranties</w:t>
      </w:r>
      <w:r>
        <w:rPr>
          <w:rFonts w:ascii="Arial" w:cs="Arial" w:eastAsia="Arial" w:hAnsi="Arial"/>
          <w:sz w:val="21"/>
          <w:szCs w:val="21"/>
          <w:color w:val="auto"/>
        </w:rPr>
        <w:t>. Any representation and warranty made or deemed made by or on behalf of any Loan Party herein or in any other Loan Document, or any statement made by or on behalf of any Loan Party or any Responsible Officer thereof in any certificate delivered in connection with any Loan Document, is incorrect in any material respect when made or deemed made;</w:t>
      </w:r>
    </w:p>
    <w:p>
      <w:pPr>
        <w:spacing w:after="0" w:line="154" w:lineRule="exact"/>
        <w:rPr>
          <w:rFonts w:ascii="Arial" w:cs="Arial" w:eastAsia="Arial" w:hAnsi="Arial"/>
          <w:sz w:val="21"/>
          <w:szCs w:val="21"/>
          <w:u w:val="single" w:color="auto"/>
          <w:color w:val="auto"/>
        </w:rPr>
      </w:pPr>
    </w:p>
    <w:p>
      <w:pPr>
        <w:jc w:val="both"/>
        <w:ind w:left="-40" w:firstLine="1036"/>
        <w:spacing w:after="0" w:line="225" w:lineRule="auto"/>
        <w:tabs>
          <w:tab w:leader="none" w:pos="1477" w:val="left"/>
        </w:tabs>
        <w:numPr>
          <w:ilvl w:val="0"/>
          <w:numId w:val="223"/>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Cross-Default</w:t>
      </w:r>
      <w:r>
        <w:rPr>
          <w:rFonts w:ascii="Arial" w:cs="Arial" w:eastAsia="Arial" w:hAnsi="Arial"/>
          <w:sz w:val="20"/>
          <w:szCs w:val="20"/>
          <w:color w:val="auto"/>
        </w:rPr>
        <w:t xml:space="preserve">. (i) The Borrower or any Material Subsidiary fails to make any payment of principal or interest in respect of any Material Indebtedness, when and as the same shall become due and payable (after giving effect to any applicable grace periods), (ii) any event or condition occurs that (A) results in any Material Indebtedness becoming due prior to its scheduled maturity or (B) enables or permits (after giving effect to any applicable grace periods)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this </w:t>
      </w:r>
      <w:r>
        <w:rPr>
          <w:rFonts w:ascii="Arial" w:cs="Arial" w:eastAsia="Arial" w:hAnsi="Arial"/>
          <w:sz w:val="20"/>
          <w:szCs w:val="20"/>
          <w:u w:val="single" w:color="auto"/>
          <w:color w:val="auto"/>
        </w:rPr>
        <w:t>Section 8</w:t>
      </w:r>
      <w:r>
        <w:rPr>
          <w:rFonts w:ascii="Arial" w:cs="Arial" w:eastAsia="Arial" w:hAnsi="Arial"/>
          <w:sz w:val="20"/>
          <w:szCs w:val="20"/>
          <w:color w:val="auto"/>
        </w:rPr>
        <w:t>.</w:t>
      </w:r>
      <w:r>
        <w:rPr>
          <w:rFonts w:ascii="Arial" w:cs="Arial" w:eastAsia="Arial" w:hAnsi="Arial"/>
          <w:sz w:val="20"/>
          <w:szCs w:val="20"/>
          <w:u w:val="single" w:color="auto"/>
          <w:color w:val="auto"/>
        </w:rPr>
        <w:t>01(e)(ii)</w:t>
      </w:r>
      <w:r>
        <w:rPr>
          <w:rFonts w:ascii="Arial" w:cs="Arial" w:eastAsia="Arial" w:hAnsi="Arial"/>
          <w:sz w:val="20"/>
          <w:szCs w:val="20"/>
          <w:color w:val="auto"/>
        </w:rPr>
        <w:t xml:space="preserve"> shall not apply to (x) secured Indebtedness that becomes due as a result of the voluntary sale or transfer of the property or assets securing such Indebtedness if such secured Indebtedness is paid when due, (y) any repayment, satisfaction and discharge or redemption of any Acquisition Indebtedness if the related Acquisition is not consummated or (z) any Indebtedness that becomes due as a result of a voluntary refinancing thereof or (iii) there occurs under any Swap Contract an early termination date resulting from (x) any event of default under such Swap Contract as to which the Borrower or any Material Subsidiary is the defaulting party thereunder or (y) any termination event under such Swap Contract as to which the Borrower or any Material Subsidiary is an affected party thereunder and, in either event, the Swap Termination Value owed by the Borrower or such Material Subsidiary as a result thereof is greater than $75,000,000;</w:t>
      </w:r>
    </w:p>
    <w:p>
      <w:pPr>
        <w:spacing w:after="0" w:line="161" w:lineRule="exact"/>
        <w:rPr>
          <w:rFonts w:ascii="Arial" w:cs="Arial" w:eastAsia="Arial" w:hAnsi="Arial"/>
          <w:sz w:val="20"/>
          <w:szCs w:val="20"/>
          <w:u w:val="single" w:color="auto"/>
          <w:color w:val="auto"/>
        </w:rPr>
      </w:pPr>
    </w:p>
    <w:p>
      <w:pPr>
        <w:jc w:val="both"/>
        <w:ind w:left="-40" w:firstLine="1036"/>
        <w:spacing w:after="0" w:line="241" w:lineRule="auto"/>
        <w:tabs>
          <w:tab w:leader="none" w:pos="1459" w:val="left"/>
        </w:tabs>
        <w:numPr>
          <w:ilvl w:val="0"/>
          <w:numId w:val="223"/>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Insolvency Proceedings, Etc</w:t>
      </w:r>
      <w:r>
        <w:rPr>
          <w:rFonts w:ascii="Arial" w:cs="Arial" w:eastAsia="Arial" w:hAnsi="Arial"/>
          <w:sz w:val="19"/>
          <w:szCs w:val="19"/>
          <w:color w:val="auto"/>
        </w:rPr>
        <w:t>. The Borrower or any Material Subsidiary institutes or consents to the institution of any proceeding under any Debtor Relief Law, or makes an assignment for the benefit of creditors, or applies for or consents to the appointment of any receiver, trustee, custodian, conservator, liquidator, rehabilitator, examiner or similar officer for it or for all or any material part of its property; any receiver, trustee, custodian, conservator, liquidator, rehabilitator, examiner or similar officer is appointed without the application or consent of the Borrower or any Material Subsidiary and the appointment continues undischarged or unstayed for sixty (60) calendar days; or any proceeding under any Debtor Relief Law relating to the Borrower or any Material Subsidiary or to all or any material part of its property is instituted without the consent of such Person and continues undismissed or unstayed for sixty (60) calendar days, or an order for relief is entered in any such proceeding;</w:t>
      </w:r>
    </w:p>
    <w:p>
      <w:pPr>
        <w:spacing w:after="0" w:line="152" w:lineRule="exact"/>
        <w:rPr>
          <w:rFonts w:ascii="Arial" w:cs="Arial" w:eastAsia="Arial" w:hAnsi="Arial"/>
          <w:sz w:val="19"/>
          <w:szCs w:val="19"/>
          <w:u w:val="single" w:color="auto"/>
          <w:color w:val="auto"/>
        </w:rPr>
      </w:pPr>
    </w:p>
    <w:p>
      <w:pPr>
        <w:jc w:val="both"/>
        <w:ind w:left="-40" w:firstLine="1036"/>
        <w:spacing w:after="0" w:line="236" w:lineRule="auto"/>
        <w:tabs>
          <w:tab w:leader="none" w:pos="1532" w:val="left"/>
        </w:tabs>
        <w:numPr>
          <w:ilvl w:val="0"/>
          <w:numId w:val="223"/>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Inability to Pay Debts; Attachment</w:t>
      </w:r>
      <w:r>
        <w:rPr>
          <w:rFonts w:ascii="Arial" w:cs="Arial" w:eastAsia="Arial" w:hAnsi="Arial"/>
          <w:sz w:val="20"/>
          <w:szCs w:val="20"/>
          <w:color w:val="auto"/>
        </w:rPr>
        <w:t>. (i) The Borrower or any Material Subsidiary becomes unable or admits in writing its inability or fails generally to pay its debts as they become due, or (ii) any writ or warrant of attachment or execution or similar process is issued or levied against all or any material part of the property of the Borrower or any Material Subsidiary and is not released, vacated or fully bonded within thirty (30) days after its issue or levy;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106</w:t>
      </w:r>
    </w:p>
    <w:p>
      <w:pPr>
        <w:sectPr>
          <w:pgSz w:w="11900" w:h="16838" w:orient="portrait"/>
          <w:cols w:equalWidth="0" w:num="1">
            <w:col w:w="11160"/>
          </w:cols>
          <w:pgMar w:left="360" w:top="1152" w:right="379" w:bottom="1440" w:gutter="0" w:footer="0" w:header="0"/>
        </w:sectPr>
      </w:pPr>
    </w:p>
    <w:bookmarkStart w:id="245" w:name="page246"/>
    <w:bookmarkEnd w:id="245"/>
    <w:p>
      <w:pPr>
        <w:jc w:val="both"/>
        <w:ind w:firstLine="1036"/>
        <w:spacing w:after="0" w:line="222" w:lineRule="auto"/>
        <w:tabs>
          <w:tab w:leader="none" w:pos="1565" w:val="left"/>
        </w:tabs>
        <w:numPr>
          <w:ilvl w:val="1"/>
          <w:numId w:val="224"/>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Judgments</w:t>
      </w:r>
      <w:r>
        <w:rPr>
          <w:rFonts w:ascii="Arial" w:cs="Arial" w:eastAsia="Arial" w:hAnsi="Arial"/>
          <w:sz w:val="21"/>
          <w:szCs w:val="21"/>
          <w:color w:val="auto"/>
        </w:rPr>
        <w:t>. There is entered against the Borrower or any Material Subsidiary a final judgment or order for the payment of money in an aggregate amount exceeding $75,000,000 (to the extent not covered by independent third-party insurance as to which the insurer does not dispute coverage) and (i) enforcement proceedings are commenced by any creditor upon such judgment or order and (ii) there is a period of thirty (30) consecutive days during which execution shall not have been effectively stayed, vacated or bonded pending appeal or otherwise;</w:t>
      </w:r>
    </w:p>
    <w:p>
      <w:pPr>
        <w:spacing w:after="0" w:line="155" w:lineRule="exact"/>
        <w:rPr>
          <w:rFonts w:ascii="Arial" w:cs="Arial" w:eastAsia="Arial" w:hAnsi="Arial"/>
          <w:sz w:val="21"/>
          <w:szCs w:val="21"/>
          <w:u w:val="single" w:color="auto"/>
          <w:color w:val="auto"/>
        </w:rPr>
      </w:pPr>
    </w:p>
    <w:p>
      <w:pPr>
        <w:ind w:left="1280" w:hanging="762"/>
        <w:spacing w:after="0"/>
        <w:tabs>
          <w:tab w:leader="none" w:pos="1280" w:val="left"/>
        </w:tabs>
        <w:numPr>
          <w:ilvl w:val="0"/>
          <w:numId w:val="225"/>
        </w:numPr>
        <w:rPr>
          <w:rFonts w:ascii="Arial" w:cs="Arial" w:eastAsia="Arial" w:hAnsi="Arial"/>
          <w:sz w:val="21"/>
          <w:szCs w:val="21"/>
          <w:color w:val="auto"/>
        </w:rPr>
      </w:pPr>
      <w:r>
        <w:rPr>
          <w:rFonts w:ascii="Arial" w:cs="Arial" w:eastAsia="Arial" w:hAnsi="Arial"/>
          <w:sz w:val="21"/>
          <w:szCs w:val="21"/>
          <w:u w:val="single" w:color="auto"/>
          <w:color w:val="auto"/>
        </w:rPr>
        <w:t>ERISA</w:t>
      </w:r>
      <w:r>
        <w:rPr>
          <w:rFonts w:ascii="Arial" w:cs="Arial" w:eastAsia="Arial" w:hAnsi="Arial"/>
          <w:sz w:val="21"/>
          <w:szCs w:val="21"/>
          <w:color w:val="auto"/>
        </w:rPr>
        <w:t>. An ERISA Event occurs with respect to a Pension Plan or</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color w:val="auto"/>
        </w:rPr>
        <w:t>Multiemployer Plan which has resulted or would reasonably be expected to result in a Material Adverse Effect;</w:t>
      </w:r>
    </w:p>
    <w:p>
      <w:pPr>
        <w:spacing w:after="0" w:line="183" w:lineRule="exact"/>
        <w:rPr>
          <w:sz w:val="20"/>
          <w:szCs w:val="20"/>
          <w:color w:val="auto"/>
        </w:rPr>
      </w:pPr>
    </w:p>
    <w:p>
      <w:pPr>
        <w:jc w:val="both"/>
        <w:ind w:firstLine="1036"/>
        <w:spacing w:after="0" w:line="222" w:lineRule="auto"/>
        <w:tabs>
          <w:tab w:leader="none" w:pos="1578" w:val="left"/>
        </w:tabs>
        <w:numPr>
          <w:ilvl w:val="0"/>
          <w:numId w:val="226"/>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Invalidity of Loan Documents</w:t>
      </w:r>
      <w:r>
        <w:rPr>
          <w:rFonts w:ascii="Arial" w:cs="Arial" w:eastAsia="Arial" w:hAnsi="Arial"/>
          <w:sz w:val="21"/>
          <w:szCs w:val="21"/>
          <w:color w:val="auto"/>
        </w:rPr>
        <w:t xml:space="preserve">. Any material provision of this Agreement, any other Loan Document or any material Guarantee under the Obligations Guarantee shall, for any reason, cease to be in full force and effect, or any Loan Party shall contest in writing the validity or enforceability of this Agreement, any other Loan Document or any such Guarantee, in each case, other than in accordance with the terms hereof and thereof (including, in the case of a Subsidiary Guarantor, as a result of the release of such Subsidiary Guarantor in accordance with </w:t>
      </w:r>
      <w:r>
        <w:rPr>
          <w:rFonts w:ascii="Arial" w:cs="Arial" w:eastAsia="Arial" w:hAnsi="Arial"/>
          <w:sz w:val="21"/>
          <w:szCs w:val="21"/>
          <w:u w:val="single" w:color="auto"/>
          <w:color w:val="auto"/>
        </w:rPr>
        <w:t>Section 10.10</w:t>
      </w:r>
      <w:r>
        <w:rPr>
          <w:rFonts w:ascii="Arial" w:cs="Arial" w:eastAsia="Arial" w:hAnsi="Arial"/>
          <w:sz w:val="21"/>
          <w:szCs w:val="21"/>
          <w:color w:val="auto"/>
        </w:rPr>
        <w:t>); or</w:t>
      </w:r>
    </w:p>
    <w:p>
      <w:pPr>
        <w:spacing w:after="0" w:line="155" w:lineRule="exact"/>
        <w:rPr>
          <w:rFonts w:ascii="Arial" w:cs="Arial" w:eastAsia="Arial" w:hAnsi="Arial"/>
          <w:sz w:val="21"/>
          <w:szCs w:val="21"/>
          <w:u w:val="single" w:color="auto"/>
          <w:color w:val="auto"/>
        </w:rPr>
      </w:pPr>
    </w:p>
    <w:p>
      <w:pPr>
        <w:ind w:left="1500" w:hanging="464"/>
        <w:spacing w:after="0"/>
        <w:tabs>
          <w:tab w:leader="none" w:pos="1500" w:val="left"/>
        </w:tabs>
        <w:numPr>
          <w:ilvl w:val="0"/>
          <w:numId w:val="226"/>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Change of Control</w:t>
      </w:r>
      <w:r>
        <w:rPr>
          <w:rFonts w:ascii="Arial" w:cs="Arial" w:eastAsia="Arial" w:hAnsi="Arial"/>
          <w:sz w:val="21"/>
          <w:szCs w:val="21"/>
          <w:color w:val="auto"/>
        </w:rPr>
        <w:t>. There occurs any Change of Control.</w:t>
      </w:r>
    </w:p>
    <w:p>
      <w:pPr>
        <w:spacing w:after="0" w:line="183" w:lineRule="exact"/>
        <w:rPr>
          <w:sz w:val="20"/>
          <w:szCs w:val="20"/>
          <w:color w:val="auto"/>
        </w:rPr>
      </w:pPr>
    </w:p>
    <w:p>
      <w:pPr>
        <w:jc w:val="both"/>
        <w:ind w:firstLine="954"/>
        <w:spacing w:after="0" w:line="230" w:lineRule="auto"/>
        <w:rPr>
          <w:sz w:val="20"/>
          <w:szCs w:val="20"/>
          <w:color w:val="auto"/>
        </w:rPr>
      </w:pPr>
      <w:r>
        <w:rPr>
          <w:rFonts w:ascii="Arial" w:cs="Arial" w:eastAsia="Arial" w:hAnsi="Arial"/>
          <w:sz w:val="21"/>
          <w:szCs w:val="21"/>
          <w:color w:val="auto"/>
        </w:rPr>
        <w:t xml:space="preserve">Section 8.02 </w:t>
      </w:r>
      <w:r>
        <w:rPr>
          <w:rFonts w:ascii="Arial" w:cs="Arial" w:eastAsia="Arial" w:hAnsi="Arial"/>
          <w:sz w:val="21"/>
          <w:szCs w:val="21"/>
          <w:u w:val="single" w:color="auto"/>
          <w:color w:val="auto"/>
        </w:rPr>
        <w:t>Remedies Upon Event of Default</w:t>
      </w:r>
      <w:r>
        <w:rPr>
          <w:rFonts w:ascii="Arial" w:cs="Arial" w:eastAsia="Arial" w:hAnsi="Arial"/>
          <w:sz w:val="21"/>
          <w:szCs w:val="21"/>
          <w:color w:val="auto"/>
        </w:rPr>
        <w:t>. If any Event of Default occurs and is continuing, the Administrative Agent will at the request of, or may with the consent of, the Required Lenders, take any or all of the following actions from and after the Effective Date:</w:t>
      </w:r>
    </w:p>
    <w:p>
      <w:pPr>
        <w:spacing w:after="0" w:line="154" w:lineRule="exact"/>
        <w:rPr>
          <w:sz w:val="20"/>
          <w:szCs w:val="20"/>
          <w:color w:val="auto"/>
        </w:rPr>
      </w:pPr>
    </w:p>
    <w:p>
      <w:pPr>
        <w:ind w:firstLine="1036"/>
        <w:spacing w:after="0" w:line="239" w:lineRule="auto"/>
        <w:tabs>
          <w:tab w:leader="none" w:pos="1503" w:val="left"/>
        </w:tabs>
        <w:numPr>
          <w:ilvl w:val="0"/>
          <w:numId w:val="227"/>
        </w:numPr>
        <w:rPr>
          <w:rFonts w:ascii="Arial" w:cs="Arial" w:eastAsia="Arial" w:hAnsi="Arial"/>
          <w:sz w:val="21"/>
          <w:szCs w:val="21"/>
          <w:color w:val="auto"/>
        </w:rPr>
      </w:pPr>
      <w:r>
        <w:rPr>
          <w:rFonts w:ascii="Arial" w:cs="Arial" w:eastAsia="Arial" w:hAnsi="Arial"/>
          <w:sz w:val="21"/>
          <w:szCs w:val="21"/>
          <w:color w:val="auto"/>
        </w:rPr>
        <w:t>declare the Commitments and any obligation of each L/C Issuer to make L/C Credit Extensions to be terminated, whereupon all the Commitments and all such obligations shall immediately terminate;</w:t>
      </w:r>
    </w:p>
    <w:p>
      <w:pPr>
        <w:spacing w:after="0" w:line="155" w:lineRule="exact"/>
        <w:rPr>
          <w:rFonts w:ascii="Arial" w:cs="Arial" w:eastAsia="Arial" w:hAnsi="Arial"/>
          <w:sz w:val="21"/>
          <w:szCs w:val="21"/>
          <w:color w:val="auto"/>
        </w:rPr>
      </w:pPr>
    </w:p>
    <w:p>
      <w:pPr>
        <w:jc w:val="both"/>
        <w:ind w:firstLine="1036"/>
        <w:spacing w:after="0" w:line="242" w:lineRule="auto"/>
        <w:tabs>
          <w:tab w:leader="none" w:pos="1489" w:val="left"/>
        </w:tabs>
        <w:numPr>
          <w:ilvl w:val="0"/>
          <w:numId w:val="227"/>
        </w:numPr>
        <w:rPr>
          <w:rFonts w:ascii="Arial" w:cs="Arial" w:eastAsia="Arial" w:hAnsi="Arial"/>
          <w:sz w:val="20"/>
          <w:szCs w:val="20"/>
          <w:color w:val="auto"/>
        </w:rPr>
      </w:pPr>
      <w:r>
        <w:rPr>
          <w:rFonts w:ascii="Arial" w:cs="Arial" w:eastAsia="Arial" w:hAnsi="Arial"/>
          <w:sz w:val="20"/>
          <w:szCs w:val="20"/>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Loan Parties;</w:t>
      </w:r>
    </w:p>
    <w:p>
      <w:pPr>
        <w:spacing w:after="0" w:line="152" w:lineRule="exact"/>
        <w:rPr>
          <w:rFonts w:ascii="Arial" w:cs="Arial" w:eastAsia="Arial" w:hAnsi="Arial"/>
          <w:sz w:val="20"/>
          <w:szCs w:val="20"/>
          <w:color w:val="auto"/>
        </w:rPr>
      </w:pPr>
    </w:p>
    <w:p>
      <w:pPr>
        <w:jc w:val="both"/>
        <w:ind w:firstLine="1036"/>
        <w:spacing w:after="0" w:line="230" w:lineRule="auto"/>
        <w:tabs>
          <w:tab w:leader="none" w:pos="1566" w:val="left"/>
        </w:tabs>
        <w:numPr>
          <w:ilvl w:val="0"/>
          <w:numId w:val="227"/>
        </w:numPr>
        <w:rPr>
          <w:rFonts w:ascii="Arial" w:cs="Arial" w:eastAsia="Arial" w:hAnsi="Arial"/>
          <w:sz w:val="21"/>
          <w:szCs w:val="21"/>
          <w:color w:val="auto"/>
        </w:rPr>
      </w:pPr>
      <w:r>
        <w:rPr>
          <w:rFonts w:ascii="Arial" w:cs="Arial" w:eastAsia="Arial" w:hAnsi="Arial"/>
          <w:sz w:val="21"/>
          <w:szCs w:val="21"/>
          <w:color w:val="auto"/>
        </w:rPr>
        <w:t>require that the Borrower Cash Collateralize the L/C Obligations (in an amount equal to the then Outstanding Amount thereof), without presentment, demand, protest or other notice of any kind, all of which are hereby expressly waived by the Loan Parties; and</w:t>
      </w:r>
    </w:p>
    <w:p>
      <w:pPr>
        <w:spacing w:after="0" w:line="153" w:lineRule="exact"/>
        <w:rPr>
          <w:rFonts w:ascii="Arial" w:cs="Arial" w:eastAsia="Arial" w:hAnsi="Arial"/>
          <w:sz w:val="21"/>
          <w:szCs w:val="21"/>
          <w:color w:val="auto"/>
        </w:rPr>
      </w:pPr>
    </w:p>
    <w:p>
      <w:pPr>
        <w:jc w:val="both"/>
        <w:ind w:firstLine="1036"/>
        <w:spacing w:after="0" w:line="242" w:lineRule="auto"/>
        <w:tabs>
          <w:tab w:leader="none" w:pos="1493" w:val="left"/>
        </w:tabs>
        <w:numPr>
          <w:ilvl w:val="0"/>
          <w:numId w:val="227"/>
        </w:numPr>
        <w:rPr>
          <w:rFonts w:ascii="Arial" w:cs="Arial" w:eastAsia="Arial" w:hAnsi="Arial"/>
          <w:sz w:val="19"/>
          <w:szCs w:val="19"/>
          <w:color w:val="auto"/>
        </w:rPr>
      </w:pPr>
      <w:r>
        <w:rPr>
          <w:rFonts w:ascii="Arial" w:cs="Arial" w:eastAsia="Arial" w:hAnsi="Arial"/>
          <w:sz w:val="19"/>
          <w:szCs w:val="19"/>
          <w:color w:val="auto"/>
        </w:rPr>
        <w:t xml:space="preserve">exercise on behalf of itself, the Lenders and the L/C Issuers all rights and remedies available to the Administrative Agent, the Lenders and the L/C Issuers under the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upon the occurrence of an actual or deemed entry of an order for relief with respect to the Borrower under Debtor Relief Laws, all Commitments and all the obligations of each L/C Issuer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any Lender or any L/C Issuer and without presentment,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107</w:t>
      </w:r>
    </w:p>
    <w:p>
      <w:pPr>
        <w:sectPr>
          <w:pgSz w:w="11900" w:h="16838" w:orient="portrait"/>
          <w:cols w:equalWidth="0" w:num="1">
            <w:col w:w="11200"/>
          </w:cols>
          <w:pgMar w:left="320" w:top="1152" w:right="379" w:bottom="1440" w:gutter="0" w:footer="0" w:header="0"/>
        </w:sectPr>
      </w:pPr>
    </w:p>
    <w:bookmarkStart w:id="246" w:name="page247"/>
    <w:bookmarkEnd w:id="246"/>
    <w:p>
      <w:pPr>
        <w:spacing w:after="0"/>
        <w:rPr>
          <w:sz w:val="20"/>
          <w:szCs w:val="20"/>
          <w:color w:val="auto"/>
        </w:rPr>
      </w:pPr>
      <w:r>
        <w:rPr>
          <w:rFonts w:ascii="Arial" w:cs="Arial" w:eastAsia="Arial" w:hAnsi="Arial"/>
          <w:sz w:val="21"/>
          <w:szCs w:val="21"/>
          <w:color w:val="auto"/>
        </w:rPr>
        <w:t>protest or other notice of any kind, all of which are hereby expressly waived by the Loan Parties.</w:t>
      </w:r>
    </w:p>
    <w:p>
      <w:pPr>
        <w:spacing w:after="0" w:line="183" w:lineRule="exact"/>
        <w:rPr>
          <w:sz w:val="20"/>
          <w:szCs w:val="20"/>
          <w:color w:val="auto"/>
        </w:rPr>
      </w:pPr>
    </w:p>
    <w:p>
      <w:pPr>
        <w:jc w:val="both"/>
        <w:ind w:right="40" w:firstLine="954"/>
        <w:spacing w:after="0" w:line="225" w:lineRule="auto"/>
        <w:rPr>
          <w:sz w:val="20"/>
          <w:szCs w:val="20"/>
          <w:color w:val="auto"/>
        </w:rPr>
      </w:pPr>
      <w:r>
        <w:rPr>
          <w:rFonts w:ascii="Arial" w:cs="Arial" w:eastAsia="Arial" w:hAnsi="Arial"/>
          <w:sz w:val="21"/>
          <w:szCs w:val="21"/>
          <w:color w:val="auto"/>
        </w:rPr>
        <w:t xml:space="preserve">Section 8.03 </w:t>
      </w:r>
      <w:r>
        <w:rPr>
          <w:rFonts w:ascii="Arial" w:cs="Arial" w:eastAsia="Arial" w:hAnsi="Arial"/>
          <w:sz w:val="21"/>
          <w:szCs w:val="21"/>
          <w:u w:val="single" w:color="auto"/>
          <w:color w:val="auto"/>
        </w:rPr>
        <w:t>Application of Funds</w:t>
      </w:r>
      <w:r>
        <w:rPr>
          <w:rFonts w:ascii="Arial" w:cs="Arial" w:eastAsia="Arial" w:hAnsi="Arial"/>
          <w:sz w:val="21"/>
          <w:szCs w:val="21"/>
          <w:color w:val="auto"/>
        </w:rPr>
        <w:t xml:space="preserve">. After the exercise of remedies provided for in </w:t>
      </w:r>
      <w:r>
        <w:rPr>
          <w:rFonts w:ascii="Arial" w:cs="Arial" w:eastAsia="Arial" w:hAnsi="Arial"/>
          <w:sz w:val="21"/>
          <w:szCs w:val="21"/>
          <w:u w:val="single" w:color="auto"/>
          <w:color w:val="auto"/>
        </w:rPr>
        <w:t>Section 8.02</w:t>
      </w:r>
      <w:r>
        <w:rPr>
          <w:rFonts w:ascii="Arial" w:cs="Arial" w:eastAsia="Arial" w:hAnsi="Arial"/>
          <w:sz w:val="21"/>
          <w:szCs w:val="21"/>
          <w:color w:val="auto"/>
        </w:rPr>
        <w:t xml:space="preserve"> (or after the Loans have automatically become immediately due and payable and the L/C Obligations have automatically been required to be Cash Collateralized as set forth in the proviso to </w:t>
      </w:r>
      <w:r>
        <w:rPr>
          <w:rFonts w:ascii="Arial" w:cs="Arial" w:eastAsia="Arial" w:hAnsi="Arial"/>
          <w:sz w:val="21"/>
          <w:szCs w:val="21"/>
          <w:u w:val="single" w:color="auto"/>
          <w:color w:val="auto"/>
        </w:rPr>
        <w:t>Section 8.02</w:t>
      </w:r>
      <w:r>
        <w:rPr>
          <w:rFonts w:ascii="Arial" w:cs="Arial" w:eastAsia="Arial" w:hAnsi="Arial"/>
          <w:sz w:val="21"/>
          <w:szCs w:val="21"/>
          <w:color w:val="auto"/>
        </w:rPr>
        <w:t xml:space="preserve">), any amounts received on account of the Obligations will, subject to </w:t>
      </w:r>
      <w:r>
        <w:rPr>
          <w:rFonts w:ascii="Arial" w:cs="Arial" w:eastAsia="Arial" w:hAnsi="Arial"/>
          <w:sz w:val="21"/>
          <w:szCs w:val="21"/>
          <w:u w:val="single" w:color="auto"/>
          <w:color w:val="auto"/>
        </w:rPr>
        <w:t>Sections 2.15</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2.16</w:t>
      </w:r>
      <w:r>
        <w:rPr>
          <w:rFonts w:ascii="Arial" w:cs="Arial" w:eastAsia="Arial" w:hAnsi="Arial"/>
          <w:sz w:val="21"/>
          <w:szCs w:val="21"/>
          <w:color w:val="auto"/>
        </w:rPr>
        <w:t>, be applied by the Administrative Agent in the following order:</w:t>
      </w:r>
    </w:p>
    <w:p>
      <w:pPr>
        <w:spacing w:after="0" w:line="154" w:lineRule="exact"/>
        <w:rPr>
          <w:sz w:val="20"/>
          <w:szCs w:val="20"/>
          <w:color w:val="auto"/>
        </w:rPr>
      </w:pPr>
    </w:p>
    <w:p>
      <w:pPr>
        <w:jc w:val="both"/>
        <w:ind w:firstLine="624"/>
        <w:spacing w:after="0" w:line="230" w:lineRule="auto"/>
        <w:rPr>
          <w:sz w:val="20"/>
          <w:szCs w:val="20"/>
          <w:color w:val="auto"/>
        </w:rPr>
      </w:pPr>
      <w:r>
        <w:rPr>
          <w:rFonts w:ascii="Arial" w:cs="Arial" w:eastAsia="Arial" w:hAnsi="Arial"/>
          <w:sz w:val="21"/>
          <w:szCs w:val="21"/>
          <w:u w:val="single" w:color="auto"/>
          <w:color w:val="auto"/>
        </w:rPr>
        <w:t>First</w:t>
      </w:r>
      <w:r>
        <w:rPr>
          <w:rFonts w:ascii="Arial" w:cs="Arial" w:eastAsia="Arial" w:hAnsi="Arial"/>
          <w:sz w:val="21"/>
          <w:szCs w:val="21"/>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21"/>
          <w:szCs w:val="21"/>
          <w:u w:val="single" w:color="auto"/>
          <w:color w:val="auto"/>
        </w:rPr>
        <w:t>Article III</w:t>
      </w:r>
      <w:r>
        <w:rPr>
          <w:rFonts w:ascii="Arial" w:cs="Arial" w:eastAsia="Arial" w:hAnsi="Arial"/>
          <w:sz w:val="21"/>
          <w:szCs w:val="21"/>
          <w:color w:val="auto"/>
        </w:rPr>
        <w:t>) payable to the Administrative Agent in their capacity as such;</w:t>
      </w:r>
    </w:p>
    <w:p>
      <w:pPr>
        <w:spacing w:after="0" w:line="154" w:lineRule="exact"/>
        <w:rPr>
          <w:sz w:val="20"/>
          <w:szCs w:val="20"/>
          <w:color w:val="auto"/>
        </w:rPr>
      </w:pPr>
    </w:p>
    <w:p>
      <w:pPr>
        <w:jc w:val="both"/>
        <w:ind w:firstLine="624"/>
        <w:spacing w:after="0" w:line="225" w:lineRule="auto"/>
        <w:rPr>
          <w:sz w:val="20"/>
          <w:szCs w:val="20"/>
          <w:color w:val="auto"/>
        </w:rPr>
      </w:pPr>
      <w:r>
        <w:rPr>
          <w:rFonts w:ascii="Arial" w:cs="Arial" w:eastAsia="Arial" w:hAnsi="Arial"/>
          <w:sz w:val="21"/>
          <w:szCs w:val="21"/>
          <w:u w:val="single" w:color="auto"/>
          <w:color w:val="auto"/>
        </w:rPr>
        <w:t>Second</w:t>
      </w:r>
      <w:r>
        <w:rPr>
          <w:rFonts w:ascii="Arial" w:cs="Arial" w:eastAsia="Arial" w:hAnsi="Arial"/>
          <w:sz w:val="21"/>
          <w:szCs w:val="21"/>
          <w:color w:val="auto"/>
        </w:rPr>
        <w:t xml:space="preserve">, to payment of that portion of the Obligations constituting fees, indemnities and reimbursements payable to the Lenders, the L/C Issuers or the Arrangers (including fees, charges and disbursements of counsel to the Lenders, the L/C Issuers or the Arrangers and amounts payable under </w:t>
      </w:r>
      <w:r>
        <w:rPr>
          <w:rFonts w:ascii="Arial" w:cs="Arial" w:eastAsia="Arial" w:hAnsi="Arial"/>
          <w:sz w:val="21"/>
          <w:szCs w:val="21"/>
          <w:u w:val="single" w:color="auto"/>
          <w:color w:val="auto"/>
        </w:rPr>
        <w:t>Article III</w:t>
      </w:r>
      <w:r>
        <w:rPr>
          <w:rFonts w:ascii="Arial" w:cs="Arial" w:eastAsia="Arial" w:hAnsi="Arial"/>
          <w:sz w:val="21"/>
          <w:szCs w:val="21"/>
          <w:color w:val="auto"/>
        </w:rPr>
        <w:t xml:space="preserve">), ratably among them in proportion to the respective amounts described in this clause </w:t>
      </w:r>
      <w:r>
        <w:rPr>
          <w:rFonts w:ascii="Arial" w:cs="Arial" w:eastAsia="Arial" w:hAnsi="Arial"/>
          <w:sz w:val="21"/>
          <w:szCs w:val="21"/>
          <w:u w:val="single" w:color="auto"/>
          <w:color w:val="auto"/>
        </w:rPr>
        <w:t>Second</w:t>
      </w:r>
      <w:r>
        <w:rPr>
          <w:rFonts w:ascii="Arial" w:cs="Arial" w:eastAsia="Arial" w:hAnsi="Arial"/>
          <w:sz w:val="21"/>
          <w:szCs w:val="21"/>
          <w:color w:val="auto"/>
        </w:rPr>
        <w:t xml:space="preserve"> payable to them;</w:t>
      </w:r>
    </w:p>
    <w:p>
      <w:pPr>
        <w:spacing w:after="0" w:line="154" w:lineRule="exact"/>
        <w:rPr>
          <w:sz w:val="20"/>
          <w:szCs w:val="20"/>
          <w:color w:val="auto"/>
        </w:rPr>
      </w:pPr>
    </w:p>
    <w:p>
      <w:pPr>
        <w:jc w:val="both"/>
        <w:ind w:firstLine="624"/>
        <w:spacing w:after="0" w:line="230" w:lineRule="auto"/>
        <w:rPr>
          <w:sz w:val="20"/>
          <w:szCs w:val="20"/>
          <w:color w:val="auto"/>
        </w:rPr>
      </w:pPr>
      <w:r>
        <w:rPr>
          <w:rFonts w:ascii="Arial" w:cs="Arial" w:eastAsia="Arial" w:hAnsi="Arial"/>
          <w:sz w:val="21"/>
          <w:szCs w:val="21"/>
          <w:u w:val="single" w:color="auto"/>
          <w:color w:val="auto"/>
        </w:rPr>
        <w:t>Third</w:t>
      </w:r>
      <w:r>
        <w:rPr>
          <w:rFonts w:ascii="Arial" w:cs="Arial" w:eastAsia="Arial" w:hAnsi="Arial"/>
          <w:sz w:val="21"/>
          <w:szCs w:val="21"/>
          <w:color w:val="auto"/>
        </w:rPr>
        <w:t xml:space="preserve">, to payment of that portion of the Obligations constituting accrued and unpaid interest on the Loans, the L/C Borrowings and the other Obligations, ratably among the Lenders and the L/C Issuers in proportion to the respective amounts described in this clause </w:t>
      </w:r>
      <w:r>
        <w:rPr>
          <w:rFonts w:ascii="Arial" w:cs="Arial" w:eastAsia="Arial" w:hAnsi="Arial"/>
          <w:sz w:val="21"/>
          <w:szCs w:val="21"/>
          <w:u w:val="single" w:color="auto"/>
          <w:color w:val="auto"/>
        </w:rPr>
        <w:t>Third</w:t>
      </w:r>
      <w:r>
        <w:rPr>
          <w:rFonts w:ascii="Arial" w:cs="Arial" w:eastAsia="Arial" w:hAnsi="Arial"/>
          <w:sz w:val="21"/>
          <w:szCs w:val="21"/>
          <w:color w:val="auto"/>
        </w:rPr>
        <w:t xml:space="preserve"> payable to them;</w:t>
      </w:r>
    </w:p>
    <w:p>
      <w:pPr>
        <w:spacing w:after="0" w:line="154" w:lineRule="exact"/>
        <w:rPr>
          <w:sz w:val="20"/>
          <w:szCs w:val="20"/>
          <w:color w:val="auto"/>
        </w:rPr>
      </w:pPr>
    </w:p>
    <w:p>
      <w:pPr>
        <w:jc w:val="both"/>
        <w:ind w:firstLine="624"/>
        <w:spacing w:after="0" w:line="290" w:lineRule="auto"/>
        <w:rPr>
          <w:sz w:val="20"/>
          <w:szCs w:val="20"/>
          <w:color w:val="auto"/>
        </w:rPr>
      </w:pPr>
      <w:r>
        <w:rPr>
          <w:rFonts w:ascii="Arial" w:cs="Arial" w:eastAsia="Arial" w:hAnsi="Arial"/>
          <w:sz w:val="19"/>
          <w:szCs w:val="19"/>
          <w:u w:val="single" w:color="auto"/>
          <w:color w:val="auto"/>
        </w:rPr>
        <w:t>Fourth</w:t>
      </w:r>
      <w:r>
        <w:rPr>
          <w:rFonts w:ascii="Arial" w:cs="Arial" w:eastAsia="Arial" w:hAnsi="Arial"/>
          <w:sz w:val="19"/>
          <w:szCs w:val="19"/>
          <w:color w:val="auto"/>
        </w:rPr>
        <w:t xml:space="preserve">, to payment of that portion of the Obligations constituting unpaid principal of the Loans and L/C Borrowings, ratably among the Lenders and the L/C Issuers in proportion to the respective amounts described in this clause </w:t>
      </w:r>
      <w:r>
        <w:rPr>
          <w:rFonts w:ascii="Arial" w:cs="Arial" w:eastAsia="Arial" w:hAnsi="Arial"/>
          <w:sz w:val="19"/>
          <w:szCs w:val="19"/>
          <w:u w:val="single" w:color="auto"/>
          <w:color w:val="auto"/>
        </w:rPr>
        <w:t>Fourth</w:t>
      </w:r>
      <w:r>
        <w:rPr>
          <w:rFonts w:ascii="Arial" w:cs="Arial" w:eastAsia="Arial" w:hAnsi="Arial"/>
          <w:sz w:val="19"/>
          <w:szCs w:val="19"/>
          <w:color w:val="auto"/>
        </w:rPr>
        <w:t xml:space="preserve"> held by them;</w:t>
      </w:r>
    </w:p>
    <w:p>
      <w:pPr>
        <w:spacing w:after="0" w:line="108" w:lineRule="exact"/>
        <w:rPr>
          <w:sz w:val="20"/>
          <w:szCs w:val="20"/>
          <w:color w:val="auto"/>
        </w:rPr>
      </w:pPr>
    </w:p>
    <w:p>
      <w:pPr>
        <w:jc w:val="both"/>
        <w:ind w:firstLine="624"/>
        <w:spacing w:after="0" w:line="230" w:lineRule="auto"/>
        <w:rPr>
          <w:sz w:val="20"/>
          <w:szCs w:val="20"/>
          <w:color w:val="auto"/>
        </w:rPr>
      </w:pPr>
      <w:r>
        <w:rPr>
          <w:rFonts w:ascii="Arial" w:cs="Arial" w:eastAsia="Arial" w:hAnsi="Arial"/>
          <w:sz w:val="21"/>
          <w:szCs w:val="21"/>
          <w:u w:val="single" w:color="auto"/>
          <w:color w:val="auto"/>
        </w:rPr>
        <w:t>Fifth</w:t>
      </w:r>
      <w:r>
        <w:rPr>
          <w:rFonts w:ascii="Arial" w:cs="Arial" w:eastAsia="Arial" w:hAnsi="Arial"/>
          <w:sz w:val="21"/>
          <w:szCs w:val="21"/>
          <w:color w:val="auto"/>
        </w:rPr>
        <w:t xml:space="preserve">, to the Administrative Agent for the account of each L/C Issuer, to Cash Collateralize that portion of L/C Obligations comprised of the aggregate undrawn amount of Letters of Credit to the extent not otherwise Cash Collateralized by the Borrower pursuant to </w:t>
      </w:r>
      <w:r>
        <w:rPr>
          <w:rFonts w:ascii="Arial" w:cs="Arial" w:eastAsia="Arial" w:hAnsi="Arial"/>
          <w:sz w:val="21"/>
          <w:szCs w:val="21"/>
          <w:u w:val="single" w:color="auto"/>
          <w:color w:val="auto"/>
        </w:rPr>
        <w:t>Sections 2.04</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2.15</w:t>
      </w:r>
      <w:r>
        <w:rPr>
          <w:rFonts w:ascii="Arial" w:cs="Arial" w:eastAsia="Arial" w:hAnsi="Arial"/>
          <w:sz w:val="21"/>
          <w:szCs w:val="21"/>
          <w:color w:val="auto"/>
        </w:rPr>
        <w:t>; and</w:t>
      </w:r>
    </w:p>
    <w:p>
      <w:pPr>
        <w:spacing w:after="0" w:line="154" w:lineRule="exact"/>
        <w:rPr>
          <w:sz w:val="20"/>
          <w:szCs w:val="20"/>
          <w:color w:val="auto"/>
        </w:rPr>
      </w:pPr>
    </w:p>
    <w:p>
      <w:pPr>
        <w:jc w:val="both"/>
        <w:ind w:firstLine="624"/>
        <w:spacing w:after="0" w:line="239" w:lineRule="auto"/>
        <w:rPr>
          <w:sz w:val="20"/>
          <w:szCs w:val="20"/>
          <w:color w:val="auto"/>
        </w:rPr>
      </w:pPr>
      <w:r>
        <w:rPr>
          <w:rFonts w:ascii="Arial" w:cs="Arial" w:eastAsia="Arial" w:hAnsi="Arial"/>
          <w:sz w:val="21"/>
          <w:szCs w:val="21"/>
          <w:u w:val="single" w:color="auto"/>
          <w:color w:val="auto"/>
        </w:rPr>
        <w:t>Last</w:t>
      </w:r>
      <w:r>
        <w:rPr>
          <w:rFonts w:ascii="Arial" w:cs="Arial" w:eastAsia="Arial" w:hAnsi="Arial"/>
          <w:sz w:val="21"/>
          <w:szCs w:val="21"/>
          <w:color w:val="auto"/>
        </w:rPr>
        <w:t>, the balance, if any, after all of the Obligations have been indefeasibly paid in full, to the Borrower or as otherwise required by Law.</w:t>
      </w:r>
    </w:p>
    <w:p>
      <w:pPr>
        <w:spacing w:after="0" w:line="155" w:lineRule="exact"/>
        <w:rPr>
          <w:sz w:val="20"/>
          <w:szCs w:val="20"/>
          <w:color w:val="auto"/>
        </w:rPr>
      </w:pPr>
    </w:p>
    <w:p>
      <w:pPr>
        <w:jc w:val="both"/>
        <w:ind w:firstLine="624"/>
        <w:spacing w:after="0" w:line="233" w:lineRule="auto"/>
        <w:rPr>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Sections 2.04(c)</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2.15</w:t>
      </w:r>
      <w:r>
        <w:rPr>
          <w:rFonts w:ascii="Arial" w:cs="Arial" w:eastAsia="Arial" w:hAnsi="Arial"/>
          <w:sz w:val="20"/>
          <w:szCs w:val="20"/>
          <w:color w:val="auto"/>
        </w:rPr>
        <w:t xml:space="preserve">, amounts used to Cash Collateralize the aggregate undrawn amount of Letters of Credit pursuant to clause </w:t>
      </w:r>
      <w:r>
        <w:rPr>
          <w:rFonts w:ascii="Arial" w:cs="Arial" w:eastAsia="Arial" w:hAnsi="Arial"/>
          <w:sz w:val="20"/>
          <w:szCs w:val="20"/>
          <w:u w:val="single" w:color="auto"/>
          <w:color w:val="auto"/>
        </w:rPr>
        <w:t>Fifth</w:t>
      </w:r>
      <w:r>
        <w:rPr>
          <w:rFonts w:ascii="Arial" w:cs="Arial" w:eastAsia="Arial" w:hAnsi="Arial"/>
          <w:sz w:val="20"/>
          <w:szCs w:val="20"/>
          <w:color w:val="auto"/>
        </w:rPr>
        <w:t xml:space="preserve"> above will be applied to satisfy drawings under such Letters of Credit as they occur. If any amount remains on deposit as Cash Collateral after all Letters of Credit have either been fully drawn or expired (other than Letters of Credit as to which other arrangements satisfactory to the applicable L/C Issuer and the Administrative Agent shall have been made), such remaining amount will be applied to the other Obligations, if any, in the order set forth above.</w:t>
      </w:r>
    </w:p>
    <w:p>
      <w:pPr>
        <w:spacing w:after="0" w:line="156" w:lineRule="exact"/>
        <w:rPr>
          <w:sz w:val="20"/>
          <w:szCs w:val="20"/>
          <w:color w:val="auto"/>
        </w:rPr>
      </w:pPr>
    </w:p>
    <w:p>
      <w:pPr>
        <w:jc w:val="both"/>
        <w:ind w:right="40" w:firstLine="954"/>
        <w:spacing w:after="0" w:line="222" w:lineRule="auto"/>
        <w:rPr>
          <w:sz w:val="20"/>
          <w:szCs w:val="20"/>
          <w:color w:val="auto"/>
        </w:rPr>
      </w:pPr>
      <w:r>
        <w:rPr>
          <w:rFonts w:ascii="Arial" w:cs="Arial" w:eastAsia="Arial" w:hAnsi="Arial"/>
          <w:sz w:val="21"/>
          <w:szCs w:val="21"/>
          <w:color w:val="auto"/>
        </w:rPr>
        <w:t xml:space="preserve">Section 8.04 </w:t>
      </w:r>
      <w:r>
        <w:rPr>
          <w:rFonts w:ascii="Arial" w:cs="Arial" w:eastAsia="Arial" w:hAnsi="Arial"/>
          <w:sz w:val="21"/>
          <w:szCs w:val="21"/>
          <w:u w:val="single" w:color="auto"/>
          <w:color w:val="auto"/>
        </w:rPr>
        <w:t>Cleanup Period</w:t>
      </w:r>
      <w:r>
        <w:rPr>
          <w:rFonts w:ascii="Arial" w:cs="Arial" w:eastAsia="Arial" w:hAnsi="Arial"/>
          <w:sz w:val="21"/>
          <w:szCs w:val="21"/>
          <w:color w:val="auto"/>
        </w:rPr>
        <w:t xml:space="preserve">. Notwithstanding anything to the contrary, if on the date of consummation of any Qualified Acquisition a matter or circumstance exists which constitutes a Default, such matter or circumstance will not constitute (other than for purposes of </w:t>
      </w:r>
      <w:r>
        <w:rPr>
          <w:rFonts w:ascii="Arial" w:cs="Arial" w:eastAsia="Arial" w:hAnsi="Arial"/>
          <w:sz w:val="21"/>
          <w:szCs w:val="21"/>
          <w:u w:val="single" w:color="auto"/>
          <w:color w:val="auto"/>
        </w:rPr>
        <w:t>Section 4.02</w:t>
      </w:r>
      <w:r>
        <w:rPr>
          <w:rFonts w:ascii="Arial" w:cs="Arial" w:eastAsia="Arial" w:hAnsi="Arial"/>
          <w:sz w:val="21"/>
          <w:szCs w:val="21"/>
          <w:color w:val="auto"/>
        </w:rPr>
        <w:t xml:space="preserve">) a Default on the date of consummation of such Qualified Acquisition and during the five-day period following such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such matter or circumstance does not constitute (i) a Major Default or (ii) a Default incapable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108</w:t>
      </w:r>
    </w:p>
    <w:p>
      <w:pPr>
        <w:sectPr>
          <w:pgSz w:w="11900" w:h="16838" w:orient="portrait"/>
          <w:cols w:equalWidth="0" w:num="1">
            <w:col w:w="11240"/>
          </w:cols>
          <w:pgMar w:left="320" w:top="1152" w:right="339" w:bottom="1440" w:gutter="0" w:footer="0" w:header="0"/>
        </w:sectPr>
      </w:pPr>
    </w:p>
    <w:bookmarkStart w:id="247" w:name="page248"/>
    <w:bookmarkEnd w:id="247"/>
    <w:p>
      <w:pPr>
        <w:jc w:val="both"/>
        <w:spacing w:after="0" w:line="263" w:lineRule="auto"/>
        <w:rPr>
          <w:sz w:val="20"/>
          <w:szCs w:val="20"/>
          <w:color w:val="auto"/>
        </w:rPr>
      </w:pPr>
      <w:r>
        <w:rPr>
          <w:rFonts w:ascii="Arial" w:cs="Arial" w:eastAsia="Arial" w:hAnsi="Arial"/>
          <w:sz w:val="20"/>
          <w:szCs w:val="20"/>
          <w:color w:val="auto"/>
        </w:rPr>
        <w:t>of being cured, (b) reasonable steps are being taken by the Borrower and its Subsidiaries to cure such Default and (c) such Default is cured or otherwise ceases to exist within five days after the date of consummation of such Qualified Acquisition.</w:t>
      </w:r>
    </w:p>
    <w:p>
      <w:pPr>
        <w:spacing w:after="0" w:line="132" w:lineRule="exact"/>
        <w:rPr>
          <w:sz w:val="20"/>
          <w:szCs w:val="20"/>
          <w:color w:val="auto"/>
        </w:rPr>
      </w:pPr>
    </w:p>
    <w:p>
      <w:pPr>
        <w:ind w:left="5000"/>
        <w:spacing w:after="0"/>
        <w:rPr>
          <w:sz w:val="20"/>
          <w:szCs w:val="20"/>
          <w:color w:val="auto"/>
        </w:rPr>
      </w:pPr>
      <w:r>
        <w:rPr>
          <w:rFonts w:ascii="Arial" w:cs="Arial" w:eastAsia="Arial" w:hAnsi="Arial"/>
          <w:sz w:val="21"/>
          <w:szCs w:val="21"/>
          <w:color w:val="auto"/>
        </w:rPr>
        <w:t>ARTICLE 9</w:t>
      </w:r>
    </w:p>
    <w:p>
      <w:pPr>
        <w:spacing w:after="0" w:line="183" w:lineRule="exact"/>
        <w:rPr>
          <w:sz w:val="20"/>
          <w:szCs w:val="20"/>
          <w:color w:val="auto"/>
        </w:rPr>
      </w:pPr>
    </w:p>
    <w:p>
      <w:pPr>
        <w:ind w:left="4980"/>
        <w:spacing w:after="0"/>
        <w:rPr>
          <w:sz w:val="20"/>
          <w:szCs w:val="20"/>
          <w:color w:val="auto"/>
        </w:rPr>
      </w:pPr>
      <w:r>
        <w:rPr>
          <w:rFonts w:ascii="Arial" w:cs="Arial" w:eastAsia="Arial" w:hAnsi="Arial"/>
          <w:sz w:val="21"/>
          <w:szCs w:val="21"/>
          <w:color w:val="auto"/>
        </w:rPr>
        <w:t>GUARANTEE</w:t>
      </w:r>
    </w:p>
    <w:p>
      <w:pPr>
        <w:spacing w:after="0" w:line="183" w:lineRule="exact"/>
        <w:rPr>
          <w:sz w:val="20"/>
          <w:szCs w:val="20"/>
          <w:color w:val="auto"/>
        </w:rPr>
      </w:pPr>
    </w:p>
    <w:p>
      <w:pPr>
        <w:jc w:val="both"/>
        <w:ind w:firstLine="954"/>
        <w:spacing w:after="0" w:line="225" w:lineRule="auto"/>
        <w:rPr>
          <w:sz w:val="20"/>
          <w:szCs w:val="20"/>
          <w:color w:val="auto"/>
        </w:rPr>
      </w:pPr>
      <w:r>
        <w:rPr>
          <w:rFonts w:ascii="Arial" w:cs="Arial" w:eastAsia="Arial" w:hAnsi="Arial"/>
          <w:sz w:val="20"/>
          <w:szCs w:val="20"/>
          <w:color w:val="auto"/>
        </w:rPr>
        <w:t xml:space="preserve">Section 9.01 </w:t>
      </w:r>
      <w:r>
        <w:rPr>
          <w:rFonts w:ascii="Arial" w:cs="Arial" w:eastAsia="Arial" w:hAnsi="Arial"/>
          <w:sz w:val="20"/>
          <w:szCs w:val="20"/>
          <w:u w:val="single" w:color="auto"/>
          <w:color w:val="auto"/>
        </w:rPr>
        <w:t>Guarantee of Obligations</w:t>
      </w:r>
      <w:r>
        <w:rPr>
          <w:rFonts w:ascii="Arial" w:cs="Arial" w:eastAsia="Arial" w:hAnsi="Arial"/>
          <w:sz w:val="20"/>
          <w:szCs w:val="20"/>
          <w:color w:val="auto"/>
        </w:rPr>
        <w:t xml:space="preserve">. Each of the Guarantors hereby, jointly and severally, absolutely, unconditionally and irrevocably, guarantees, as primary obligor and not merely as surety, to the Administrative Agent, for the benefit of the Guaranteed Parties and their respective successors, indorsees, transferees and assigns, the prompt and complete payment and performance by the Borrower and each other Guarantor, when due (whether at the stated maturity, by acceleration or otherwise) of the Obligations. Each Guarantor shall be liable under its guarantee set forth in this </w:t>
      </w:r>
      <w:r>
        <w:rPr>
          <w:rFonts w:ascii="Arial" w:cs="Arial" w:eastAsia="Arial" w:hAnsi="Arial"/>
          <w:sz w:val="20"/>
          <w:szCs w:val="20"/>
          <w:u w:val="single" w:color="auto"/>
          <w:color w:val="auto"/>
        </w:rPr>
        <w:t>Section 9.01</w:t>
      </w:r>
      <w:r>
        <w:rPr>
          <w:rFonts w:ascii="Arial" w:cs="Arial" w:eastAsia="Arial" w:hAnsi="Arial"/>
          <w:sz w:val="20"/>
          <w:szCs w:val="20"/>
          <w:color w:val="auto"/>
        </w:rPr>
        <w:t>, without any limitation as to amount, for all present and future Obligations, including specifically all future increases in the outstanding principal amount of the Loans and other future increases in the Obligations, whether or not any such increase is committed, contemplated or provided for by the Loan Documents on the date hereof. Without limiting the generality of the foregoing, each Guarantor’s liability shall extend to all Obligations (including interest, fees, costs and expenses) that would be owed by any other obligor on the Obligations but for the fact that they are unenforceable or not allowable due to the existence of a proceeding under any Debtor Relief Law involving such other obligor because it is the intention of the Guarantors and the Guaranteed Parties that the Obligations that are guaranteed by the Guarantors pursuant hereto should be determined without regard to any applicable Law or order that may relieve the Borrower or any other Guarantor of any portion of any Obligations.</w:t>
      </w:r>
    </w:p>
    <w:p>
      <w:pPr>
        <w:spacing w:after="0" w:line="165" w:lineRule="exact"/>
        <w:rPr>
          <w:sz w:val="20"/>
          <w:szCs w:val="20"/>
          <w:color w:val="auto"/>
        </w:rPr>
      </w:pPr>
    </w:p>
    <w:p>
      <w:pPr>
        <w:jc w:val="both"/>
        <w:ind w:firstLine="954"/>
        <w:spacing w:after="0" w:line="227" w:lineRule="auto"/>
        <w:rPr>
          <w:sz w:val="20"/>
          <w:szCs w:val="20"/>
          <w:color w:val="auto"/>
        </w:rPr>
      </w:pPr>
      <w:r>
        <w:rPr>
          <w:rFonts w:ascii="Arial" w:cs="Arial" w:eastAsia="Arial" w:hAnsi="Arial"/>
          <w:sz w:val="20"/>
          <w:szCs w:val="20"/>
          <w:color w:val="auto"/>
        </w:rPr>
        <w:t xml:space="preserve">Section 9.02 </w:t>
      </w:r>
      <w:r>
        <w:rPr>
          <w:rFonts w:ascii="Arial" w:cs="Arial" w:eastAsia="Arial" w:hAnsi="Arial"/>
          <w:sz w:val="20"/>
          <w:szCs w:val="20"/>
          <w:u w:val="single" w:color="auto"/>
          <w:color w:val="auto"/>
        </w:rPr>
        <w:t>Limitation on Obligations Guaranteed</w:t>
      </w:r>
      <w:r>
        <w:rPr>
          <w:rFonts w:ascii="Arial" w:cs="Arial" w:eastAsia="Arial" w:hAnsi="Arial"/>
          <w:sz w:val="20"/>
          <w:szCs w:val="20"/>
          <w:color w:val="auto"/>
        </w:rPr>
        <w:t xml:space="preserve">. (a) Notwithstanding any other provision hereof, the right of recovery against each Guarantor under this </w:t>
      </w:r>
      <w:r>
        <w:rPr>
          <w:rFonts w:ascii="Arial" w:cs="Arial" w:eastAsia="Arial" w:hAnsi="Arial"/>
          <w:sz w:val="20"/>
          <w:szCs w:val="20"/>
          <w:u w:val="single" w:color="auto"/>
          <w:color w:val="auto"/>
        </w:rPr>
        <w:t>Article IX</w:t>
      </w:r>
      <w:r>
        <w:rPr>
          <w:rFonts w:ascii="Arial" w:cs="Arial" w:eastAsia="Arial" w:hAnsi="Arial"/>
          <w:sz w:val="20"/>
          <w:szCs w:val="20"/>
          <w:color w:val="auto"/>
        </w:rPr>
        <w:t xml:space="preserve"> shall not exceed $1.00 less than the lowest amount which would render such Guarantor’s obligations under this </w:t>
      </w:r>
      <w:r>
        <w:rPr>
          <w:rFonts w:ascii="Arial" w:cs="Arial" w:eastAsia="Arial" w:hAnsi="Arial"/>
          <w:sz w:val="20"/>
          <w:szCs w:val="20"/>
          <w:u w:val="single" w:color="auto"/>
          <w:color w:val="auto"/>
        </w:rPr>
        <w:t>Article IX</w:t>
      </w:r>
      <w:r>
        <w:rPr>
          <w:rFonts w:ascii="Arial" w:cs="Arial" w:eastAsia="Arial" w:hAnsi="Arial"/>
          <w:sz w:val="20"/>
          <w:szCs w:val="20"/>
          <w:color w:val="auto"/>
        </w:rPr>
        <w:t xml:space="preserve"> void or voidable under applicable Law, including the Uniform Fraudulent Conveyance Act, the Uniform Fraudulent Transfer Act or any similar foreign, federal or state law to the extent applicable to the Obligations Guarantee set forth herein and the obligations of such Guarantor hereunder. To effectuate the foregoing, the Administrative Agent and the Guarantors hereby irrevocably agree that the obligations of each Guarantor in respect of the Obligations Guarantee set forth in this </w:t>
      </w:r>
      <w:r>
        <w:rPr>
          <w:rFonts w:ascii="Arial" w:cs="Arial" w:eastAsia="Arial" w:hAnsi="Arial"/>
          <w:sz w:val="20"/>
          <w:szCs w:val="20"/>
          <w:u w:val="single" w:color="auto"/>
          <w:color w:val="auto"/>
        </w:rPr>
        <w:t>Article IX</w:t>
      </w:r>
      <w:r>
        <w:rPr>
          <w:rFonts w:ascii="Arial" w:cs="Arial" w:eastAsia="Arial" w:hAnsi="Arial"/>
          <w:sz w:val="20"/>
          <w:szCs w:val="20"/>
          <w:color w:val="auto"/>
        </w:rPr>
        <w:t xml:space="preserve"> at any time shall be limited to the maximum amount as will result in the obligations of such Guarantor under the Obligations Guarantee not constituting a fraudulent transfer or conveyance after giving full effect to the liability under the Obligations Guarantee set forth in this </w:t>
      </w:r>
      <w:r>
        <w:rPr>
          <w:rFonts w:ascii="Arial" w:cs="Arial" w:eastAsia="Arial" w:hAnsi="Arial"/>
          <w:sz w:val="20"/>
          <w:szCs w:val="20"/>
          <w:u w:val="single" w:color="auto"/>
          <w:color w:val="auto"/>
        </w:rPr>
        <w:t>Article IX</w:t>
      </w:r>
      <w:r>
        <w:rPr>
          <w:rFonts w:ascii="Arial" w:cs="Arial" w:eastAsia="Arial" w:hAnsi="Arial"/>
          <w:sz w:val="20"/>
          <w:szCs w:val="20"/>
          <w:color w:val="auto"/>
        </w:rPr>
        <w:t xml:space="preserve"> and its related contribution rights but before taking into account any liabilities under any other Guarantee by such Guarantor.</w:t>
      </w:r>
    </w:p>
    <w:p>
      <w:pPr>
        <w:spacing w:after="0" w:line="157" w:lineRule="exact"/>
        <w:rPr>
          <w:sz w:val="20"/>
          <w:szCs w:val="20"/>
          <w:color w:val="auto"/>
        </w:rPr>
      </w:pPr>
    </w:p>
    <w:p>
      <w:pPr>
        <w:jc w:val="both"/>
        <w:ind w:firstLine="518"/>
        <w:spacing w:after="0" w:line="230" w:lineRule="auto"/>
        <w:tabs>
          <w:tab w:leader="none" w:pos="1272" w:val="left"/>
        </w:tabs>
        <w:numPr>
          <w:ilvl w:val="0"/>
          <w:numId w:val="228"/>
        </w:numPr>
        <w:rPr>
          <w:rFonts w:ascii="Arial" w:cs="Arial" w:eastAsia="Arial" w:hAnsi="Arial"/>
          <w:sz w:val="21"/>
          <w:szCs w:val="21"/>
          <w:color w:val="auto"/>
        </w:rPr>
      </w:pPr>
      <w:r>
        <w:rPr>
          <w:rFonts w:ascii="Arial" w:cs="Arial" w:eastAsia="Arial" w:hAnsi="Arial"/>
          <w:sz w:val="21"/>
          <w:szCs w:val="21"/>
          <w:color w:val="auto"/>
        </w:rPr>
        <w:t xml:space="preserve">Each Guarantor agrees that Obligations may at any time and from time to time be incurred or permitted in an amount exceeding the maximum liability of such Guarantor under </w:t>
      </w:r>
      <w:r>
        <w:rPr>
          <w:rFonts w:ascii="Arial" w:cs="Arial" w:eastAsia="Arial" w:hAnsi="Arial"/>
          <w:sz w:val="21"/>
          <w:szCs w:val="21"/>
          <w:u w:val="single" w:color="auto"/>
          <w:color w:val="auto"/>
        </w:rPr>
        <w:t>Section 9.02(a)</w:t>
      </w:r>
      <w:r>
        <w:rPr>
          <w:rFonts w:ascii="Arial" w:cs="Arial" w:eastAsia="Arial" w:hAnsi="Arial"/>
          <w:sz w:val="21"/>
          <w:szCs w:val="21"/>
          <w:color w:val="auto"/>
        </w:rPr>
        <w:t xml:space="preserve"> without impairing the Obligations Guarantee contained in this </w:t>
      </w:r>
      <w:r>
        <w:rPr>
          <w:rFonts w:ascii="Arial" w:cs="Arial" w:eastAsia="Arial" w:hAnsi="Arial"/>
          <w:sz w:val="21"/>
          <w:szCs w:val="21"/>
          <w:u w:val="single" w:color="auto"/>
          <w:color w:val="auto"/>
        </w:rPr>
        <w:t>Article IX</w:t>
      </w:r>
      <w:r>
        <w:rPr>
          <w:rFonts w:ascii="Arial" w:cs="Arial" w:eastAsia="Arial" w:hAnsi="Arial"/>
          <w:sz w:val="21"/>
          <w:szCs w:val="21"/>
          <w:color w:val="auto"/>
        </w:rPr>
        <w:t xml:space="preserve"> or affecting the rights and remedies of any Guaranteed Party hereunder.</w:t>
      </w:r>
    </w:p>
    <w:p>
      <w:pPr>
        <w:spacing w:after="0" w:line="154" w:lineRule="exact"/>
        <w:rPr>
          <w:sz w:val="20"/>
          <w:szCs w:val="20"/>
          <w:color w:val="auto"/>
        </w:rPr>
      </w:pPr>
    </w:p>
    <w:p>
      <w:pPr>
        <w:jc w:val="both"/>
        <w:ind w:firstLine="954"/>
        <w:spacing w:after="0" w:line="225" w:lineRule="auto"/>
        <w:rPr>
          <w:sz w:val="20"/>
          <w:szCs w:val="20"/>
          <w:color w:val="auto"/>
        </w:rPr>
      </w:pPr>
      <w:r>
        <w:rPr>
          <w:rFonts w:ascii="Arial" w:cs="Arial" w:eastAsia="Arial" w:hAnsi="Arial"/>
          <w:sz w:val="21"/>
          <w:szCs w:val="21"/>
          <w:color w:val="auto"/>
        </w:rPr>
        <w:t xml:space="preserve">Section 9.03 </w:t>
      </w:r>
      <w:r>
        <w:rPr>
          <w:rFonts w:ascii="Arial" w:cs="Arial" w:eastAsia="Arial" w:hAnsi="Arial"/>
          <w:sz w:val="21"/>
          <w:szCs w:val="21"/>
          <w:u w:val="single" w:color="auto"/>
          <w:color w:val="auto"/>
        </w:rPr>
        <w:t>Nature of Guarantee; Continuing Guarantee; Waivers of Defenses</w:t>
      </w:r>
      <w:r>
        <w:rPr>
          <w:rFonts w:ascii="Arial" w:cs="Arial" w:eastAsia="Arial" w:hAnsi="Arial"/>
          <w:sz w:val="21"/>
          <w:szCs w:val="21"/>
          <w:color w:val="auto"/>
        </w:rPr>
        <w:t xml:space="preserve">. (a) Each Guarantor understands and agrees that the Obligations Guarantee contained in this </w:t>
      </w:r>
      <w:r>
        <w:rPr>
          <w:rFonts w:ascii="Arial" w:cs="Arial" w:eastAsia="Arial" w:hAnsi="Arial"/>
          <w:sz w:val="21"/>
          <w:szCs w:val="21"/>
          <w:u w:val="single" w:color="auto"/>
          <w:color w:val="auto"/>
        </w:rPr>
        <w:t>Article IX</w:t>
      </w:r>
      <w:r>
        <w:rPr>
          <w:rFonts w:ascii="Arial" w:cs="Arial" w:eastAsia="Arial" w:hAnsi="Arial"/>
          <w:sz w:val="21"/>
          <w:szCs w:val="21"/>
          <w:color w:val="auto"/>
        </w:rPr>
        <w:t xml:space="preserve"> shall be construed as a continuing guarantee of payment and performance and not merely of collectability. To the extent permitted by applicable Law, each Guarantor waives diligence, presentment, protest, marshaling, demand for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109</w:t>
      </w:r>
    </w:p>
    <w:p>
      <w:pPr>
        <w:sectPr>
          <w:pgSz w:w="11900" w:h="16838" w:orient="portrait"/>
          <w:cols w:equalWidth="0" w:num="1">
            <w:col w:w="11200"/>
          </w:cols>
          <w:pgMar w:left="320" w:top="1152" w:right="379" w:bottom="1440" w:gutter="0" w:footer="0" w:header="0"/>
        </w:sectPr>
      </w:pPr>
    </w:p>
    <w:bookmarkStart w:id="248" w:name="page249"/>
    <w:bookmarkEnd w:id="248"/>
    <w:p>
      <w:pPr>
        <w:jc w:val="both"/>
        <w:spacing w:after="0" w:line="236" w:lineRule="auto"/>
        <w:rPr>
          <w:sz w:val="20"/>
          <w:szCs w:val="20"/>
          <w:color w:val="auto"/>
        </w:rPr>
      </w:pPr>
      <w:r>
        <w:rPr>
          <w:rFonts w:ascii="Arial" w:cs="Arial" w:eastAsia="Arial" w:hAnsi="Arial"/>
          <w:sz w:val="20"/>
          <w:szCs w:val="20"/>
          <w:color w:val="auto"/>
        </w:rPr>
        <w:t>notice of dishonor, notice of default and notice of nonpayment to or upon the Borrower or any of the other Guarantors with respect to the Obligations. Without limiting the generality of the foregoing, this Obligations Guarantee and the obligations of the Guarantors hereunder shall be valid and enforceable and shall not be subject to any reduction, limitation, impairment, set-off, defense, counterclaim, discharge or termination for any reason (other than a Discharge of Obligations).</w:t>
      </w:r>
    </w:p>
    <w:p>
      <w:pPr>
        <w:spacing w:after="0" w:line="155" w:lineRule="exact"/>
        <w:rPr>
          <w:sz w:val="20"/>
          <w:szCs w:val="20"/>
          <w:color w:val="auto"/>
        </w:rPr>
      </w:pPr>
    </w:p>
    <w:p>
      <w:pPr>
        <w:jc w:val="both"/>
        <w:ind w:firstLine="1036"/>
        <w:spacing w:after="0" w:line="238" w:lineRule="auto"/>
        <w:tabs>
          <w:tab w:leader="none" w:pos="1671" w:val="left"/>
        </w:tabs>
        <w:numPr>
          <w:ilvl w:val="0"/>
          <w:numId w:val="229"/>
        </w:numPr>
        <w:rPr>
          <w:rFonts w:ascii="Arial" w:cs="Arial" w:eastAsia="Arial" w:hAnsi="Arial"/>
          <w:sz w:val="19"/>
          <w:szCs w:val="19"/>
          <w:color w:val="auto"/>
        </w:rPr>
      </w:pPr>
      <w:r>
        <w:rPr>
          <w:rFonts w:ascii="Arial" w:cs="Arial" w:eastAsia="Arial" w:hAnsi="Arial"/>
          <w:sz w:val="19"/>
          <w:szCs w:val="19"/>
          <w:color w:val="auto"/>
        </w:rPr>
        <w:t>Each Guarantor agrees that the Obligations Guarantee of each Guarantor hereunder is independent of the Obligations Guarantee of each other Guarantor and of any other guarantee of the Obligations and when making any demand hereunder or otherwise pursuing its rights and remedies hereunder against any Guarantor, any Guaranteed Party may, but shall be under no obligation to, make a similar demand on or otherwise pursue such rights and remedies as it may have against the Borrower and any other Guarantor or any other Person or against any other guarantee for the Obligations or any right of offset with respect thereto, and any failure by any Guaranteed Party to make any such demand, to pursue such other rights or remedies or to collect any payments from the Borrower and any other Guarantor or any other Person or to realize upon any such guarantee or to exercise any such right of offset, or any release of the Borrower and any other Guarantor or any other Person or any such guarantee or right of offset, shall not relieve any Guarantor of any obligation or liability hereunder, and shall not impair or affect the rights and remedies, whether express, implied or available as a matter of law, of any Guaranteed Party against any Guarantor. For the purposes hereof “demand” shall include the commencement and continuance of any legal proceedings.</w:t>
      </w:r>
    </w:p>
    <w:p>
      <w:pPr>
        <w:spacing w:after="0" w:line="160" w:lineRule="exact"/>
        <w:rPr>
          <w:rFonts w:ascii="Arial" w:cs="Arial" w:eastAsia="Arial" w:hAnsi="Arial"/>
          <w:sz w:val="19"/>
          <w:szCs w:val="19"/>
          <w:color w:val="auto"/>
        </w:rPr>
      </w:pPr>
    </w:p>
    <w:p>
      <w:pPr>
        <w:jc w:val="both"/>
        <w:ind w:firstLine="1036"/>
        <w:spacing w:after="0" w:line="220" w:lineRule="auto"/>
        <w:tabs>
          <w:tab w:leader="none" w:pos="1585" w:val="left"/>
        </w:tabs>
        <w:numPr>
          <w:ilvl w:val="0"/>
          <w:numId w:val="229"/>
        </w:numPr>
        <w:rPr>
          <w:rFonts w:ascii="Arial" w:cs="Arial" w:eastAsia="Arial" w:hAnsi="Arial"/>
          <w:sz w:val="21"/>
          <w:szCs w:val="21"/>
          <w:color w:val="auto"/>
        </w:rPr>
      </w:pPr>
      <w:r>
        <w:rPr>
          <w:rFonts w:ascii="Arial" w:cs="Arial" w:eastAsia="Arial" w:hAnsi="Arial"/>
          <w:sz w:val="21"/>
          <w:szCs w:val="21"/>
          <w:color w:val="auto"/>
        </w:rPr>
        <w:t>No payment made by the Borrower, any of the other Guarantors, any other guarantor or any other Person or received or collected by any Guaranteed Party from the Borrower and any of the other Guarantors, any other guarantor or any other Person by virtue of any action or proceeding or any set-off or appropriation or application at any time or from time to time in reduction of or in payment of the Obligations shall be deemed to modify, reduce, release or otherwise affect the liability of any Guarantor hereunder which shall, notwithstanding any such payment remain liable for the Obligations until the Discharge of the Obligations.</w:t>
      </w:r>
    </w:p>
    <w:p>
      <w:pPr>
        <w:spacing w:after="0" w:line="155" w:lineRule="exact"/>
        <w:rPr>
          <w:rFonts w:ascii="Arial" w:cs="Arial" w:eastAsia="Arial" w:hAnsi="Arial"/>
          <w:sz w:val="21"/>
          <w:szCs w:val="21"/>
          <w:color w:val="auto"/>
        </w:rPr>
      </w:pPr>
    </w:p>
    <w:p>
      <w:pPr>
        <w:jc w:val="both"/>
        <w:ind w:firstLine="1036"/>
        <w:spacing w:after="0" w:line="225" w:lineRule="auto"/>
        <w:tabs>
          <w:tab w:leader="none" w:pos="1499" w:val="left"/>
        </w:tabs>
        <w:numPr>
          <w:ilvl w:val="0"/>
          <w:numId w:val="229"/>
        </w:numPr>
        <w:rPr>
          <w:rFonts w:ascii="Arial" w:cs="Arial" w:eastAsia="Arial" w:hAnsi="Arial"/>
          <w:sz w:val="21"/>
          <w:szCs w:val="21"/>
          <w:color w:val="auto"/>
        </w:rPr>
      </w:pPr>
      <w:r>
        <w:rPr>
          <w:rFonts w:ascii="Arial" w:cs="Arial" w:eastAsia="Arial" w:hAnsi="Arial"/>
          <w:sz w:val="21"/>
          <w:szCs w:val="21"/>
          <w:color w:val="auto"/>
        </w:rPr>
        <w:t xml:space="preserve">Without limiting the generality of the foregoing, each Guarantor agrees that its obligations under and in respect of the Obligations Guarantee contained in this </w:t>
      </w:r>
      <w:r>
        <w:rPr>
          <w:rFonts w:ascii="Arial" w:cs="Arial" w:eastAsia="Arial" w:hAnsi="Arial"/>
          <w:sz w:val="21"/>
          <w:szCs w:val="21"/>
          <w:u w:val="single" w:color="auto"/>
          <w:color w:val="auto"/>
        </w:rPr>
        <w:t>Article IX</w:t>
      </w:r>
      <w:r>
        <w:rPr>
          <w:rFonts w:ascii="Arial" w:cs="Arial" w:eastAsia="Arial" w:hAnsi="Arial"/>
          <w:sz w:val="21"/>
          <w:szCs w:val="21"/>
          <w:color w:val="auto"/>
        </w:rPr>
        <w:t xml:space="preserve"> shall not be affected by, and shall remain in full force and effect without regard to, and hereby waives all, rights, claims or defenses that it might otherwise have (now or in the future) with respect to each of the following (whether or not such Guarantor has knowledge thereof):</w:t>
      </w:r>
    </w:p>
    <w:p>
      <w:pPr>
        <w:spacing w:after="0" w:line="154" w:lineRule="exact"/>
        <w:rPr>
          <w:rFonts w:ascii="Arial" w:cs="Arial" w:eastAsia="Arial" w:hAnsi="Arial"/>
          <w:sz w:val="21"/>
          <w:szCs w:val="21"/>
          <w:color w:val="auto"/>
        </w:rPr>
      </w:pPr>
    </w:p>
    <w:p>
      <w:pPr>
        <w:ind w:left="640" w:firstLine="638"/>
        <w:spacing w:after="0" w:line="263" w:lineRule="auto"/>
        <w:tabs>
          <w:tab w:leader="none" w:pos="1912" w:val="left"/>
        </w:tabs>
        <w:numPr>
          <w:ilvl w:val="1"/>
          <w:numId w:val="229"/>
        </w:numPr>
        <w:rPr>
          <w:rFonts w:ascii="Arial" w:cs="Arial" w:eastAsia="Arial" w:hAnsi="Arial"/>
          <w:sz w:val="20"/>
          <w:szCs w:val="20"/>
          <w:color w:val="auto"/>
        </w:rPr>
      </w:pPr>
      <w:r>
        <w:rPr>
          <w:rFonts w:ascii="Arial" w:cs="Arial" w:eastAsia="Arial" w:hAnsi="Arial"/>
          <w:sz w:val="20"/>
          <w:szCs w:val="20"/>
          <w:color w:val="auto"/>
        </w:rPr>
        <w:t>the validity or enforceability of this Agreement or any other Loan Document, any of the Obligations or any guarantee or right of offset with respect thereto at any time or from time to time held by any Guaranteed Party;</w:t>
      </w:r>
    </w:p>
    <w:p>
      <w:pPr>
        <w:spacing w:after="0" w:line="131" w:lineRule="exact"/>
        <w:rPr>
          <w:rFonts w:ascii="Arial" w:cs="Arial" w:eastAsia="Arial" w:hAnsi="Arial"/>
          <w:sz w:val="20"/>
          <w:szCs w:val="20"/>
          <w:color w:val="auto"/>
        </w:rPr>
      </w:pPr>
    </w:p>
    <w:p>
      <w:pPr>
        <w:ind w:left="640" w:firstLine="638"/>
        <w:spacing w:after="0" w:line="239" w:lineRule="auto"/>
        <w:tabs>
          <w:tab w:leader="none" w:pos="1912" w:val="left"/>
        </w:tabs>
        <w:numPr>
          <w:ilvl w:val="1"/>
          <w:numId w:val="229"/>
        </w:numPr>
        <w:rPr>
          <w:rFonts w:ascii="Arial" w:cs="Arial" w:eastAsia="Arial" w:hAnsi="Arial"/>
          <w:sz w:val="21"/>
          <w:szCs w:val="21"/>
          <w:color w:val="auto"/>
        </w:rPr>
      </w:pPr>
      <w:r>
        <w:rPr>
          <w:rFonts w:ascii="Arial" w:cs="Arial" w:eastAsia="Arial" w:hAnsi="Arial"/>
          <w:sz w:val="21"/>
          <w:szCs w:val="21"/>
          <w:color w:val="auto"/>
        </w:rPr>
        <w:t>any renewal, extension or acceleration of, or any increase in the amount of, the Obligations, or any amendment, supplement, modification or waiver of, or any consent to departure from, the Loan Documents;</w:t>
      </w:r>
    </w:p>
    <w:p>
      <w:pPr>
        <w:spacing w:after="0" w:line="155" w:lineRule="exact"/>
        <w:rPr>
          <w:rFonts w:ascii="Arial" w:cs="Arial" w:eastAsia="Arial" w:hAnsi="Arial"/>
          <w:sz w:val="21"/>
          <w:szCs w:val="21"/>
          <w:color w:val="auto"/>
        </w:rPr>
      </w:pPr>
    </w:p>
    <w:p>
      <w:pPr>
        <w:jc w:val="both"/>
        <w:ind w:left="640" w:firstLine="638"/>
        <w:spacing w:after="0" w:line="225" w:lineRule="auto"/>
        <w:tabs>
          <w:tab w:leader="none" w:pos="1912" w:val="left"/>
        </w:tabs>
        <w:numPr>
          <w:ilvl w:val="1"/>
          <w:numId w:val="229"/>
        </w:numPr>
        <w:rPr>
          <w:rFonts w:ascii="Arial" w:cs="Arial" w:eastAsia="Arial" w:hAnsi="Arial"/>
          <w:sz w:val="21"/>
          <w:szCs w:val="21"/>
          <w:color w:val="auto"/>
        </w:rPr>
      </w:pPr>
      <w:r>
        <w:rPr>
          <w:rFonts w:ascii="Arial" w:cs="Arial" w:eastAsia="Arial" w:hAnsi="Arial"/>
          <w:sz w:val="21"/>
          <w:szCs w:val="21"/>
          <w:color w:val="auto"/>
        </w:rPr>
        <w:t>any failure or omission to assert or enforce or agreement or election not to assert or enforce, delay in enforcement, or the stay or enjoining, by order of court, by operation of law or otherwise, of the exercise or enforcement of, any claim or demand or any right, power or remedy (whether arising under any Loan Documents, at law, in equity or otherwise) with respect to the Obligations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110</w:t>
      </w:r>
    </w:p>
    <w:p>
      <w:pPr>
        <w:sectPr>
          <w:pgSz w:w="11900" w:h="16838" w:orient="portrait"/>
          <w:cols w:equalWidth="0" w:num="1">
            <w:col w:w="11200"/>
          </w:cols>
          <w:pgMar w:left="320" w:top="1152" w:right="379" w:bottom="1440" w:gutter="0" w:footer="0" w:header="0"/>
        </w:sectPr>
      </w:pPr>
    </w:p>
    <w:bookmarkStart w:id="249" w:name="page250"/>
    <w:bookmarkEnd w:id="249"/>
    <w:p>
      <w:pPr>
        <w:ind w:left="640"/>
        <w:spacing w:after="0"/>
        <w:rPr>
          <w:sz w:val="20"/>
          <w:szCs w:val="20"/>
          <w:color w:val="auto"/>
        </w:rPr>
      </w:pPr>
      <w:r>
        <w:rPr>
          <w:rFonts w:ascii="Arial" w:cs="Arial" w:eastAsia="Arial" w:hAnsi="Arial"/>
          <w:sz w:val="20"/>
          <w:szCs w:val="20"/>
          <w:color w:val="auto"/>
        </w:rPr>
        <w:t>any agreement relating thereto, or with respect to any other guaranty of or security for the payment of the Obligations;</w:t>
      </w:r>
    </w:p>
    <w:p>
      <w:pPr>
        <w:spacing w:after="0" w:line="194" w:lineRule="exact"/>
        <w:rPr>
          <w:sz w:val="20"/>
          <w:szCs w:val="20"/>
          <w:color w:val="auto"/>
        </w:rPr>
      </w:pPr>
    </w:p>
    <w:p>
      <w:pPr>
        <w:ind w:left="640" w:firstLine="638"/>
        <w:spacing w:after="0" w:line="239" w:lineRule="auto"/>
        <w:tabs>
          <w:tab w:leader="none" w:pos="1912" w:val="left"/>
        </w:tabs>
        <w:numPr>
          <w:ilvl w:val="1"/>
          <w:numId w:val="230"/>
        </w:numPr>
        <w:rPr>
          <w:rFonts w:ascii="Arial" w:cs="Arial" w:eastAsia="Arial" w:hAnsi="Arial"/>
          <w:sz w:val="21"/>
          <w:szCs w:val="21"/>
          <w:color w:val="auto"/>
        </w:rPr>
      </w:pPr>
      <w:r>
        <w:rPr>
          <w:rFonts w:ascii="Arial" w:cs="Arial" w:eastAsia="Arial" w:hAnsi="Arial"/>
          <w:sz w:val="21"/>
          <w:szCs w:val="21"/>
          <w:color w:val="auto"/>
        </w:rPr>
        <w:t>any change, reorganization or termination of the corporate structure or existence of any Loan Party or any Subsidiary of any Loan Party and any corresponding restructuring of the Obligations;</w:t>
      </w:r>
    </w:p>
    <w:p>
      <w:pPr>
        <w:spacing w:after="0" w:line="155" w:lineRule="exact"/>
        <w:rPr>
          <w:rFonts w:ascii="Arial" w:cs="Arial" w:eastAsia="Arial" w:hAnsi="Arial"/>
          <w:sz w:val="21"/>
          <w:szCs w:val="21"/>
          <w:color w:val="auto"/>
        </w:rPr>
      </w:pPr>
    </w:p>
    <w:p>
      <w:pPr>
        <w:jc w:val="both"/>
        <w:ind w:left="640" w:firstLine="638"/>
        <w:spacing w:after="0" w:line="230" w:lineRule="auto"/>
        <w:tabs>
          <w:tab w:leader="none" w:pos="1912" w:val="left"/>
        </w:tabs>
        <w:numPr>
          <w:ilvl w:val="1"/>
          <w:numId w:val="230"/>
        </w:numPr>
        <w:rPr>
          <w:rFonts w:ascii="Arial" w:cs="Arial" w:eastAsia="Arial" w:hAnsi="Arial"/>
          <w:sz w:val="21"/>
          <w:szCs w:val="21"/>
          <w:color w:val="auto"/>
        </w:rPr>
      </w:pPr>
      <w:r>
        <w:rPr>
          <w:rFonts w:ascii="Arial" w:cs="Arial" w:eastAsia="Arial" w:hAnsi="Arial"/>
          <w:sz w:val="21"/>
          <w:szCs w:val="21"/>
          <w:color w:val="auto"/>
        </w:rPr>
        <w:t>any settlement, compromise, release, or discharge of, or acceptance or refusal of any offer of payment or performance with respect to, or any substitutions for, the Obligations or any subordination of the Obligations to any other obligations;</w:t>
      </w:r>
    </w:p>
    <w:p>
      <w:pPr>
        <w:spacing w:after="0" w:line="153" w:lineRule="exact"/>
        <w:rPr>
          <w:rFonts w:ascii="Arial" w:cs="Arial" w:eastAsia="Arial" w:hAnsi="Arial"/>
          <w:sz w:val="21"/>
          <w:szCs w:val="21"/>
          <w:color w:val="auto"/>
        </w:rPr>
      </w:pPr>
    </w:p>
    <w:p>
      <w:pPr>
        <w:ind w:left="1920" w:hanging="642"/>
        <w:spacing w:after="0"/>
        <w:tabs>
          <w:tab w:leader="none" w:pos="1920" w:val="left"/>
        </w:tabs>
        <w:numPr>
          <w:ilvl w:val="1"/>
          <w:numId w:val="230"/>
        </w:numPr>
        <w:rPr>
          <w:rFonts w:ascii="Arial" w:cs="Arial" w:eastAsia="Arial" w:hAnsi="Arial"/>
          <w:sz w:val="21"/>
          <w:szCs w:val="21"/>
          <w:color w:val="auto"/>
        </w:rPr>
      </w:pPr>
      <w:r>
        <w:rPr>
          <w:rFonts w:ascii="Arial" w:cs="Arial" w:eastAsia="Arial" w:hAnsi="Arial"/>
          <w:sz w:val="21"/>
          <w:szCs w:val="21"/>
          <w:color w:val="auto"/>
        </w:rPr>
        <w:t>any Law of any jurisdiction or any other event affecting any term of an Obligation; and</w:t>
      </w:r>
    </w:p>
    <w:p>
      <w:pPr>
        <w:spacing w:after="0" w:line="182" w:lineRule="exact"/>
        <w:rPr>
          <w:rFonts w:ascii="Arial" w:cs="Arial" w:eastAsia="Arial" w:hAnsi="Arial"/>
          <w:sz w:val="21"/>
          <w:szCs w:val="21"/>
          <w:color w:val="auto"/>
        </w:rPr>
      </w:pPr>
    </w:p>
    <w:p>
      <w:pPr>
        <w:jc w:val="both"/>
        <w:ind w:left="640" w:firstLine="638"/>
        <w:spacing w:after="0" w:line="242" w:lineRule="auto"/>
        <w:tabs>
          <w:tab w:leader="none" w:pos="1912" w:val="left"/>
        </w:tabs>
        <w:numPr>
          <w:ilvl w:val="1"/>
          <w:numId w:val="230"/>
        </w:numPr>
        <w:rPr>
          <w:rFonts w:ascii="Arial" w:cs="Arial" w:eastAsia="Arial" w:hAnsi="Arial"/>
          <w:sz w:val="20"/>
          <w:szCs w:val="20"/>
          <w:color w:val="auto"/>
        </w:rPr>
      </w:pPr>
      <w:r>
        <w:rPr>
          <w:rFonts w:ascii="Arial" w:cs="Arial" w:eastAsia="Arial" w:hAnsi="Arial"/>
          <w:sz w:val="20"/>
          <w:szCs w:val="20"/>
          <w:color w:val="auto"/>
        </w:rPr>
        <w:t xml:space="preserve">any other circumstance whatsoever which may or might in any manner or to any extent vary the risk of any Guarantor as an obligor in respect of the Obligations or which constitutes, or might be construed to constitute, an equitable or legal discharge of any Guarantor for the Obligations, or of such Guarantor under this </w:t>
      </w:r>
      <w:r>
        <w:rPr>
          <w:rFonts w:ascii="Arial" w:cs="Arial" w:eastAsia="Arial" w:hAnsi="Arial"/>
          <w:sz w:val="20"/>
          <w:szCs w:val="20"/>
          <w:u w:val="single" w:color="auto"/>
          <w:color w:val="auto"/>
        </w:rPr>
        <w:t>Article IX</w:t>
      </w:r>
      <w:r>
        <w:rPr>
          <w:rFonts w:ascii="Arial" w:cs="Arial" w:eastAsia="Arial" w:hAnsi="Arial"/>
          <w:sz w:val="20"/>
          <w:szCs w:val="20"/>
          <w:color w:val="auto"/>
        </w:rPr>
        <w:t>.</w:t>
      </w:r>
    </w:p>
    <w:p>
      <w:pPr>
        <w:spacing w:after="0" w:line="152" w:lineRule="exact"/>
        <w:rPr>
          <w:rFonts w:ascii="Arial" w:cs="Arial" w:eastAsia="Arial" w:hAnsi="Arial"/>
          <w:sz w:val="20"/>
          <w:szCs w:val="20"/>
          <w:color w:val="auto"/>
        </w:rPr>
      </w:pPr>
    </w:p>
    <w:p>
      <w:pPr>
        <w:jc w:val="both"/>
        <w:ind w:firstLine="1036"/>
        <w:spacing w:after="0" w:line="225" w:lineRule="auto"/>
        <w:tabs>
          <w:tab w:leader="none" w:pos="1583" w:val="left"/>
        </w:tabs>
        <w:numPr>
          <w:ilvl w:val="0"/>
          <w:numId w:val="231"/>
        </w:numPr>
        <w:rPr>
          <w:rFonts w:ascii="Arial" w:cs="Arial" w:eastAsia="Arial" w:hAnsi="Arial"/>
          <w:sz w:val="21"/>
          <w:szCs w:val="21"/>
          <w:color w:val="auto"/>
        </w:rPr>
      </w:pPr>
      <w:r>
        <w:rPr>
          <w:rFonts w:ascii="Arial" w:cs="Arial" w:eastAsia="Arial" w:hAnsi="Arial"/>
          <w:sz w:val="21"/>
          <w:szCs w:val="21"/>
          <w:color w:val="auto"/>
        </w:rPr>
        <w:t>In addition, each Guarantor further waives any and all other defenses, set-offs or counterclaims (other than a defense of payment or performance in full hereunder) which may at any time be available to or be asserted by it, the Borrower or any other Guarantor or Person against any Guaranteed Party, including, without limitation, failure of consideration, breach of warranty, statute of frauds and statute of limitations.</w:t>
      </w:r>
    </w:p>
    <w:p>
      <w:pPr>
        <w:spacing w:after="0" w:line="143" w:lineRule="exact"/>
        <w:rPr>
          <w:sz w:val="20"/>
          <w:szCs w:val="20"/>
          <w:color w:val="auto"/>
        </w:rPr>
      </w:pPr>
    </w:p>
    <w:p>
      <w:pPr>
        <w:ind w:left="960"/>
        <w:spacing w:after="0"/>
        <w:tabs>
          <w:tab w:leader="none" w:pos="2240" w:val="left"/>
        </w:tabs>
        <w:rPr>
          <w:sz w:val="20"/>
          <w:szCs w:val="20"/>
          <w:color w:val="auto"/>
        </w:rPr>
      </w:pPr>
      <w:r>
        <w:rPr>
          <w:rFonts w:ascii="Arial" w:cs="Arial" w:eastAsia="Arial" w:hAnsi="Arial"/>
          <w:sz w:val="21"/>
          <w:szCs w:val="21"/>
          <w:color w:val="auto"/>
        </w:rPr>
        <w:t>Section 9.04</w:t>
      </w:r>
      <w:r>
        <w:rPr>
          <w:sz w:val="20"/>
          <w:szCs w:val="20"/>
          <w:color w:val="auto"/>
        </w:rPr>
        <w:tab/>
      </w:r>
      <w:r>
        <w:rPr>
          <w:rFonts w:ascii="Arial" w:cs="Arial" w:eastAsia="Arial" w:hAnsi="Arial"/>
          <w:sz w:val="19"/>
          <w:szCs w:val="19"/>
          <w:u w:val="single" w:color="auto"/>
          <w:color w:val="auto"/>
        </w:rPr>
        <w:t>Rights of Reimbursement, Contribution and Subrogation</w:t>
      </w:r>
      <w:r>
        <w:rPr>
          <w:rFonts w:ascii="Arial" w:cs="Arial" w:eastAsia="Arial" w:hAnsi="Arial"/>
          <w:sz w:val="19"/>
          <w:szCs w:val="19"/>
          <w:color w:val="auto"/>
        </w:rPr>
        <w:t>. In case any payment is made on account of the</w:t>
      </w:r>
    </w:p>
    <w:p>
      <w:pPr>
        <w:spacing w:after="0"/>
        <w:rPr>
          <w:sz w:val="20"/>
          <w:szCs w:val="20"/>
          <w:color w:val="auto"/>
        </w:rPr>
      </w:pPr>
      <w:r>
        <w:rPr>
          <w:rFonts w:ascii="Arial" w:cs="Arial" w:eastAsia="Arial" w:hAnsi="Arial"/>
          <w:sz w:val="21"/>
          <w:szCs w:val="21"/>
          <w:color w:val="auto"/>
        </w:rPr>
        <w:t>Obligations by any Guarantor or is received or collected on account of the Obligations from any Guarantor:</w:t>
      </w:r>
    </w:p>
    <w:p>
      <w:pPr>
        <w:spacing w:after="0" w:line="165" w:lineRule="exact"/>
        <w:rPr>
          <w:sz w:val="20"/>
          <w:szCs w:val="20"/>
          <w:color w:val="auto"/>
        </w:rPr>
      </w:pPr>
    </w:p>
    <w:p>
      <w:pPr>
        <w:jc w:val="both"/>
        <w:ind w:firstLine="1036"/>
        <w:spacing w:after="0" w:line="227" w:lineRule="auto"/>
        <w:tabs>
          <w:tab w:leader="none" w:pos="1511" w:val="left"/>
        </w:tabs>
        <w:numPr>
          <w:ilvl w:val="0"/>
          <w:numId w:val="232"/>
        </w:numPr>
        <w:rPr>
          <w:rFonts w:ascii="Arial" w:cs="Arial" w:eastAsia="Arial" w:hAnsi="Arial"/>
          <w:sz w:val="20"/>
          <w:szCs w:val="20"/>
          <w:color w:val="auto"/>
        </w:rPr>
      </w:pPr>
      <w:r>
        <w:rPr>
          <w:rFonts w:ascii="Arial" w:cs="Arial" w:eastAsia="Arial" w:hAnsi="Arial"/>
          <w:sz w:val="20"/>
          <w:szCs w:val="20"/>
          <w:color w:val="auto"/>
        </w:rPr>
        <w:t>If such payment is made by a Guarantor in respect of the Obligations of another Guarantor, such Guarantor shall be entitled, subject to and upon (but not before) a Discharge of the Obligations (and each Guarantor hereby waives its right to exercise such rights until a Discharge of the Obligations), (A) to demand and enforce reimbursement for the full amount of such payment from such other Guarantor, and (B) to demand and enforce contribution in respect of such payment from each other Guarantor which has not paid its fair share of such payment, as necessary to ensure that (after giving effect to any enforcement of reimbursement rights provided hereby) each Guarantor pays its fair share of the unreimbursed portion of such payment. For this purpose, the fair share of each Guarantor as to any unreimbursed payment shall be determined based on an equitable apportionment of such unreimbursed payment among all Guarantors (other than the Guarantor whose primary obligations were so guaranteed by the other Guarantors) based on the relative value of their assets and any other equitable considerations deemed appropriate by the court.</w:t>
      </w:r>
    </w:p>
    <w:p>
      <w:pPr>
        <w:spacing w:after="0" w:line="156" w:lineRule="exact"/>
        <w:rPr>
          <w:rFonts w:ascii="Arial" w:cs="Arial" w:eastAsia="Arial" w:hAnsi="Arial"/>
          <w:sz w:val="20"/>
          <w:szCs w:val="20"/>
          <w:color w:val="auto"/>
        </w:rPr>
      </w:pPr>
    </w:p>
    <w:p>
      <w:pPr>
        <w:jc w:val="both"/>
        <w:ind w:firstLine="1036"/>
        <w:spacing w:after="0" w:line="222" w:lineRule="auto"/>
        <w:tabs>
          <w:tab w:leader="none" w:pos="1554" w:val="left"/>
        </w:tabs>
        <w:numPr>
          <w:ilvl w:val="0"/>
          <w:numId w:val="232"/>
        </w:numPr>
        <w:rPr>
          <w:rFonts w:ascii="Arial" w:cs="Arial" w:eastAsia="Arial" w:hAnsi="Arial"/>
          <w:sz w:val="21"/>
          <w:szCs w:val="21"/>
          <w:color w:val="auto"/>
        </w:rPr>
      </w:pPr>
      <w:r>
        <w:rPr>
          <w:rFonts w:ascii="Arial" w:cs="Arial" w:eastAsia="Arial" w:hAnsi="Arial"/>
          <w:sz w:val="21"/>
          <w:szCs w:val="21"/>
          <w:color w:val="auto"/>
        </w:rPr>
        <w:t xml:space="preserve">If and whenever any right of reimbursement or contribution becomes enforceable by any Guarantor against the Borrower or other Guarantor whether under </w:t>
      </w:r>
      <w:r>
        <w:rPr>
          <w:rFonts w:ascii="Arial" w:cs="Arial" w:eastAsia="Arial" w:hAnsi="Arial"/>
          <w:sz w:val="21"/>
          <w:szCs w:val="21"/>
          <w:u w:val="single" w:color="auto"/>
          <w:color w:val="auto"/>
        </w:rPr>
        <w:t>Section 9.04(a)</w:t>
      </w:r>
      <w:r>
        <w:rPr>
          <w:rFonts w:ascii="Arial" w:cs="Arial" w:eastAsia="Arial" w:hAnsi="Arial"/>
          <w:sz w:val="21"/>
          <w:szCs w:val="21"/>
          <w:color w:val="auto"/>
        </w:rPr>
        <w:t xml:space="preserve"> or otherwise, such Guarantor shall be entitled, subject to and upon (but not before) a Discharge of the Obligations (and each Guarantor hereby waives its right to subrogation until a Discharge of the Obligations), to be subrogated (equally and ratably with all other Guarantors entitled to reimbursement or contribution from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111</w:t>
      </w:r>
    </w:p>
    <w:p>
      <w:pPr>
        <w:sectPr>
          <w:pgSz w:w="11900" w:h="16838" w:orient="portrait"/>
          <w:cols w:equalWidth="0" w:num="1">
            <w:col w:w="11200"/>
          </w:cols>
          <w:pgMar w:left="320" w:top="1152" w:right="379" w:bottom="1440" w:gutter="0" w:footer="0" w:header="0"/>
        </w:sectPr>
      </w:pPr>
    </w:p>
    <w:bookmarkStart w:id="250" w:name="page251"/>
    <w:bookmarkEnd w:id="250"/>
    <w:p>
      <w:pPr>
        <w:jc w:val="both"/>
        <w:spacing w:after="0" w:line="226" w:lineRule="auto"/>
        <w:rPr>
          <w:sz w:val="20"/>
          <w:szCs w:val="20"/>
          <w:color w:val="auto"/>
        </w:rPr>
      </w:pPr>
      <w:r>
        <w:rPr>
          <w:rFonts w:ascii="Arial" w:cs="Arial" w:eastAsia="Arial" w:hAnsi="Arial"/>
          <w:sz w:val="20"/>
          <w:szCs w:val="20"/>
          <w:color w:val="auto"/>
        </w:rPr>
        <w:t>Guarantor as set forth in this Section 9.04). Any right of subrogation of any Guarantor shall be enforceable solely after a Discharge of the Obligations and solely against the Borrower or the other Guarantors, and not against the Guaranteed Parties, and neither the Administrative Agent nor any other Guaranteed Party shall have any duty whatsoever to warrant, ensure or protect any such right of subrogation or to obtain, perfect, maintain, hold, enforce or retain any collateral securing or purporting to secure any of the Obligations for any purpose related to any such right of subrogation. Without limiting any other rights of contribution or subrogation then available to a Guarantor under applicable law, if subrogation is demanded by any Guarantor, then, after Discharge of the Obligations, the Administrative Agent shall deliver to the Guarantors making such demand, or to a representative of such Guarantors or of the Guarantors generally, an instrument satisfactory to the Administrative Agent transferring, on a quitclaim basis without any recourse, representation, warranty or any other obligation whatsoever, whatever security interest the Administrative Agent then may hold in whatever collateral securing or purporting to secure any of the Obligations that may then exist that was not previously released or disposed of or acquired by the Administrative Agent.</w:t>
      </w:r>
    </w:p>
    <w:p>
      <w:pPr>
        <w:spacing w:after="0" w:line="162" w:lineRule="exact"/>
        <w:rPr>
          <w:sz w:val="20"/>
          <w:szCs w:val="20"/>
          <w:color w:val="auto"/>
        </w:rPr>
      </w:pPr>
    </w:p>
    <w:p>
      <w:pPr>
        <w:jc w:val="both"/>
        <w:ind w:firstLine="1036"/>
        <w:spacing w:after="0" w:line="242" w:lineRule="auto"/>
        <w:tabs>
          <w:tab w:leader="none" w:pos="1571" w:val="left"/>
        </w:tabs>
        <w:numPr>
          <w:ilvl w:val="0"/>
          <w:numId w:val="233"/>
        </w:numPr>
        <w:rPr>
          <w:rFonts w:ascii="Arial" w:cs="Arial" w:eastAsia="Arial" w:hAnsi="Arial"/>
          <w:sz w:val="19"/>
          <w:szCs w:val="19"/>
          <w:color w:val="auto"/>
        </w:rPr>
      </w:pPr>
      <w:r>
        <w:rPr>
          <w:rFonts w:ascii="Arial" w:cs="Arial" w:eastAsia="Arial" w:hAnsi="Arial"/>
          <w:sz w:val="19"/>
          <w:szCs w:val="19"/>
          <w:color w:val="auto"/>
        </w:rPr>
        <w:t xml:space="preserve">The obligations of the Guarantors under this Obligations Guarantee and the other Loan Documents, including their liability for the Obligations and the enforceability of the security interests granted thereby, are not contingent upon the validity, legality, enforceability, collectability or sufficiency of any right of reimbursement, contribution or subrogation arising under this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or otherwise. The invalidity, insufficiency, unenforceability or uncollectability of any such right shall not in any respect diminish, affect or impair any such obligation or any other claim, interest, right or remedy at any time held by any Guaranteed Party against any Guarantor. The Guaranteed Parties make no representations or warranties in respect of any such right and shall have no duty to assure, protect, enforce or ensure any such right or otherwise relating to any such right.</w:t>
      </w:r>
    </w:p>
    <w:p>
      <w:pPr>
        <w:spacing w:after="0" w:line="154" w:lineRule="exact"/>
        <w:rPr>
          <w:sz w:val="20"/>
          <w:szCs w:val="20"/>
          <w:color w:val="auto"/>
        </w:rPr>
      </w:pPr>
    </w:p>
    <w:p>
      <w:pPr>
        <w:jc w:val="both"/>
        <w:ind w:firstLine="954"/>
        <w:spacing w:after="0" w:line="230" w:lineRule="auto"/>
        <w:rPr>
          <w:sz w:val="20"/>
          <w:szCs w:val="20"/>
          <w:color w:val="auto"/>
        </w:rPr>
      </w:pPr>
      <w:r>
        <w:rPr>
          <w:rFonts w:ascii="Arial" w:cs="Arial" w:eastAsia="Arial" w:hAnsi="Arial"/>
          <w:sz w:val="21"/>
          <w:szCs w:val="21"/>
          <w:color w:val="auto"/>
        </w:rPr>
        <w:t xml:space="preserve">Section 9.05 </w:t>
      </w:r>
      <w:r>
        <w:rPr>
          <w:rFonts w:ascii="Arial" w:cs="Arial" w:eastAsia="Arial" w:hAnsi="Arial"/>
          <w:sz w:val="21"/>
          <w:szCs w:val="21"/>
          <w:u w:val="single" w:color="auto"/>
          <w:color w:val="auto"/>
        </w:rPr>
        <w:t>Payments</w:t>
      </w:r>
      <w:r>
        <w:rPr>
          <w:rFonts w:ascii="Arial" w:cs="Arial" w:eastAsia="Arial" w:hAnsi="Arial"/>
          <w:sz w:val="21"/>
          <w:szCs w:val="21"/>
          <w:color w:val="auto"/>
        </w:rPr>
        <w:t>. Each Guarantor hereby guarantees that payments hereunder will be paid to the Administrative Agent, for the account of the applicable Guaranteed Parties to which such payment is owed, to such account as may be specified by the Administrative Agent, in US Dollars and in Same Day Funds.</w:t>
      </w:r>
    </w:p>
    <w:p>
      <w:pPr>
        <w:spacing w:after="0" w:line="154" w:lineRule="exact"/>
        <w:rPr>
          <w:sz w:val="20"/>
          <w:szCs w:val="20"/>
          <w:color w:val="auto"/>
        </w:rPr>
      </w:pPr>
    </w:p>
    <w:p>
      <w:pPr>
        <w:jc w:val="both"/>
        <w:ind w:firstLine="954"/>
        <w:spacing w:after="0" w:line="217" w:lineRule="auto"/>
        <w:rPr>
          <w:sz w:val="20"/>
          <w:szCs w:val="20"/>
          <w:color w:val="auto"/>
        </w:rPr>
      </w:pPr>
      <w:r>
        <w:rPr>
          <w:rFonts w:ascii="Arial" w:cs="Arial" w:eastAsia="Arial" w:hAnsi="Arial"/>
          <w:sz w:val="21"/>
          <w:szCs w:val="21"/>
          <w:color w:val="auto"/>
        </w:rPr>
        <w:t xml:space="preserve">Section 9.06 </w:t>
      </w:r>
      <w:r>
        <w:rPr>
          <w:rFonts w:ascii="Arial" w:cs="Arial" w:eastAsia="Arial" w:hAnsi="Arial"/>
          <w:sz w:val="21"/>
          <w:szCs w:val="21"/>
          <w:u w:val="single" w:color="auto"/>
          <w:color w:val="auto"/>
        </w:rPr>
        <w:t>Subordination of Other Obligations</w:t>
      </w:r>
      <w:r>
        <w:rPr>
          <w:rFonts w:ascii="Arial" w:cs="Arial" w:eastAsia="Arial" w:hAnsi="Arial"/>
          <w:sz w:val="21"/>
          <w:szCs w:val="21"/>
          <w:color w:val="auto"/>
        </w:rPr>
        <w:t>. If the Administrative Agent so requests while an Event of Default is then continuing, then the payment of all obligations and Indebtedness of the Borrower or any other Guarantor owing to such Guarantor, whether now existing or hereafter arising, including but not limited to any such obligation to such Guarantor as subrogee of the Guaranteed Parties or resulting from such Guarantor’s performance under this Obligations Guarantee, shall be subrogated to the indefeasible payment in full in cash of all Obligations. If the Administrative Agent so requests, any such obligation or Indebtedness of the Borrower or any other Guarantor to such Guarantor shall be enforced and performance received by such Guarantor as trustee for the Guaranteed Parties and the proceeds thereof shall be paid over to the Administrative Agent on account of the Obligations, but without reducing or affecting in any manner the liability of such Guarantor under this Obligations Guarantee.</w:t>
      </w:r>
    </w:p>
    <w:p>
      <w:pPr>
        <w:spacing w:after="0" w:line="155" w:lineRule="exact"/>
        <w:rPr>
          <w:sz w:val="20"/>
          <w:szCs w:val="20"/>
          <w:color w:val="auto"/>
        </w:rPr>
      </w:pPr>
    </w:p>
    <w:p>
      <w:pPr>
        <w:jc w:val="both"/>
        <w:ind w:firstLine="954"/>
        <w:spacing w:after="0" w:line="252" w:lineRule="auto"/>
        <w:rPr>
          <w:sz w:val="20"/>
          <w:szCs w:val="20"/>
          <w:color w:val="auto"/>
        </w:rPr>
      </w:pPr>
      <w:r>
        <w:rPr>
          <w:rFonts w:ascii="Arial" w:cs="Arial" w:eastAsia="Arial" w:hAnsi="Arial"/>
          <w:sz w:val="19"/>
          <w:szCs w:val="19"/>
          <w:color w:val="auto"/>
        </w:rPr>
        <w:t xml:space="preserve">Section 9.07 </w:t>
      </w:r>
      <w:r>
        <w:rPr>
          <w:rFonts w:ascii="Arial" w:cs="Arial" w:eastAsia="Arial" w:hAnsi="Arial"/>
          <w:sz w:val="19"/>
          <w:szCs w:val="19"/>
          <w:u w:val="single" w:color="auto"/>
          <w:color w:val="auto"/>
        </w:rPr>
        <w:t>Financial Condition of the Borrower and other Guarantors</w:t>
      </w:r>
      <w:r>
        <w:rPr>
          <w:rFonts w:ascii="Arial" w:cs="Arial" w:eastAsia="Arial" w:hAnsi="Arial"/>
          <w:sz w:val="19"/>
          <w:szCs w:val="19"/>
          <w:color w:val="auto"/>
        </w:rPr>
        <w:t>. Any extension of credit may be made to the Borrower or continued from time to time, without notice to or authorization from any Guarantor regardless of the financial or other condition of the Borrower or any other Guarantor at the time of any such grant or continuation. No Guaranteed Party shall have any obligation to disclose or discuss with any Guarantor its assessment, or any Guarantor’s assessment, of the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112</w:t>
      </w:r>
    </w:p>
    <w:p>
      <w:pPr>
        <w:sectPr>
          <w:pgSz w:w="11900" w:h="16838" w:orient="portrait"/>
          <w:cols w:equalWidth="0" w:num="1">
            <w:col w:w="11200"/>
          </w:cols>
          <w:pgMar w:left="320" w:top="1152" w:right="379" w:bottom="1440" w:gutter="0" w:footer="0" w:header="0"/>
        </w:sectPr>
      </w:pPr>
    </w:p>
    <w:bookmarkStart w:id="251" w:name="page252"/>
    <w:bookmarkEnd w:id="251"/>
    <w:p>
      <w:pPr>
        <w:jc w:val="both"/>
        <w:spacing w:after="0" w:line="230" w:lineRule="auto"/>
        <w:rPr>
          <w:sz w:val="20"/>
          <w:szCs w:val="20"/>
          <w:color w:val="auto"/>
        </w:rPr>
      </w:pPr>
      <w:r>
        <w:rPr>
          <w:rFonts w:ascii="Arial" w:cs="Arial" w:eastAsia="Arial" w:hAnsi="Arial"/>
          <w:sz w:val="20"/>
          <w:szCs w:val="20"/>
          <w:color w:val="auto"/>
        </w:rPr>
        <w:t>of the Borrower or any other Guarantor. Each Guarantor has adequate means to obtain information from the Borrower and each other Guarantor on a continuing basis concerning the financial condition of the Borrower and each other Guarantor and its ability to perform its obligations under the Loan Documents, and each Guarantor assumes the responsibility for being and keeping informed of the financial condition of the Borrower and each other Loan Party and each other Guarantor and of all circumstances bearing upon the risk of nonpayment of the Obligations. Each Guarantor hereby waives and relinquishes any duty on the part of any Guaranteed Party to disclose any matter, fact or thing relating to the business, operations or condition of the Borrower or any other Guarantor now known or hereafter known by any Guaranteed Party.</w:t>
      </w:r>
    </w:p>
    <w:p>
      <w:pPr>
        <w:spacing w:after="0" w:line="153" w:lineRule="exact"/>
        <w:rPr>
          <w:sz w:val="20"/>
          <w:szCs w:val="20"/>
          <w:color w:val="auto"/>
        </w:rPr>
      </w:pPr>
    </w:p>
    <w:p>
      <w:pPr>
        <w:jc w:val="both"/>
        <w:ind w:firstLine="954"/>
        <w:spacing w:after="0" w:line="216" w:lineRule="auto"/>
        <w:rPr>
          <w:sz w:val="20"/>
          <w:szCs w:val="20"/>
          <w:color w:val="auto"/>
        </w:rPr>
      </w:pPr>
      <w:r>
        <w:rPr>
          <w:rFonts w:ascii="Arial" w:cs="Arial" w:eastAsia="Arial" w:hAnsi="Arial"/>
          <w:sz w:val="21"/>
          <w:szCs w:val="21"/>
          <w:color w:val="auto"/>
        </w:rPr>
        <w:t xml:space="preserve">Section 9.08 </w:t>
      </w:r>
      <w:r>
        <w:rPr>
          <w:rFonts w:ascii="Arial" w:cs="Arial" w:eastAsia="Arial" w:hAnsi="Arial"/>
          <w:sz w:val="21"/>
          <w:szCs w:val="21"/>
          <w:u w:val="single" w:color="auto"/>
          <w:color w:val="auto"/>
        </w:rPr>
        <w:t>Bankruptcy, Etc</w:t>
      </w:r>
      <w:r>
        <w:rPr>
          <w:rFonts w:ascii="Arial" w:cs="Arial" w:eastAsia="Arial" w:hAnsi="Arial"/>
          <w:sz w:val="21"/>
          <w:szCs w:val="21"/>
          <w:color w:val="auto"/>
        </w:rPr>
        <w:t>. Until a Discharge of the Obligations, no Guarantor shall, without the prior written consent of the Administrative Agent, commence or join with any other Person in commencing any proceeding under any Debtor Relief Law against the Borrower or any other Guarantor. The obligations of the Guarantors hereunder shall not be reduced, limited, impaired, discharged, deferred, suspended or terminated by any case or proceeding under any Debtor Relief Law, voluntary or involuntary, involving the Borrower or any other Guarantor or by any defense which the Borrower or any Guarantor may have by reason of the order, decree or decision of any court or administrative body resulting from any such proceeding. To the fullest extent permitted by law, the Guarantors will permit any trustee in bankruptcy, receiver, debtor in possession, assignee for the benefit of creditors or similar Person to pay the Administrative Agent, or allow the claim of the Administrative Agent in respect of, any interest, fees, costs, expenses or other Obligations accruing or arising after the date on which such case or proceeding is commenced.</w:t>
      </w:r>
    </w:p>
    <w:p>
      <w:pPr>
        <w:spacing w:after="0" w:line="159" w:lineRule="exact"/>
        <w:rPr>
          <w:sz w:val="20"/>
          <w:szCs w:val="20"/>
          <w:color w:val="auto"/>
        </w:rPr>
      </w:pPr>
    </w:p>
    <w:p>
      <w:pPr>
        <w:jc w:val="both"/>
        <w:ind w:firstLine="954"/>
        <w:spacing w:after="0" w:line="239" w:lineRule="auto"/>
        <w:rPr>
          <w:sz w:val="20"/>
          <w:szCs w:val="20"/>
          <w:color w:val="auto"/>
        </w:rPr>
      </w:pPr>
      <w:r>
        <w:rPr>
          <w:rFonts w:ascii="Arial" w:cs="Arial" w:eastAsia="Arial" w:hAnsi="Arial"/>
          <w:sz w:val="21"/>
          <w:szCs w:val="21"/>
          <w:color w:val="auto"/>
        </w:rPr>
        <w:t xml:space="preserve">Section 9.09 </w:t>
      </w:r>
      <w:r>
        <w:rPr>
          <w:rFonts w:ascii="Arial" w:cs="Arial" w:eastAsia="Arial" w:hAnsi="Arial"/>
          <w:sz w:val="21"/>
          <w:szCs w:val="21"/>
          <w:u w:val="single" w:color="auto"/>
          <w:color w:val="auto"/>
        </w:rPr>
        <w:t>Duration of Guarantee</w:t>
      </w:r>
      <w:r>
        <w:rPr>
          <w:rFonts w:ascii="Arial" w:cs="Arial" w:eastAsia="Arial" w:hAnsi="Arial"/>
          <w:sz w:val="21"/>
          <w:szCs w:val="21"/>
          <w:color w:val="auto"/>
        </w:rPr>
        <w:t xml:space="preserve">. The Obligations Guarantee contained in this </w:t>
      </w:r>
      <w:r>
        <w:rPr>
          <w:rFonts w:ascii="Arial" w:cs="Arial" w:eastAsia="Arial" w:hAnsi="Arial"/>
          <w:sz w:val="21"/>
          <w:szCs w:val="21"/>
          <w:u w:val="single" w:color="auto"/>
          <w:color w:val="auto"/>
        </w:rPr>
        <w:t>Article IX</w:t>
      </w:r>
      <w:r>
        <w:rPr>
          <w:rFonts w:ascii="Arial" w:cs="Arial" w:eastAsia="Arial" w:hAnsi="Arial"/>
          <w:sz w:val="21"/>
          <w:szCs w:val="21"/>
          <w:color w:val="auto"/>
        </w:rPr>
        <w:t xml:space="preserve"> shall remain in full force and effect until the Discharge of the Obligations.</w:t>
      </w:r>
    </w:p>
    <w:p>
      <w:pPr>
        <w:spacing w:after="0" w:line="155" w:lineRule="exact"/>
        <w:rPr>
          <w:sz w:val="20"/>
          <w:szCs w:val="20"/>
          <w:color w:val="auto"/>
        </w:rPr>
      </w:pPr>
    </w:p>
    <w:p>
      <w:pPr>
        <w:jc w:val="both"/>
        <w:ind w:firstLine="954"/>
        <w:spacing w:after="0" w:line="226" w:lineRule="auto"/>
        <w:rPr>
          <w:sz w:val="20"/>
          <w:szCs w:val="20"/>
          <w:color w:val="auto"/>
        </w:rPr>
      </w:pPr>
      <w:r>
        <w:rPr>
          <w:rFonts w:ascii="Arial" w:cs="Arial" w:eastAsia="Arial" w:hAnsi="Arial"/>
          <w:sz w:val="20"/>
          <w:szCs w:val="20"/>
          <w:color w:val="auto"/>
        </w:rPr>
        <w:t xml:space="preserve">Section 9.10 </w:t>
      </w:r>
      <w:r>
        <w:rPr>
          <w:rFonts w:ascii="Arial" w:cs="Arial" w:eastAsia="Arial" w:hAnsi="Arial"/>
          <w:sz w:val="20"/>
          <w:szCs w:val="20"/>
          <w:u w:val="single" w:color="auto"/>
          <w:color w:val="auto"/>
        </w:rPr>
        <w:t>Reinstatement</w:t>
      </w:r>
      <w:r>
        <w:rPr>
          <w:rFonts w:ascii="Arial" w:cs="Arial" w:eastAsia="Arial" w:hAnsi="Arial"/>
          <w:sz w:val="20"/>
          <w:szCs w:val="20"/>
          <w:color w:val="auto"/>
        </w:rPr>
        <w:t>. If at any time payment of any of the Obligations or any portion thereof is rescinded, disgorged or must otherwise be restored or returned by any Guaranteed Party upon the insolvency, bankruptcy, dissolution, liquidation, examinership or reorganization of the Borrower or any Guarantor, or upon or as a result of the appointment of a receiver, intervenor or conservator of, or trustee or similar officer for, the Borrower or any other Guarantor or any substantial part of its property, or otherwise, or if any Guaranteed Party repays, restores, or returns, in whole or in part, any payment or property previously paid or transferred to the Guaranteed Party in full or partial satisfaction of any Obligation, because the payment or transfer or the incurrence of the obligation is so satisfied, is declared to be void, voidable, or otherwise recoverable under any state or federal law (collectively, a “</w:t>
      </w:r>
      <w:r>
        <w:rPr>
          <w:rFonts w:ascii="Arial" w:cs="Arial" w:eastAsia="Arial" w:hAnsi="Arial"/>
          <w:sz w:val="20"/>
          <w:szCs w:val="20"/>
          <w:u w:val="single" w:color="auto"/>
          <w:color w:val="auto"/>
        </w:rPr>
        <w:t>Voidable Transfer</w:t>
      </w:r>
      <w:r>
        <w:rPr>
          <w:rFonts w:ascii="Arial" w:cs="Arial" w:eastAsia="Arial" w:hAnsi="Arial"/>
          <w:sz w:val="20"/>
          <w:szCs w:val="20"/>
          <w:color w:val="auto"/>
        </w:rPr>
        <w:t xml:space="preserve">”), or because such Guaranteed Party elects to do so on the reasonable advice of its counsel in connection with an assertion that the payment, transfer, or incurrence is a Voidable Transfer, then, as to any such Voidable Transfer, and, subject to </w:t>
      </w:r>
      <w:r>
        <w:rPr>
          <w:rFonts w:ascii="Arial" w:cs="Arial" w:eastAsia="Arial" w:hAnsi="Arial"/>
          <w:sz w:val="20"/>
          <w:szCs w:val="20"/>
          <w:u w:val="single" w:color="auto"/>
          <w:color w:val="auto"/>
        </w:rPr>
        <w:t>Section 11.04</w:t>
      </w:r>
      <w:r>
        <w:rPr>
          <w:rFonts w:ascii="Arial" w:cs="Arial" w:eastAsia="Arial" w:hAnsi="Arial"/>
          <w:sz w:val="20"/>
          <w:szCs w:val="20"/>
          <w:color w:val="auto"/>
        </w:rPr>
        <w:t>, as to all reasonable costs, expenses and attorney’s fees of the Guaranteed Party related thereto, the liability of each Guarantor hereunder will automatically and immediately be revived, reinstated, and restored and will exist as though the Voidable Transfer had never been made.</w:t>
      </w:r>
    </w:p>
    <w:p>
      <w:pPr>
        <w:spacing w:after="0" w:line="157" w:lineRule="exact"/>
        <w:rPr>
          <w:sz w:val="20"/>
          <w:szCs w:val="20"/>
          <w:color w:val="auto"/>
        </w:rPr>
      </w:pPr>
    </w:p>
    <w:p>
      <w:pPr>
        <w:jc w:val="both"/>
        <w:ind w:firstLine="954"/>
        <w:spacing w:after="0" w:line="230" w:lineRule="auto"/>
        <w:rPr>
          <w:sz w:val="20"/>
          <w:szCs w:val="20"/>
          <w:color w:val="auto"/>
        </w:rPr>
      </w:pPr>
      <w:r>
        <w:rPr>
          <w:rFonts w:ascii="Arial" w:cs="Arial" w:eastAsia="Arial" w:hAnsi="Arial"/>
          <w:sz w:val="21"/>
          <w:szCs w:val="21"/>
          <w:color w:val="auto"/>
        </w:rPr>
        <w:t xml:space="preserve">Section 9.11 </w:t>
      </w:r>
      <w:r>
        <w:rPr>
          <w:rFonts w:ascii="Arial" w:cs="Arial" w:eastAsia="Arial" w:hAnsi="Arial"/>
          <w:sz w:val="21"/>
          <w:szCs w:val="21"/>
          <w:u w:val="single" w:color="auto"/>
          <w:color w:val="auto"/>
        </w:rPr>
        <w:t>Additional Guarantors</w:t>
      </w:r>
      <w:r>
        <w:rPr>
          <w:rFonts w:ascii="Arial" w:cs="Arial" w:eastAsia="Arial" w:hAnsi="Arial"/>
          <w:sz w:val="21"/>
          <w:szCs w:val="21"/>
          <w:color w:val="auto"/>
        </w:rPr>
        <w:t>. (i) As promptly as possible but in any event within forty-five (45) days (or such later date as may be agreed upon by the Administrative Agent) after any Person becomes a Material Subsidiary, (ii) as promptly as possible but in any event within forty-five (45) days (or such later date as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113</w:t>
      </w:r>
    </w:p>
    <w:p>
      <w:pPr>
        <w:sectPr>
          <w:pgSz w:w="11900" w:h="16838" w:orient="portrait"/>
          <w:cols w:equalWidth="0" w:num="1">
            <w:col w:w="11200"/>
          </w:cols>
          <w:pgMar w:left="320" w:top="1152" w:right="379" w:bottom="1440" w:gutter="0" w:footer="0" w:header="0"/>
        </w:sectPr>
      </w:pPr>
    </w:p>
    <w:bookmarkStart w:id="252" w:name="page253"/>
    <w:bookmarkEnd w:id="252"/>
    <w:p>
      <w:pPr>
        <w:jc w:val="both"/>
        <w:spacing w:after="0" w:line="230" w:lineRule="auto"/>
        <w:rPr>
          <w:sz w:val="20"/>
          <w:szCs w:val="20"/>
          <w:color w:val="auto"/>
        </w:rPr>
      </w:pPr>
      <w:r>
        <w:rPr>
          <w:rFonts w:ascii="Arial" w:cs="Arial" w:eastAsia="Arial" w:hAnsi="Arial"/>
          <w:sz w:val="20"/>
          <w:szCs w:val="20"/>
          <w:color w:val="auto"/>
        </w:rPr>
        <w:t xml:space="preserve">agreed upon by the Administrative Agent) after the end of the calendar quarter during which any Subsidiary so qualifies as a Material Subsidiary pursuant to the definition of “Material Subsidiary” or (iii) at the time that Borrower either elects to cause any of its Subsidiaries to become a Guarantor or is required to cause any of its Subsidiaries to become a Guarantor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7.03</w:t>
      </w:r>
      <w:r>
        <w:rPr>
          <w:rFonts w:ascii="Arial" w:cs="Arial" w:eastAsia="Arial" w:hAnsi="Arial"/>
          <w:sz w:val="20"/>
          <w:szCs w:val="20"/>
          <w:color w:val="auto"/>
        </w:rPr>
        <w:t xml:space="preserve">, Borrower shall deliver or shall cause the applicable Subsidiary to deliver, as the case may be, to the Administrative Agent (a) a duly executed Guarantor Counterpart pursuant to which Borrower or such Subsidiary, as the case may be, agrees to be bound by the terms and provisions of the Obligations Guarantee and such Guarantor Counterpart and (b) the documents and opinions of the types referred to in </w:t>
      </w:r>
      <w:r>
        <w:rPr>
          <w:rFonts w:ascii="Arial" w:cs="Arial" w:eastAsia="Arial" w:hAnsi="Arial"/>
          <w:sz w:val="20"/>
          <w:szCs w:val="20"/>
          <w:u w:val="single" w:color="auto"/>
          <w:color w:val="auto"/>
        </w:rPr>
        <w:t>Sections 4.01(b)(i)</w:t>
      </w:r>
      <w:r>
        <w:rPr>
          <w:rFonts w:ascii="Arial" w:cs="Arial" w:eastAsia="Arial" w:hAnsi="Arial"/>
          <w:sz w:val="20"/>
          <w:szCs w:val="20"/>
          <w:color w:val="auto"/>
        </w:rPr>
        <w:t xml:space="preserve">, </w:t>
      </w:r>
      <w:r>
        <w:rPr>
          <w:rFonts w:ascii="Arial" w:cs="Arial" w:eastAsia="Arial" w:hAnsi="Arial"/>
          <w:sz w:val="20"/>
          <w:szCs w:val="20"/>
          <w:u w:val="single" w:color="auto"/>
          <w:color w:val="auto"/>
        </w:rPr>
        <w:t>4.01(b)(iii)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4.01(d)</w:t>
      </w:r>
      <w:r>
        <w:rPr>
          <w:rFonts w:ascii="Arial" w:cs="Arial" w:eastAsia="Arial" w:hAnsi="Arial"/>
          <w:sz w:val="20"/>
          <w:szCs w:val="20"/>
          <w:color w:val="auto"/>
        </w:rPr>
        <w:t>.</w:t>
      </w:r>
    </w:p>
    <w:p>
      <w:pPr>
        <w:spacing w:after="0" w:line="142" w:lineRule="exact"/>
        <w:rPr>
          <w:sz w:val="20"/>
          <w:szCs w:val="20"/>
          <w:color w:val="auto"/>
        </w:rPr>
      </w:pPr>
    </w:p>
    <w:p>
      <w:pPr>
        <w:ind w:left="5000"/>
        <w:spacing w:after="0"/>
        <w:rPr>
          <w:sz w:val="20"/>
          <w:szCs w:val="20"/>
          <w:color w:val="auto"/>
        </w:rPr>
      </w:pPr>
      <w:r>
        <w:rPr>
          <w:rFonts w:ascii="Arial" w:cs="Arial" w:eastAsia="Arial" w:hAnsi="Arial"/>
          <w:sz w:val="21"/>
          <w:szCs w:val="21"/>
          <w:color w:val="auto"/>
        </w:rPr>
        <w:t>ARTICLE 10</w:t>
      </w:r>
    </w:p>
    <w:p>
      <w:pPr>
        <w:ind w:left="4520"/>
        <w:spacing w:after="0"/>
        <w:rPr>
          <w:sz w:val="20"/>
          <w:szCs w:val="20"/>
          <w:color w:val="auto"/>
        </w:rPr>
      </w:pPr>
      <w:r>
        <w:rPr>
          <w:rFonts w:ascii="Arial" w:cs="Arial" w:eastAsia="Arial" w:hAnsi="Arial"/>
          <w:sz w:val="21"/>
          <w:szCs w:val="21"/>
          <w:color w:val="auto"/>
        </w:rPr>
        <w:t>The Administrative Agent</w:t>
      </w:r>
    </w:p>
    <w:p>
      <w:pPr>
        <w:spacing w:after="0" w:line="165" w:lineRule="exact"/>
        <w:rPr>
          <w:sz w:val="20"/>
          <w:szCs w:val="20"/>
          <w:color w:val="auto"/>
        </w:rPr>
      </w:pPr>
    </w:p>
    <w:p>
      <w:pPr>
        <w:jc w:val="both"/>
        <w:ind w:firstLine="954"/>
        <w:spacing w:after="0" w:line="228" w:lineRule="auto"/>
        <w:rPr>
          <w:sz w:val="20"/>
          <w:szCs w:val="20"/>
          <w:color w:val="auto"/>
        </w:rPr>
      </w:pPr>
      <w:r>
        <w:rPr>
          <w:rFonts w:ascii="Arial" w:cs="Arial" w:eastAsia="Arial" w:hAnsi="Arial"/>
          <w:sz w:val="20"/>
          <w:szCs w:val="20"/>
          <w:color w:val="auto"/>
        </w:rPr>
        <w:t xml:space="preserve">Section 10.01 </w:t>
      </w:r>
      <w:r>
        <w:rPr>
          <w:rFonts w:ascii="Arial" w:cs="Arial" w:eastAsia="Arial" w:hAnsi="Arial"/>
          <w:sz w:val="20"/>
          <w:szCs w:val="20"/>
          <w:u w:val="single" w:color="auto"/>
          <w:color w:val="auto"/>
        </w:rPr>
        <w:t>Authorization and Action</w:t>
      </w:r>
      <w:r>
        <w:rPr>
          <w:rFonts w:ascii="Arial" w:cs="Arial" w:eastAsia="Arial" w:hAnsi="Arial"/>
          <w:sz w:val="20"/>
          <w:szCs w:val="20"/>
          <w:color w:val="auto"/>
        </w:rPr>
        <w:t>. (a) Each Lender and each L/C Issuer hereby irrevocably appoints the entity named as Administrative Agent in the heading of this Agreement and its successors and assigns to serve as the administrative agent under the Loan Documents and each Lender and each L/C Issuer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Without limiting the foregoing, each Lender and each L/C Issuer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w:t>
      </w:r>
    </w:p>
    <w:p>
      <w:pPr>
        <w:spacing w:after="0" w:line="160" w:lineRule="exact"/>
        <w:rPr>
          <w:sz w:val="20"/>
          <w:szCs w:val="20"/>
          <w:color w:val="auto"/>
        </w:rPr>
      </w:pPr>
    </w:p>
    <w:p>
      <w:pPr>
        <w:jc w:val="both"/>
        <w:ind w:firstLine="1036"/>
        <w:spacing w:after="0"/>
        <w:tabs>
          <w:tab w:leader="none" w:pos="1527" w:val="left"/>
        </w:tabs>
        <w:numPr>
          <w:ilvl w:val="0"/>
          <w:numId w:val="234"/>
        </w:numPr>
        <w:rPr>
          <w:rFonts w:ascii="Arial" w:cs="Arial" w:eastAsia="Arial" w:hAnsi="Arial"/>
          <w:sz w:val="19"/>
          <w:szCs w:val="19"/>
          <w:color w:val="auto"/>
        </w:rPr>
      </w:pPr>
      <w:r>
        <w:rPr>
          <w:rFonts w:ascii="Arial" w:cs="Arial" w:eastAsia="Arial" w:hAnsi="Arial"/>
          <w:sz w:val="19"/>
          <w:szCs w:val="19"/>
          <w:color w:val="auto"/>
        </w:rPr>
        <w:t xml:space="preserve">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each L/C Issuer;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however, that the Administrative Agent shall not be required to take any action that (i) the Administrative Agent in good faith believes exposes it to liability unless the Administrative Agent receives an indemnification and is exculpated in a manner satisfactory to it from the Lenders and the L/C Issuers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Arial" w:cs="Arial" w:eastAsia="Arial" w:hAnsi="Arial"/>
          <w:sz w:val="19"/>
          <w:szCs w:val="19"/>
          <w:u w:val="single" w:color="auto"/>
          <w:color w:val="auto"/>
        </w:rPr>
        <w:t>provided</w:t>
      </w:r>
      <w:r>
        <w:rPr>
          <w:rFonts w:ascii="Arial" w:cs="Arial" w:eastAsia="Arial" w:hAnsi="Arial"/>
          <w:sz w:val="19"/>
          <w:szCs w:val="19"/>
          <w:color w:val="auto"/>
        </w:rPr>
        <w:t>, further,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the Borrower,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114</w:t>
      </w:r>
    </w:p>
    <w:p>
      <w:pPr>
        <w:sectPr>
          <w:pgSz w:w="11900" w:h="16838" w:orient="portrait"/>
          <w:cols w:equalWidth="0" w:num="1">
            <w:col w:w="11200"/>
          </w:cols>
          <w:pgMar w:left="320" w:top="1152" w:right="379" w:bottom="1440" w:gutter="0" w:footer="0" w:header="0"/>
        </w:sectPr>
      </w:pPr>
    </w:p>
    <w:bookmarkStart w:id="253" w:name="page254"/>
    <w:bookmarkEnd w:id="253"/>
    <w:p>
      <w:pPr>
        <w:spacing w:after="0" w:line="239" w:lineRule="auto"/>
        <w:rPr>
          <w:sz w:val="20"/>
          <w:szCs w:val="20"/>
          <w:color w:val="auto"/>
        </w:rPr>
      </w:pPr>
      <w:r>
        <w:rPr>
          <w:rFonts w:ascii="Arial" w:cs="Arial" w:eastAsia="Arial" w:hAnsi="Arial"/>
          <w:sz w:val="21"/>
          <w:szCs w:val="21"/>
          <w:color w:val="auto"/>
        </w:rPr>
        <w:t>hereunder or in the exercise of any of its rights or powers if it shall have reasonable grounds for believing that repayment of such funds or adequate indemnity against such risk or liability is not reasonably assured to it.</w:t>
      </w:r>
    </w:p>
    <w:p>
      <w:pPr>
        <w:spacing w:after="0" w:line="155" w:lineRule="exact"/>
        <w:rPr>
          <w:sz w:val="20"/>
          <w:szCs w:val="20"/>
          <w:color w:val="auto"/>
        </w:rPr>
      </w:pPr>
    </w:p>
    <w:p>
      <w:pPr>
        <w:jc w:val="both"/>
        <w:ind w:firstLine="1036"/>
        <w:spacing w:after="0" w:line="225" w:lineRule="auto"/>
        <w:tabs>
          <w:tab w:leader="none" w:pos="1516" w:val="left"/>
        </w:tabs>
        <w:numPr>
          <w:ilvl w:val="0"/>
          <w:numId w:val="235"/>
        </w:numPr>
        <w:rPr>
          <w:rFonts w:ascii="Arial" w:cs="Arial" w:eastAsia="Arial" w:hAnsi="Arial"/>
          <w:sz w:val="21"/>
          <w:szCs w:val="21"/>
          <w:color w:val="auto"/>
        </w:rPr>
      </w:pPr>
      <w:r>
        <w:rPr>
          <w:rFonts w:ascii="Arial" w:cs="Arial" w:eastAsia="Arial" w:hAnsi="Arial"/>
          <w:sz w:val="21"/>
          <w:szCs w:val="21"/>
          <w:color w:val="auto"/>
        </w:rPr>
        <w:t>In performing its functions and duties hereunder and under the other Loan Documents, the Administrative Agent is acting solely on behalf of the Lenders and the L/C Issuers (except in limited circumstances expressly provided for herein relating to the maintenance of the Register), and its duties are entirely mechanical and administrative in nature. Without limiting the generality of the foregoing:</w:t>
      </w:r>
    </w:p>
    <w:p>
      <w:pPr>
        <w:spacing w:after="0" w:line="154" w:lineRule="exact"/>
        <w:rPr>
          <w:rFonts w:ascii="Arial" w:cs="Arial" w:eastAsia="Arial" w:hAnsi="Arial"/>
          <w:sz w:val="21"/>
          <w:szCs w:val="21"/>
          <w:color w:val="auto"/>
        </w:rPr>
      </w:pPr>
    </w:p>
    <w:p>
      <w:pPr>
        <w:jc w:val="both"/>
        <w:ind w:left="640" w:firstLine="638"/>
        <w:spacing w:after="0"/>
        <w:tabs>
          <w:tab w:leader="none" w:pos="1912" w:val="left"/>
        </w:tabs>
        <w:numPr>
          <w:ilvl w:val="1"/>
          <w:numId w:val="235"/>
        </w:numPr>
        <w:rPr>
          <w:rFonts w:ascii="Arial" w:cs="Arial" w:eastAsia="Arial" w:hAnsi="Arial"/>
          <w:sz w:val="19"/>
          <w:szCs w:val="19"/>
          <w:color w:val="auto"/>
        </w:rPr>
      </w:pPr>
      <w:r>
        <w:rPr>
          <w:rFonts w:ascii="Arial" w:cs="Arial" w:eastAsia="Arial" w:hAnsi="Arial"/>
          <w:sz w:val="19"/>
          <w:szCs w:val="19"/>
          <w:color w:val="auto"/>
        </w:rPr>
        <w:t>the Administrative Agent does not assume and shall not be deemed to have assumed any obligation or duty or any other relationship as the agent, fiduciary or trustee of or for any Lender or L/C Issuer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and/or the transactions contemplated hereby; and</w:t>
      </w:r>
    </w:p>
    <w:p>
      <w:pPr>
        <w:spacing w:after="0" w:line="153" w:lineRule="exact"/>
        <w:rPr>
          <w:rFonts w:ascii="Arial" w:cs="Arial" w:eastAsia="Arial" w:hAnsi="Arial"/>
          <w:sz w:val="19"/>
          <w:szCs w:val="19"/>
          <w:color w:val="auto"/>
        </w:rPr>
      </w:pPr>
    </w:p>
    <w:p>
      <w:pPr>
        <w:ind w:left="640" w:firstLine="638"/>
        <w:spacing w:after="0" w:line="263" w:lineRule="auto"/>
        <w:tabs>
          <w:tab w:leader="none" w:pos="1912" w:val="left"/>
        </w:tabs>
        <w:numPr>
          <w:ilvl w:val="1"/>
          <w:numId w:val="235"/>
        </w:numPr>
        <w:rPr>
          <w:rFonts w:ascii="Arial" w:cs="Arial" w:eastAsia="Arial" w:hAnsi="Arial"/>
          <w:sz w:val="20"/>
          <w:szCs w:val="20"/>
          <w:color w:val="auto"/>
        </w:rPr>
      </w:pPr>
      <w:r>
        <w:rPr>
          <w:rFonts w:ascii="Arial" w:cs="Arial" w:eastAsia="Arial" w:hAnsi="Arial"/>
          <w:sz w:val="20"/>
          <w:szCs w:val="20"/>
          <w:color w:val="auto"/>
        </w:rPr>
        <w:t>nothing in this Agreement or any Loan Document shall require the Administrative Agent to account to any Lender for any sum or the profit element of any sum received by the Administrative Agent for its own account;</w:t>
      </w:r>
    </w:p>
    <w:p>
      <w:pPr>
        <w:spacing w:after="0" w:line="131" w:lineRule="exact"/>
        <w:rPr>
          <w:rFonts w:ascii="Arial" w:cs="Arial" w:eastAsia="Arial" w:hAnsi="Arial"/>
          <w:sz w:val="20"/>
          <w:szCs w:val="20"/>
          <w:color w:val="auto"/>
        </w:rPr>
      </w:pPr>
    </w:p>
    <w:p>
      <w:pPr>
        <w:jc w:val="both"/>
        <w:ind w:firstLine="1036"/>
        <w:spacing w:after="0" w:line="228" w:lineRule="auto"/>
        <w:tabs>
          <w:tab w:leader="none" w:pos="1490" w:val="left"/>
        </w:tabs>
        <w:numPr>
          <w:ilvl w:val="0"/>
          <w:numId w:val="235"/>
        </w:numPr>
        <w:rPr>
          <w:rFonts w:ascii="Arial" w:cs="Arial" w:eastAsia="Arial" w:hAnsi="Arial"/>
          <w:sz w:val="20"/>
          <w:szCs w:val="20"/>
          <w:color w:val="auto"/>
        </w:rPr>
      </w:pPr>
      <w:r>
        <w:rPr>
          <w:rFonts w:ascii="Arial" w:cs="Arial" w:eastAsia="Arial" w:hAnsi="Arial"/>
          <w:sz w:val="20"/>
          <w:szCs w:val="20"/>
          <w:color w:val="auto"/>
        </w:rPr>
        <w:t>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spacing w:after="0" w:line="160" w:lineRule="exact"/>
        <w:rPr>
          <w:rFonts w:ascii="Arial" w:cs="Arial" w:eastAsia="Arial" w:hAnsi="Arial"/>
          <w:sz w:val="20"/>
          <w:szCs w:val="20"/>
          <w:color w:val="auto"/>
        </w:rPr>
      </w:pPr>
    </w:p>
    <w:p>
      <w:pPr>
        <w:jc w:val="both"/>
        <w:ind w:firstLine="1036"/>
        <w:spacing w:after="0" w:line="230" w:lineRule="auto"/>
        <w:tabs>
          <w:tab w:leader="none" w:pos="1518" w:val="left"/>
        </w:tabs>
        <w:numPr>
          <w:ilvl w:val="0"/>
          <w:numId w:val="235"/>
        </w:numPr>
        <w:rPr>
          <w:rFonts w:ascii="Arial" w:cs="Arial" w:eastAsia="Arial" w:hAnsi="Arial"/>
          <w:sz w:val="21"/>
          <w:szCs w:val="21"/>
          <w:color w:val="auto"/>
        </w:rPr>
      </w:pPr>
      <w:r>
        <w:rPr>
          <w:rFonts w:ascii="Arial" w:cs="Arial" w:eastAsia="Arial" w:hAnsi="Arial"/>
          <w:sz w:val="21"/>
          <w:szCs w:val="21"/>
          <w:color w:val="auto"/>
        </w:rPr>
        <w:t>None of any Co-Syndication Agent or any Arranger shall have obligations or duties whatsoever in such capacity under this Agreement or any other Loan Document and shall incur no liability hereunder or thereunder in such capacity, but all such persons shall have the benefit of the indemnities provided for hereunder.</w:t>
      </w:r>
    </w:p>
    <w:p>
      <w:pPr>
        <w:spacing w:after="0" w:line="153" w:lineRule="exact"/>
        <w:rPr>
          <w:rFonts w:ascii="Arial" w:cs="Arial" w:eastAsia="Arial" w:hAnsi="Arial"/>
          <w:sz w:val="21"/>
          <w:szCs w:val="21"/>
          <w:color w:val="auto"/>
        </w:rPr>
      </w:pPr>
    </w:p>
    <w:p>
      <w:pPr>
        <w:jc w:val="both"/>
        <w:ind w:firstLine="1036"/>
        <w:spacing w:after="0" w:line="225" w:lineRule="auto"/>
        <w:tabs>
          <w:tab w:leader="none" w:pos="1547" w:val="left"/>
        </w:tabs>
        <w:numPr>
          <w:ilvl w:val="0"/>
          <w:numId w:val="235"/>
        </w:numPr>
        <w:rPr>
          <w:rFonts w:ascii="Arial" w:cs="Arial" w:eastAsia="Arial" w:hAnsi="Arial"/>
          <w:sz w:val="21"/>
          <w:szCs w:val="21"/>
          <w:color w:val="auto"/>
        </w:rPr>
      </w:pPr>
      <w:r>
        <w:rPr>
          <w:rFonts w:ascii="Arial" w:cs="Arial" w:eastAsia="Arial" w:hAnsi="Arial"/>
          <w:sz w:val="21"/>
          <w:szCs w:val="21"/>
          <w:color w:val="auto"/>
        </w:rPr>
        <w:t>In case of the pendency of any proceeding with respect to any Loan Party under any Federal, state or foreign bankruptcy, insolvency, receivership or similar law now or hereafter in effect, the Administrative Agent (irrespective of whether the principal of any Loan or any Obligation shall then be due and payable as herein expressed or by declaration or otherwise and irrespective of whether the Administrative Agent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115</w:t>
      </w:r>
    </w:p>
    <w:p>
      <w:pPr>
        <w:sectPr>
          <w:pgSz w:w="11900" w:h="16838" w:orient="portrait"/>
          <w:cols w:equalWidth="0" w:num="1">
            <w:col w:w="11200"/>
          </w:cols>
          <w:pgMar w:left="320" w:top="1152" w:right="379" w:bottom="1440" w:gutter="0" w:footer="0" w:header="0"/>
        </w:sectPr>
      </w:pPr>
    </w:p>
    <w:bookmarkStart w:id="254" w:name="page255"/>
    <w:bookmarkEnd w:id="254"/>
    <w:p>
      <w:pPr>
        <w:ind w:right="40"/>
        <w:spacing w:after="0" w:line="239" w:lineRule="auto"/>
        <w:rPr>
          <w:sz w:val="20"/>
          <w:szCs w:val="20"/>
          <w:color w:val="auto"/>
        </w:rPr>
      </w:pPr>
      <w:r>
        <w:rPr>
          <w:rFonts w:ascii="Arial" w:cs="Arial" w:eastAsia="Arial" w:hAnsi="Arial"/>
          <w:sz w:val="21"/>
          <w:szCs w:val="21"/>
          <w:color w:val="auto"/>
        </w:rPr>
        <w:t>have made any demand on any Loan Party) shall be entitled and empowered (but not obligated) by intervention in such proceeding or otherwise:</w:t>
      </w:r>
    </w:p>
    <w:p>
      <w:pPr>
        <w:spacing w:after="0" w:line="155" w:lineRule="exact"/>
        <w:rPr>
          <w:sz w:val="20"/>
          <w:szCs w:val="20"/>
          <w:color w:val="auto"/>
        </w:rPr>
      </w:pPr>
    </w:p>
    <w:p>
      <w:pPr>
        <w:jc w:val="both"/>
        <w:ind w:left="640" w:right="40" w:firstLine="638"/>
        <w:spacing w:after="0" w:line="236" w:lineRule="auto"/>
        <w:tabs>
          <w:tab w:leader="none" w:pos="1912" w:val="left"/>
        </w:tabs>
        <w:numPr>
          <w:ilvl w:val="0"/>
          <w:numId w:val="236"/>
        </w:numPr>
        <w:rPr>
          <w:rFonts w:ascii="Arial" w:cs="Arial" w:eastAsia="Arial" w:hAnsi="Arial"/>
          <w:sz w:val="20"/>
          <w:szCs w:val="20"/>
          <w:color w:val="auto"/>
        </w:rPr>
      </w:pPr>
      <w:r>
        <w:rPr>
          <w:rFonts w:ascii="Arial" w:cs="Arial" w:eastAsia="Arial" w:hAnsi="Arial"/>
          <w:sz w:val="20"/>
          <w:szCs w:val="20"/>
          <w:color w:val="auto"/>
        </w:rPr>
        <w:t>to file and prove a claim for the whole amount of the principal and interest owing and unpaid in respect of the Loans, Letters of Credit and all other Obligations that are owing and unpaid and to file such other documents as may be necessary or advisable in order to have the claims of the Lenders, the L/C Issuers and the Administrative Agent (including any claim under Sections 2.08, 2.09, 3.01, 3.04 or 11.04) allowed in such judicial proceeding; and</w:t>
      </w:r>
    </w:p>
    <w:p>
      <w:pPr>
        <w:spacing w:after="0" w:line="155" w:lineRule="exact"/>
        <w:rPr>
          <w:rFonts w:ascii="Arial" w:cs="Arial" w:eastAsia="Arial" w:hAnsi="Arial"/>
          <w:sz w:val="20"/>
          <w:szCs w:val="20"/>
          <w:color w:val="auto"/>
        </w:rPr>
      </w:pPr>
    </w:p>
    <w:p>
      <w:pPr>
        <w:ind w:left="640" w:right="40" w:firstLine="638"/>
        <w:spacing w:after="0" w:line="239" w:lineRule="auto"/>
        <w:tabs>
          <w:tab w:leader="none" w:pos="1912" w:val="left"/>
        </w:tabs>
        <w:numPr>
          <w:ilvl w:val="0"/>
          <w:numId w:val="236"/>
        </w:numPr>
        <w:rPr>
          <w:rFonts w:ascii="Arial" w:cs="Arial" w:eastAsia="Arial" w:hAnsi="Arial"/>
          <w:sz w:val="21"/>
          <w:szCs w:val="21"/>
          <w:color w:val="auto"/>
        </w:rPr>
      </w:pPr>
      <w:r>
        <w:rPr>
          <w:rFonts w:ascii="Arial" w:cs="Arial" w:eastAsia="Arial" w:hAnsi="Arial"/>
          <w:sz w:val="21"/>
          <w:szCs w:val="21"/>
          <w:color w:val="auto"/>
        </w:rPr>
        <w:t>to collect and receive any monies or other property payable or deliverable on any such claims and to distribute the same;</w:t>
      </w:r>
    </w:p>
    <w:p>
      <w:pPr>
        <w:spacing w:after="0" w:line="155" w:lineRule="exact"/>
        <w:rPr>
          <w:sz w:val="20"/>
          <w:szCs w:val="20"/>
          <w:color w:val="auto"/>
        </w:rPr>
      </w:pPr>
    </w:p>
    <w:p>
      <w:pPr>
        <w:jc w:val="both"/>
        <w:spacing w:after="0" w:line="218" w:lineRule="auto"/>
        <w:rPr>
          <w:sz w:val="20"/>
          <w:szCs w:val="20"/>
          <w:color w:val="auto"/>
        </w:rPr>
      </w:pPr>
      <w:r>
        <w:rPr>
          <w:rFonts w:ascii="Arial" w:cs="Arial" w:eastAsia="Arial" w:hAnsi="Arial"/>
          <w:sz w:val="21"/>
          <w:szCs w:val="21"/>
          <w:color w:val="auto"/>
        </w:rPr>
        <w:t>and any custodian, receiver, assignee, trustee, liquidator, sequestrator or other similar official in any such proceeding is hereby authorized by each Lender, each L/C Issuer to make such payments to the Administrative Agent and, in the event that the Administrative Agent shall consent to the making of such payments directly to the Lenders or the L/C Issuers, to pay to the Administrative Agent any amount due to it, in its capacity as the Administrative Agent, under the Loan Documents (including under Section 11.04). Nothing contained herein shall be deemed to authorize the Administrative Agent to authorize or consent to or accept or adopt on behalf of any Lender or L/C Issuer any plan of reorganization, arrangement, adjustment or composition affecting the Obligations or the rights of any Lender or L/C Issuer or to authorize the Administrative Agent to vote in respect of the claim of any Lender or L/C Issuer in any such proceeding.</w:t>
      </w:r>
    </w:p>
    <w:p>
      <w:pPr>
        <w:spacing w:after="0" w:line="153" w:lineRule="exact"/>
        <w:rPr>
          <w:sz w:val="20"/>
          <w:szCs w:val="20"/>
          <w:color w:val="auto"/>
        </w:rPr>
      </w:pPr>
    </w:p>
    <w:p>
      <w:pPr>
        <w:jc w:val="both"/>
        <w:ind w:right="40" w:firstLine="1036"/>
        <w:spacing w:after="0" w:line="222" w:lineRule="auto"/>
        <w:tabs>
          <w:tab w:leader="none" w:pos="1585" w:val="left"/>
        </w:tabs>
        <w:numPr>
          <w:ilvl w:val="0"/>
          <w:numId w:val="237"/>
        </w:numPr>
        <w:rPr>
          <w:rFonts w:ascii="Arial" w:cs="Arial" w:eastAsia="Arial" w:hAnsi="Arial"/>
          <w:sz w:val="21"/>
          <w:szCs w:val="21"/>
          <w:color w:val="auto"/>
        </w:rPr>
      </w:pPr>
      <w:r>
        <w:rPr>
          <w:rFonts w:ascii="Arial" w:cs="Arial" w:eastAsia="Arial" w:hAnsi="Arial"/>
          <w:sz w:val="21"/>
          <w:szCs w:val="21"/>
          <w:color w:val="auto"/>
        </w:rPr>
        <w:t xml:space="preserve">The provisions of this Article are solely for the benefit of the Administrative Agent, the Lenders and the L/C Issuers, and, except solely to the extent of the Borrower’s rights to consent pursuant to and subject to the conditions set forth in this Article, none of the Borrower or any Subsidiary, or any of their respective Affiliates, shall have any rights as a third party beneficiary under any such provisions. Each party that is a holder of Obligations, whether or not a party hereto, will be deemed to have agreed to the provisions of this </w:t>
      </w:r>
      <w:r>
        <w:rPr>
          <w:rFonts w:ascii="Arial" w:cs="Arial" w:eastAsia="Arial" w:hAnsi="Arial"/>
          <w:sz w:val="21"/>
          <w:szCs w:val="21"/>
          <w:u w:val="single" w:color="auto"/>
          <w:color w:val="auto"/>
        </w:rPr>
        <w:t>Article X</w:t>
      </w:r>
      <w:r>
        <w:rPr>
          <w:rFonts w:ascii="Arial" w:cs="Arial" w:eastAsia="Arial" w:hAnsi="Arial"/>
          <w:sz w:val="21"/>
          <w:szCs w:val="21"/>
          <w:color w:val="auto"/>
        </w:rPr>
        <w:t>.</w:t>
      </w:r>
    </w:p>
    <w:p>
      <w:pPr>
        <w:spacing w:after="0" w:line="155" w:lineRule="exact"/>
        <w:rPr>
          <w:sz w:val="20"/>
          <w:szCs w:val="20"/>
          <w:color w:val="auto"/>
        </w:rPr>
      </w:pPr>
    </w:p>
    <w:p>
      <w:pPr>
        <w:ind w:left="960"/>
        <w:spacing w:after="0"/>
        <w:tabs>
          <w:tab w:leader="none" w:pos="2320" w:val="left"/>
        </w:tabs>
        <w:rPr>
          <w:sz w:val="20"/>
          <w:szCs w:val="20"/>
          <w:color w:val="auto"/>
        </w:rPr>
      </w:pPr>
      <w:r>
        <w:rPr>
          <w:rFonts w:ascii="Arial" w:cs="Arial" w:eastAsia="Arial" w:hAnsi="Arial"/>
          <w:sz w:val="21"/>
          <w:szCs w:val="21"/>
          <w:color w:val="auto"/>
        </w:rPr>
        <w:t>Section 10.02</w:t>
      </w:r>
      <w:r>
        <w:rPr>
          <w:sz w:val="20"/>
          <w:szCs w:val="20"/>
          <w:color w:val="auto"/>
        </w:rPr>
        <w:tab/>
      </w:r>
      <w:r>
        <w:rPr>
          <w:rFonts w:ascii="Arial" w:cs="Arial" w:eastAsia="Arial" w:hAnsi="Arial"/>
          <w:sz w:val="20"/>
          <w:szCs w:val="20"/>
          <w:color w:val="auto"/>
        </w:rPr>
        <w:t>Administrative Agent’s Reliance, Limitation of Liability, Etc.</w:t>
      </w:r>
    </w:p>
    <w:p>
      <w:pPr>
        <w:spacing w:after="0" w:line="183" w:lineRule="exact"/>
        <w:rPr>
          <w:sz w:val="20"/>
          <w:szCs w:val="20"/>
          <w:color w:val="auto"/>
        </w:rPr>
      </w:pPr>
    </w:p>
    <w:p>
      <w:pPr>
        <w:jc w:val="both"/>
        <w:ind w:firstLine="642"/>
        <w:spacing w:after="0" w:line="226" w:lineRule="auto"/>
        <w:tabs>
          <w:tab w:leader="none" w:pos="940" w:val="left"/>
        </w:tabs>
        <w:numPr>
          <w:ilvl w:val="0"/>
          <w:numId w:val="238"/>
        </w:numPr>
        <w:rPr>
          <w:rFonts w:ascii="Arial" w:cs="Arial" w:eastAsia="Arial" w:hAnsi="Arial"/>
          <w:sz w:val="20"/>
          <w:szCs w:val="20"/>
          <w:color w:val="auto"/>
        </w:rPr>
      </w:pPr>
      <w:r>
        <w:rPr>
          <w:rFonts w:ascii="Arial" w:cs="Arial" w:eastAsia="Arial" w:hAnsi="Arial"/>
          <w:sz w:val="20"/>
          <w:szCs w:val="20"/>
          <w:color w:val="auto"/>
        </w:rPr>
        <w:t>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telecopy, emailed pdf. or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116</w:t>
      </w:r>
    </w:p>
    <w:p>
      <w:pPr>
        <w:sectPr>
          <w:pgSz w:w="11900" w:h="16838" w:orient="portrait"/>
          <w:cols w:equalWidth="0" w:num="1">
            <w:col w:w="11240"/>
          </w:cols>
          <w:pgMar w:left="320" w:top="1152" w:right="339" w:bottom="1440" w:gutter="0" w:footer="0" w:header="0"/>
        </w:sectPr>
      </w:pPr>
    </w:p>
    <w:bookmarkStart w:id="255" w:name="page256"/>
    <w:bookmarkEnd w:id="255"/>
    <w:p>
      <w:pPr>
        <w:spacing w:after="0" w:line="239" w:lineRule="auto"/>
        <w:rPr>
          <w:sz w:val="20"/>
          <w:szCs w:val="20"/>
          <w:color w:val="auto"/>
        </w:rPr>
      </w:pPr>
      <w:r>
        <w:rPr>
          <w:rFonts w:ascii="Arial" w:cs="Arial" w:eastAsia="Arial" w:hAnsi="Arial"/>
          <w:sz w:val="21"/>
          <w:szCs w:val="21"/>
          <w:color w:val="auto"/>
        </w:rPr>
        <w:t>electronic means that reproduces an image of an actual executed signature page) or for any failure of any Loan Party to perform its obligations hereunder or thereunder.</w:t>
      </w:r>
    </w:p>
    <w:p>
      <w:pPr>
        <w:spacing w:after="0" w:line="155" w:lineRule="exact"/>
        <w:rPr>
          <w:sz w:val="20"/>
          <w:szCs w:val="20"/>
          <w:color w:val="auto"/>
        </w:rPr>
      </w:pPr>
    </w:p>
    <w:p>
      <w:pPr>
        <w:jc w:val="both"/>
        <w:ind w:right="40" w:firstLine="1036"/>
        <w:spacing w:after="0" w:line="225" w:lineRule="auto"/>
        <w:tabs>
          <w:tab w:leader="none" w:pos="1618" w:val="left"/>
        </w:tabs>
        <w:numPr>
          <w:ilvl w:val="0"/>
          <w:numId w:val="239"/>
        </w:numPr>
        <w:rPr>
          <w:rFonts w:ascii="Arial" w:cs="Arial" w:eastAsia="Arial" w:hAnsi="Arial"/>
          <w:sz w:val="20"/>
          <w:szCs w:val="20"/>
          <w:color w:val="auto"/>
        </w:rPr>
      </w:pPr>
      <w:r>
        <w:rPr>
          <w:rFonts w:ascii="Arial" w:cs="Arial" w:eastAsia="Arial" w:hAnsi="Arial"/>
          <w:sz w:val="20"/>
          <w:szCs w:val="20"/>
          <w:color w:val="auto"/>
        </w:rPr>
        <w:t>The Administrative Agent shall be deemed not to have knowledge of any (i) notice of any of the events or circumstances set forth or described in Section 6.02(c)unless and until written notice thereof stating that it is a “notice under Section 5.02” in respect of this Agreement and identifying the specific clause under said Section is given to the Administrative Agent by the Borrower, or (ii) notice of any Default or Event of Default unless and until written notice thereof (stating that it is a “notice of Default” or a “notice of an Event of Default”) is given to the Administrative Agent by the Borrower, a Lender or an L/C Issuer. Further, the Administrative Agent shall not be responsible for or have any duty to ascertain or inquire into (A) any statement, warranty or representation made in or in connection with any Loan Document, (B) the contents of any certificate, report or other document delivered thereunder or in connection therewith, (C) the performance or observance of any of the covenants, agreements or other terms or conditions set forth in any Loan Document or the occurrence of any Default or Event of Default, (D) the sufficiency, validity, enforceability, effectiveness or genuineness of any Loan Document or any other agreement, instrument or document, or (E) the satisfaction of any condition set forth in Article IV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w:t>
      </w:r>
    </w:p>
    <w:p>
      <w:pPr>
        <w:spacing w:after="0" w:line="161" w:lineRule="exact"/>
        <w:rPr>
          <w:rFonts w:ascii="Arial" w:cs="Arial" w:eastAsia="Arial" w:hAnsi="Arial"/>
          <w:sz w:val="20"/>
          <w:szCs w:val="20"/>
          <w:color w:val="auto"/>
        </w:rPr>
      </w:pPr>
    </w:p>
    <w:p>
      <w:pPr>
        <w:jc w:val="both"/>
        <w:ind w:right="40" w:firstLine="1036"/>
        <w:spacing w:after="0" w:line="237" w:lineRule="auto"/>
        <w:tabs>
          <w:tab w:leader="none" w:pos="1558" w:val="left"/>
        </w:tabs>
        <w:numPr>
          <w:ilvl w:val="0"/>
          <w:numId w:val="239"/>
        </w:numPr>
        <w:rPr>
          <w:rFonts w:ascii="Arial" w:cs="Arial" w:eastAsia="Arial" w:hAnsi="Arial"/>
          <w:sz w:val="19"/>
          <w:szCs w:val="19"/>
          <w:color w:val="auto"/>
        </w:rPr>
      </w:pPr>
      <w:r>
        <w:rPr>
          <w:rFonts w:ascii="Arial" w:cs="Arial" w:eastAsia="Arial" w:hAnsi="Arial"/>
          <w:sz w:val="19"/>
          <w:szCs w:val="19"/>
          <w:color w:val="auto"/>
        </w:rPr>
        <w:t>Without limiting the foregoing, the Administrative Agent (i) may treat the payee of any promissory note as its holder until such promissory note has been assigned in accordance with Section 11.06, (ii) may rely on the Register to the extent set forth in Section 11.06(d), (iii) 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 (vi) makes no warranty or representation to any Lender or L/C Issuer and shall not be responsible to any Lender or L/C Issuer for any statements, warranties or representations made by or on behalf of any Loan Party in connection with this Agreement or any other Loan Document, (v) in determining compliance with any condition hereunder to the making of a Loan, or the issuance of a Letter of Credit, that by its terms must be fulfilled to the satisfaction of a Lender or an L/C Issuer, may presume that such condition is satisfactory to such Lender or L/C Issuer unless the Administrative Agent shall have received notice to the contrary from such Lender or L/C Issuer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156" w:lineRule="exact"/>
        <w:rPr>
          <w:sz w:val="20"/>
          <w:szCs w:val="20"/>
          <w:color w:val="auto"/>
        </w:rPr>
      </w:pPr>
    </w:p>
    <w:p>
      <w:pPr>
        <w:jc w:val="both"/>
        <w:ind w:right="40" w:firstLine="954"/>
        <w:spacing w:after="0" w:line="230" w:lineRule="auto"/>
        <w:rPr>
          <w:sz w:val="20"/>
          <w:szCs w:val="20"/>
          <w:color w:val="auto"/>
        </w:rPr>
      </w:pPr>
      <w:r>
        <w:rPr>
          <w:rFonts w:ascii="Arial" w:cs="Arial" w:eastAsia="Arial" w:hAnsi="Arial"/>
          <w:sz w:val="21"/>
          <w:szCs w:val="21"/>
          <w:color w:val="auto"/>
        </w:rPr>
        <w:t xml:space="preserve">Section 10.03 </w:t>
      </w:r>
      <w:r>
        <w:rPr>
          <w:rFonts w:ascii="Arial" w:cs="Arial" w:eastAsia="Arial" w:hAnsi="Arial"/>
          <w:sz w:val="21"/>
          <w:szCs w:val="21"/>
          <w:u w:val="single" w:color="auto"/>
          <w:color w:val="auto"/>
        </w:rPr>
        <w:t>Posting of Communications</w:t>
      </w:r>
      <w:r>
        <w:rPr>
          <w:rFonts w:ascii="Arial" w:cs="Arial" w:eastAsia="Arial" w:hAnsi="Arial"/>
          <w:sz w:val="21"/>
          <w:szCs w:val="21"/>
          <w:color w:val="auto"/>
        </w:rPr>
        <w:t>. (a) The Borrower agrees that the Administrative Agent may, but shall not be obligated to, make any Communications available to the Lenders and the L/C Issuers by posting the Communications on IntraLinks™, DebtDomain, SyndTrak, ClearPar or any other electronic platform chosen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117</w:t>
      </w:r>
    </w:p>
    <w:p>
      <w:pPr>
        <w:sectPr>
          <w:pgSz w:w="11900" w:h="16838" w:orient="portrait"/>
          <w:cols w:equalWidth="0" w:num="1">
            <w:col w:w="11240"/>
          </w:cols>
          <w:pgMar w:left="320" w:top="1152" w:right="339" w:bottom="1440" w:gutter="0" w:footer="0" w:header="0"/>
        </w:sectPr>
      </w:pPr>
    </w:p>
    <w:bookmarkStart w:id="256" w:name="page257"/>
    <w:bookmarkEnd w:id="256"/>
    <w:p>
      <w:pPr>
        <w:spacing w:after="0"/>
        <w:rPr>
          <w:sz w:val="20"/>
          <w:szCs w:val="20"/>
          <w:color w:val="auto"/>
        </w:rPr>
      </w:pPr>
      <w:r>
        <w:rPr>
          <w:rFonts w:ascii="Arial" w:cs="Arial" w:eastAsia="Arial" w:hAnsi="Arial"/>
          <w:sz w:val="21"/>
          <w:szCs w:val="21"/>
          <w:color w:val="auto"/>
        </w:rPr>
        <w:t>by the Administrative Agent to be its electronic transmission system (the “</w:t>
      </w:r>
      <w:r>
        <w:rPr>
          <w:rFonts w:ascii="Arial" w:cs="Arial" w:eastAsia="Arial" w:hAnsi="Arial"/>
          <w:sz w:val="21"/>
          <w:szCs w:val="21"/>
          <w:u w:val="single" w:color="auto"/>
          <w:color w:val="auto"/>
        </w:rPr>
        <w:t>Approved Electronic Platform</w:t>
      </w:r>
      <w:r>
        <w:rPr>
          <w:rFonts w:ascii="Arial" w:cs="Arial" w:eastAsia="Arial" w:hAnsi="Arial"/>
          <w:sz w:val="21"/>
          <w:szCs w:val="21"/>
          <w:color w:val="auto"/>
        </w:rPr>
        <w:t>”).</w:t>
      </w:r>
    </w:p>
    <w:p>
      <w:pPr>
        <w:spacing w:after="0" w:line="183" w:lineRule="exact"/>
        <w:rPr>
          <w:sz w:val="20"/>
          <w:szCs w:val="20"/>
          <w:color w:val="auto"/>
        </w:rPr>
      </w:pPr>
    </w:p>
    <w:p>
      <w:pPr>
        <w:jc w:val="both"/>
        <w:ind w:firstLine="1036"/>
        <w:spacing w:after="0"/>
        <w:tabs>
          <w:tab w:leader="none" w:pos="1600" w:val="left"/>
        </w:tabs>
        <w:numPr>
          <w:ilvl w:val="0"/>
          <w:numId w:val="240"/>
        </w:numPr>
        <w:rPr>
          <w:rFonts w:ascii="Arial" w:cs="Arial" w:eastAsia="Arial" w:hAnsi="Arial"/>
          <w:sz w:val="19"/>
          <w:szCs w:val="19"/>
          <w:color w:val="auto"/>
        </w:rPr>
      </w:pPr>
      <w:r>
        <w:rPr>
          <w:rFonts w:ascii="Arial" w:cs="Arial" w:eastAsia="Arial" w:hAnsi="Arial"/>
          <w:sz w:val="19"/>
          <w:szCs w:val="19"/>
          <w:color w:val="auto"/>
        </w:rPr>
        <w:t>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each of the L/C Issuers and the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each of the L/C Issuers and the Borrower hereby approves distribution of the Communications through the Approved Electronic Platform and understands and assumes the risks of such distribution.</w:t>
      </w:r>
    </w:p>
    <w:p>
      <w:pPr>
        <w:spacing w:after="0" w:line="153" w:lineRule="exact"/>
        <w:rPr>
          <w:rFonts w:ascii="Arial" w:cs="Arial" w:eastAsia="Arial" w:hAnsi="Arial"/>
          <w:sz w:val="19"/>
          <w:szCs w:val="19"/>
          <w:color w:val="auto"/>
        </w:rPr>
      </w:pPr>
    </w:p>
    <w:p>
      <w:pPr>
        <w:jc w:val="both"/>
        <w:ind w:firstLine="1036"/>
        <w:spacing w:after="0" w:line="214" w:lineRule="auto"/>
        <w:tabs>
          <w:tab w:leader="none" w:pos="1567" w:val="left"/>
        </w:tabs>
        <w:numPr>
          <w:ilvl w:val="0"/>
          <w:numId w:val="240"/>
        </w:numPr>
        <w:rPr>
          <w:rFonts w:ascii="Arial" w:cs="Arial" w:eastAsia="Arial" w:hAnsi="Arial"/>
          <w:sz w:val="21"/>
          <w:szCs w:val="21"/>
          <w:color w:val="auto"/>
        </w:rPr>
      </w:pPr>
      <w:r>
        <w:rPr>
          <w:rFonts w:ascii="Arial" w:cs="Arial" w:eastAsia="Arial" w:hAnsi="Arial"/>
          <w:sz w:val="21"/>
          <w:szCs w:val="21"/>
          <w:color w:val="auto"/>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ARRANGER, ANY CO-SYNDICATION AGENT OR ANY OF THEIR RESPECTIVE RELATED PARTIES (COLLECTIVELY, “</w:t>
      </w:r>
      <w:r>
        <w:rPr>
          <w:rFonts w:ascii="Arial" w:cs="Arial" w:eastAsia="Arial" w:hAnsi="Arial"/>
          <w:sz w:val="21"/>
          <w:szCs w:val="21"/>
          <w:u w:val="single" w:color="auto"/>
          <w:color w:val="auto"/>
        </w:rPr>
        <w:t>APPLICABLE PARTIES</w:t>
      </w:r>
      <w:r>
        <w:rPr>
          <w:rFonts w:ascii="Arial" w:cs="Arial" w:eastAsia="Arial" w:hAnsi="Arial"/>
          <w:sz w:val="21"/>
          <w:szCs w:val="21"/>
          <w:color w:val="auto"/>
        </w:rPr>
        <w:t>”) HAVE ANY LIABILITY TO ANY LOAN PARTY, ANY LENDER, ANY L/C ISSUER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w:t>
      </w:r>
    </w:p>
    <w:p>
      <w:pPr>
        <w:spacing w:after="0" w:line="162" w:lineRule="exact"/>
        <w:rPr>
          <w:rFonts w:ascii="Arial" w:cs="Arial" w:eastAsia="Arial" w:hAnsi="Arial"/>
          <w:sz w:val="21"/>
          <w:szCs w:val="21"/>
          <w:color w:val="auto"/>
        </w:rPr>
      </w:pPr>
    </w:p>
    <w:p>
      <w:pPr>
        <w:jc w:val="both"/>
        <w:ind w:firstLine="1036"/>
        <w:spacing w:after="0" w:line="220" w:lineRule="auto"/>
        <w:tabs>
          <w:tab w:leader="none" w:pos="1625" w:val="left"/>
        </w:tabs>
        <w:numPr>
          <w:ilvl w:val="0"/>
          <w:numId w:val="240"/>
        </w:numPr>
        <w:rPr>
          <w:rFonts w:ascii="Arial" w:cs="Arial" w:eastAsia="Arial" w:hAnsi="Arial"/>
          <w:sz w:val="21"/>
          <w:szCs w:val="21"/>
          <w:color w:val="auto"/>
        </w:rPr>
      </w:pPr>
      <w:r>
        <w:rPr>
          <w:rFonts w:ascii="Arial" w:cs="Arial" w:eastAsia="Arial" w:hAnsi="Arial"/>
          <w:sz w:val="21"/>
          <w:szCs w:val="21"/>
          <w:color w:val="auto"/>
        </w:rPr>
        <w:t>Each Lender and each L/C Issuer agrees that notice to it (as provided in the next sentence) specifying that Communications have been posted to the Approved Electronic Platform shall constitute effective delivery of the Communications to such Lender for purposes of the Loan Documents. Each Lender and L/C Issuer agrees (i) to notify the Administrative Agent in writing (which could be in the form of electronic communication) from time to time of such Lender’s or L/C Issuer’s (as applicable) email address to which the foregoing notice may be sent by electronic transmission and (ii) that the foregoing notice may be sent to such email address.</w:t>
      </w:r>
    </w:p>
    <w:p>
      <w:pPr>
        <w:spacing w:after="0" w:line="155" w:lineRule="exact"/>
        <w:rPr>
          <w:rFonts w:ascii="Arial" w:cs="Arial" w:eastAsia="Arial" w:hAnsi="Arial"/>
          <w:sz w:val="21"/>
          <w:szCs w:val="21"/>
          <w:color w:val="auto"/>
        </w:rPr>
      </w:pPr>
    </w:p>
    <w:p>
      <w:pPr>
        <w:jc w:val="both"/>
        <w:ind w:firstLine="1036"/>
        <w:spacing w:after="0" w:line="230" w:lineRule="auto"/>
        <w:tabs>
          <w:tab w:leader="none" w:pos="1567" w:val="left"/>
        </w:tabs>
        <w:numPr>
          <w:ilvl w:val="0"/>
          <w:numId w:val="240"/>
        </w:numPr>
        <w:rPr>
          <w:rFonts w:ascii="Arial" w:cs="Arial" w:eastAsia="Arial" w:hAnsi="Arial"/>
          <w:sz w:val="21"/>
          <w:szCs w:val="21"/>
          <w:color w:val="auto"/>
        </w:rPr>
      </w:pPr>
      <w:r>
        <w:rPr>
          <w:rFonts w:ascii="Arial" w:cs="Arial" w:eastAsia="Arial" w:hAnsi="Arial"/>
          <w:sz w:val="21"/>
          <w:szCs w:val="21"/>
          <w:color w:val="auto"/>
        </w:rPr>
        <w:t>Each of the Lenders, each of the L/C Issuers and the Borrower agrees that the Administrative Agent may, but (except as may be required by applicable law) shall not be obligated to, store the Communications on the Approved Electronic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118</w:t>
      </w:r>
    </w:p>
    <w:p>
      <w:pPr>
        <w:sectPr>
          <w:pgSz w:w="11900" w:h="16838" w:orient="portrait"/>
          <w:cols w:equalWidth="0" w:num="1">
            <w:col w:w="11200"/>
          </w:cols>
          <w:pgMar w:left="320" w:top="1152" w:right="379" w:bottom="1440" w:gutter="0" w:footer="0" w:header="0"/>
        </w:sectPr>
      </w:pPr>
    </w:p>
    <w:bookmarkStart w:id="257" w:name="page258"/>
    <w:bookmarkEnd w:id="257"/>
    <w:p>
      <w:pPr>
        <w:spacing w:after="0"/>
        <w:rPr>
          <w:sz w:val="20"/>
          <w:szCs w:val="20"/>
          <w:color w:val="auto"/>
        </w:rPr>
      </w:pPr>
      <w:r>
        <w:rPr>
          <w:rFonts w:ascii="Arial" w:cs="Arial" w:eastAsia="Arial" w:hAnsi="Arial"/>
          <w:sz w:val="21"/>
          <w:szCs w:val="21"/>
          <w:color w:val="auto"/>
        </w:rPr>
        <w:t>in accordance with the Administrative Agent’s generally applicable document retention procedures and policies.</w:t>
      </w:r>
    </w:p>
    <w:p>
      <w:pPr>
        <w:spacing w:after="0" w:line="183" w:lineRule="exact"/>
        <w:rPr>
          <w:sz w:val="20"/>
          <w:szCs w:val="20"/>
          <w:color w:val="auto"/>
        </w:rPr>
      </w:pPr>
    </w:p>
    <w:p>
      <w:pPr>
        <w:ind w:firstLine="1036"/>
        <w:spacing w:after="0" w:line="263" w:lineRule="auto"/>
        <w:tabs>
          <w:tab w:leader="none" w:pos="1527" w:val="left"/>
        </w:tabs>
        <w:numPr>
          <w:ilvl w:val="0"/>
          <w:numId w:val="241"/>
        </w:numPr>
        <w:rPr>
          <w:rFonts w:ascii="Arial" w:cs="Arial" w:eastAsia="Arial" w:hAnsi="Arial"/>
          <w:sz w:val="20"/>
          <w:szCs w:val="20"/>
          <w:color w:val="auto"/>
        </w:rPr>
      </w:pPr>
      <w:r>
        <w:rPr>
          <w:rFonts w:ascii="Arial" w:cs="Arial" w:eastAsia="Arial" w:hAnsi="Arial"/>
          <w:sz w:val="20"/>
          <w:szCs w:val="20"/>
          <w:color w:val="auto"/>
        </w:rPr>
        <w:t>Nothing herein shall prejudice the right of the Administrative Agent, any Lender or any L/C Issuer to give any notice or other communication pursuant to any Loan Document in any other manner specified in such Loan Document.</w:t>
      </w:r>
    </w:p>
    <w:p>
      <w:pPr>
        <w:spacing w:after="0" w:line="132" w:lineRule="exact"/>
        <w:rPr>
          <w:sz w:val="20"/>
          <w:szCs w:val="20"/>
          <w:color w:val="auto"/>
        </w:rPr>
      </w:pPr>
    </w:p>
    <w:p>
      <w:pPr>
        <w:jc w:val="both"/>
        <w:ind w:firstLine="954"/>
        <w:spacing w:after="0"/>
        <w:rPr>
          <w:sz w:val="20"/>
          <w:szCs w:val="20"/>
          <w:color w:val="auto"/>
        </w:rPr>
      </w:pPr>
      <w:r>
        <w:rPr>
          <w:rFonts w:ascii="Arial" w:cs="Arial" w:eastAsia="Arial" w:hAnsi="Arial"/>
          <w:sz w:val="19"/>
          <w:szCs w:val="19"/>
          <w:color w:val="auto"/>
        </w:rPr>
        <w:t xml:space="preserve">Section 10.04 </w:t>
      </w:r>
      <w:r>
        <w:rPr>
          <w:rFonts w:ascii="Arial" w:cs="Arial" w:eastAsia="Arial" w:hAnsi="Arial"/>
          <w:sz w:val="19"/>
          <w:szCs w:val="19"/>
          <w:u w:val="single" w:color="auto"/>
          <w:color w:val="auto"/>
        </w:rPr>
        <w:t>The Administrative Agent Individually</w:t>
      </w:r>
      <w:r>
        <w:rPr>
          <w:rFonts w:ascii="Arial" w:cs="Arial" w:eastAsia="Arial" w:hAnsi="Arial"/>
          <w:sz w:val="19"/>
          <w:szCs w:val="19"/>
          <w:color w:val="auto"/>
        </w:rPr>
        <w:t>. With respect to its Commitment, Loans, Letter of Credit Commitments and Letters of Credit, the Person serving as the Administrative Agent shall have and may exercise the same rights and powers hereunder and is subject to the same obligations and liabilities as and to the extent set forth herein for any other Lender or L/C Issuer, as the case may be. The terms “L/C Issuers”, “Lenders”, “Required Lenders” and any similar terms shall, unless the context clearly otherwise indicates, include the Administrative Agent in its individual capacity as a Lender, L/C Issuer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the Borrower, any Subsidiary or any Affiliate of any of the foregoing as if such Person was not acting as the Administrative Agent and without any duty to account therefor to the Lenders or the L/C Issuers.</w:t>
      </w:r>
    </w:p>
    <w:p>
      <w:pPr>
        <w:spacing w:after="0" w:line="154" w:lineRule="exact"/>
        <w:rPr>
          <w:sz w:val="20"/>
          <w:szCs w:val="20"/>
          <w:color w:val="auto"/>
        </w:rPr>
      </w:pPr>
    </w:p>
    <w:p>
      <w:pPr>
        <w:jc w:val="both"/>
        <w:ind w:firstLine="954"/>
        <w:spacing w:after="0" w:line="225" w:lineRule="auto"/>
        <w:rPr>
          <w:sz w:val="20"/>
          <w:szCs w:val="20"/>
          <w:color w:val="auto"/>
        </w:rPr>
      </w:pPr>
      <w:r>
        <w:rPr>
          <w:rFonts w:ascii="Arial" w:cs="Arial" w:eastAsia="Arial" w:hAnsi="Arial"/>
          <w:sz w:val="20"/>
          <w:szCs w:val="20"/>
          <w:color w:val="auto"/>
        </w:rPr>
        <w:t xml:space="preserve">Section 10.05 </w:t>
      </w:r>
      <w:r>
        <w:rPr>
          <w:rFonts w:ascii="Arial" w:cs="Arial" w:eastAsia="Arial" w:hAnsi="Arial"/>
          <w:sz w:val="20"/>
          <w:szCs w:val="20"/>
          <w:u w:val="single" w:color="auto"/>
          <w:color w:val="auto"/>
        </w:rPr>
        <w:t>Successor Administrative Agent</w:t>
      </w:r>
      <w:r>
        <w:rPr>
          <w:rFonts w:ascii="Arial" w:cs="Arial" w:eastAsia="Arial" w:hAnsi="Arial"/>
          <w:sz w:val="20"/>
          <w:szCs w:val="20"/>
          <w:color w:val="auto"/>
        </w:rPr>
        <w:t>. (a) The Administrative Agent may resign at any time by giving 30 days’ prior written notice thereof to the Lenders, the L/C Issuers and the Borrower, whether or not a successor Administrative Agent has been appointed. Upon receipt of any such notice of resignation, the Required Lenders will have the right, in consultation with the Borrower, to appoint a successor, which will be a bank with an office in the United States or an Affiliate of any such bank. If no successor Administrative Agent shall have been so appointed by the Required Lenders, and shall have accepted such appointment, within 30 days after the retiring Administrative Agent’s giving of notice of resignation, then the retiring Administrative Agent may, on behalf of the Lenders and the L/C Issuers, appoint a successor Administrative Agent, meeting the qualifications set forth above. In either case, such appointment shall be subject to the prior written approval of the Borrower (which approval may not be unreasonably withheld and shall not be required while an Event of Default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w:t>
      </w:r>
    </w:p>
    <w:p>
      <w:pPr>
        <w:spacing w:after="0" w:line="154" w:lineRule="exact"/>
        <w:rPr>
          <w:sz w:val="20"/>
          <w:szCs w:val="20"/>
          <w:color w:val="auto"/>
        </w:rPr>
      </w:pPr>
    </w:p>
    <w:p>
      <w:pPr>
        <w:jc w:val="both"/>
        <w:ind w:firstLine="1036"/>
        <w:spacing w:after="0" w:line="222" w:lineRule="auto"/>
        <w:tabs>
          <w:tab w:leader="none" w:pos="1515" w:val="left"/>
        </w:tabs>
        <w:numPr>
          <w:ilvl w:val="0"/>
          <w:numId w:val="242"/>
        </w:numPr>
        <w:rPr>
          <w:rFonts w:ascii="Arial" w:cs="Arial" w:eastAsia="Arial" w:hAnsi="Arial"/>
          <w:sz w:val="21"/>
          <w:szCs w:val="21"/>
          <w:color w:val="auto"/>
        </w:rPr>
      </w:pPr>
      <w:r>
        <w:rPr>
          <w:rFonts w:ascii="Arial" w:cs="Arial" w:eastAsia="Arial" w:hAnsi="Arial"/>
          <w:sz w:val="21"/>
          <w:szCs w:val="21"/>
          <w:color w:val="auto"/>
        </w:rPr>
        <w:t>Notwithstanding paragraph (a) 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L/C Issuers and the Borrower, whereupon, on the date of effectiveness of such resignation stated in such notice, (i) the retiring Administrative Agent shall be discharged from its duties and obligations hereunder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119</w:t>
      </w:r>
    </w:p>
    <w:p>
      <w:pPr>
        <w:sectPr>
          <w:pgSz w:w="11900" w:h="16838" w:orient="portrait"/>
          <w:cols w:equalWidth="0" w:num="1">
            <w:col w:w="11200"/>
          </w:cols>
          <w:pgMar w:left="320" w:top="1152" w:right="379" w:bottom="1440" w:gutter="0" w:footer="0" w:header="0"/>
        </w:sectPr>
      </w:pPr>
    </w:p>
    <w:bookmarkStart w:id="258" w:name="page259"/>
    <w:bookmarkEnd w:id="258"/>
    <w:p>
      <w:pPr>
        <w:jc w:val="both"/>
        <w:ind w:right="40"/>
        <w:spacing w:after="0"/>
        <w:rPr>
          <w:sz w:val="20"/>
          <w:szCs w:val="20"/>
          <w:color w:val="auto"/>
        </w:rPr>
      </w:pPr>
      <w:r>
        <w:rPr>
          <w:rFonts w:ascii="Arial" w:cs="Arial" w:eastAsia="Arial" w:hAnsi="Arial"/>
          <w:sz w:val="19"/>
          <w:szCs w:val="19"/>
          <w:color w:val="auto"/>
        </w:rPr>
        <w:t xml:space="preserve">under the other Loan Documents and (ii) the Required Lenders shall succeed to and become vested with all the rights, powers, privileges and duties of the retiring Administrative Agent;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and each L/C Issuer. Following the effectiveness of the Administrative Agent’s resignation from its capacity as such, the provisions of this Article and Section 11.04,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154" w:lineRule="exact"/>
        <w:rPr>
          <w:sz w:val="20"/>
          <w:szCs w:val="20"/>
          <w:color w:val="auto"/>
        </w:rPr>
      </w:pPr>
    </w:p>
    <w:p>
      <w:pPr>
        <w:jc w:val="both"/>
        <w:ind w:firstLine="624"/>
        <w:spacing w:after="0" w:line="218" w:lineRule="auto"/>
        <w:rPr>
          <w:sz w:val="20"/>
          <w:szCs w:val="20"/>
          <w:color w:val="auto"/>
        </w:rPr>
      </w:pPr>
      <w:r>
        <w:rPr>
          <w:rFonts w:ascii="Arial" w:cs="Arial" w:eastAsia="Arial" w:hAnsi="Arial"/>
          <w:sz w:val="21"/>
          <w:szCs w:val="21"/>
          <w:color w:val="auto"/>
        </w:rPr>
        <w:t xml:space="preserve">Any resignation by JPMCB as Administrative Agent pursuant to this </w:t>
      </w:r>
      <w:r>
        <w:rPr>
          <w:rFonts w:ascii="Arial" w:cs="Arial" w:eastAsia="Arial" w:hAnsi="Arial"/>
          <w:sz w:val="21"/>
          <w:szCs w:val="21"/>
          <w:u w:val="single" w:color="auto"/>
          <w:color w:val="auto"/>
        </w:rPr>
        <w:t>Section 10.05</w:t>
      </w:r>
      <w:r>
        <w:rPr>
          <w:rFonts w:ascii="Arial" w:cs="Arial" w:eastAsia="Arial" w:hAnsi="Arial"/>
          <w:sz w:val="21"/>
          <w:szCs w:val="21"/>
          <w:color w:val="auto"/>
        </w:rPr>
        <w:t xml:space="preserve"> will also constitute its resignation as L/C Issuer. Upon the acceptance of a successor’s appointment as Administrative Agent hereunder, (a) such successor will succeed to and become vested with all of the rights, powers, privileges and duties of the retiring L/C Issuer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successor agrees to act in such capacity), (b) the retiring L/C Issuer will be discharged from all of their respective duties and obligations hereunder or under the other Loan Documents, and (c) the successor L/C Issuer will issue letters of credit in substitution for the Letters of Credit, if any, issued by the retiring L/C Issuer that are outstanding at the time of such succession or make other arrangements reasonably satisfactory to the retiring L/C Issuer to effectively assume the obligations of the retiring L/C Issuer with respect to such Letters of Credit.</w:t>
      </w:r>
    </w:p>
    <w:p>
      <w:pPr>
        <w:spacing w:after="0" w:line="153" w:lineRule="exact"/>
        <w:rPr>
          <w:sz w:val="20"/>
          <w:szCs w:val="20"/>
          <w:color w:val="auto"/>
        </w:rPr>
      </w:pPr>
    </w:p>
    <w:p>
      <w:pPr>
        <w:jc w:val="both"/>
        <w:ind w:right="40" w:firstLine="954"/>
        <w:spacing w:after="0" w:line="236" w:lineRule="auto"/>
        <w:rPr>
          <w:sz w:val="20"/>
          <w:szCs w:val="20"/>
          <w:color w:val="auto"/>
        </w:rPr>
      </w:pPr>
      <w:r>
        <w:rPr>
          <w:rFonts w:ascii="Arial" w:cs="Arial" w:eastAsia="Arial" w:hAnsi="Arial"/>
          <w:sz w:val="19"/>
          <w:szCs w:val="19"/>
          <w:color w:val="auto"/>
        </w:rPr>
        <w:t xml:space="preserve">Section 10.06 </w:t>
      </w:r>
      <w:r>
        <w:rPr>
          <w:rFonts w:ascii="Arial" w:cs="Arial" w:eastAsia="Arial" w:hAnsi="Arial"/>
          <w:sz w:val="19"/>
          <w:szCs w:val="19"/>
          <w:u w:val="single" w:color="auto"/>
          <w:color w:val="auto"/>
        </w:rPr>
        <w:t>Acknowledgements of Lenders and L/C Issuers</w:t>
      </w:r>
      <w:r>
        <w:rPr>
          <w:rFonts w:ascii="Arial" w:cs="Arial" w:eastAsia="Arial" w:hAnsi="Arial"/>
          <w:sz w:val="19"/>
          <w:szCs w:val="19"/>
          <w:color w:val="auto"/>
        </w:rPr>
        <w:t>. (a) Each Lender and each L/C Issuer represents and warrants that (i) the Loan Documents set forth the terms of a commercial lending facility, (ii) it is engaged in making, acquiring or holding commercial loans and in providing other facilities set forth herein as may be applicable to such Lender or L/C Issuer, in each case in the ordinary course of business, and not for the purpose of purchasing, acquiring or holding any other type of financial instrument (and each Lender and each L/C Issuer agrees not to assert a claim in contravention of the foregoing), (iii) it has, independently and without reliance upon the Administrative Agent, any Arranger, any Co-Syndication Agent or any other Lender or L/C Issuer,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such L/C Issuer,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L/C Issuer also acknowledges that it will, independently and without reliance upon the Administrative Agent, any Arranger, any Co-Syndication Agent or any other Lender or L/C Issuer,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120</w:t>
      </w:r>
    </w:p>
    <w:p>
      <w:pPr>
        <w:sectPr>
          <w:pgSz w:w="11900" w:h="16838" w:orient="portrait"/>
          <w:cols w:equalWidth="0" w:num="1">
            <w:col w:w="11240"/>
          </w:cols>
          <w:pgMar w:left="320" w:top="1152" w:right="339" w:bottom="1440" w:gutter="0" w:footer="0" w:header="0"/>
        </w:sectPr>
      </w:pPr>
    </w:p>
    <w:bookmarkStart w:id="259" w:name="page260"/>
    <w:bookmarkEnd w:id="259"/>
    <w:p>
      <w:pPr>
        <w:spacing w:after="0"/>
        <w:rPr>
          <w:sz w:val="20"/>
          <w:szCs w:val="20"/>
          <w:color w:val="auto"/>
        </w:rPr>
      </w:pPr>
      <w:r>
        <w:rPr>
          <w:rFonts w:ascii="Arial" w:cs="Arial" w:eastAsia="Arial" w:hAnsi="Arial"/>
          <w:sz w:val="21"/>
          <w:szCs w:val="21"/>
          <w:color w:val="auto"/>
        </w:rPr>
        <w:t>Loan Document or any related agreement or any document furnished hereunder or thereunder.</w:t>
      </w:r>
    </w:p>
    <w:p>
      <w:pPr>
        <w:spacing w:after="0" w:line="183" w:lineRule="exact"/>
        <w:rPr>
          <w:sz w:val="20"/>
          <w:szCs w:val="20"/>
          <w:color w:val="auto"/>
        </w:rPr>
      </w:pPr>
    </w:p>
    <w:p>
      <w:pPr>
        <w:jc w:val="both"/>
        <w:ind w:firstLine="1036"/>
        <w:spacing w:after="0" w:line="252" w:lineRule="auto"/>
        <w:tabs>
          <w:tab w:leader="none" w:pos="1523" w:val="left"/>
        </w:tabs>
        <w:numPr>
          <w:ilvl w:val="0"/>
          <w:numId w:val="243"/>
        </w:numPr>
        <w:rPr>
          <w:rFonts w:ascii="Arial" w:cs="Arial" w:eastAsia="Arial" w:hAnsi="Arial"/>
          <w:sz w:val="19"/>
          <w:szCs w:val="19"/>
          <w:color w:val="auto"/>
        </w:rPr>
      </w:pPr>
      <w:r>
        <w:rPr>
          <w:rFonts w:ascii="Arial" w:cs="Arial" w:eastAsia="Arial" w:hAnsi="Arial"/>
          <w:sz w:val="19"/>
          <w:szCs w:val="19"/>
          <w:color w:val="auto"/>
        </w:rPr>
        <w:t>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w:t>
      </w:r>
    </w:p>
    <w:p>
      <w:pPr>
        <w:spacing w:after="0" w:line="14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(c)</w:t>
      </w:r>
    </w:p>
    <w:p>
      <w:pPr>
        <w:spacing w:after="0" w:line="183" w:lineRule="exact"/>
        <w:rPr>
          <w:sz w:val="20"/>
          <w:szCs w:val="20"/>
          <w:color w:val="auto"/>
        </w:rPr>
      </w:pPr>
    </w:p>
    <w:p>
      <w:pPr>
        <w:jc w:val="both"/>
        <w:ind w:left="640" w:firstLine="638"/>
        <w:spacing w:after="0" w:line="225" w:lineRule="auto"/>
        <w:tabs>
          <w:tab w:leader="none" w:pos="1912" w:val="left"/>
        </w:tabs>
        <w:numPr>
          <w:ilvl w:val="0"/>
          <w:numId w:val="244"/>
        </w:numPr>
        <w:rPr>
          <w:rFonts w:ascii="Arial" w:cs="Arial" w:eastAsia="Arial" w:hAnsi="Arial"/>
          <w:sz w:val="20"/>
          <w:szCs w:val="20"/>
          <w:color w:val="auto"/>
        </w:rPr>
      </w:pPr>
      <w:r>
        <w:rPr>
          <w:rFonts w:ascii="Arial" w:cs="Arial" w:eastAsia="Arial" w:hAnsi="Arial"/>
          <w:sz w:val="20"/>
          <w:szCs w:val="20"/>
          <w:color w:val="auto"/>
        </w:rPr>
        <w:t>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Arial" w:cs="Arial" w:eastAsia="Arial" w:hAnsi="Arial"/>
          <w:sz w:val="20"/>
          <w:szCs w:val="20"/>
          <w:u w:val="single" w:color="auto"/>
          <w:color w:val="auto"/>
        </w:rPr>
        <w:t>Payment</w:t>
      </w:r>
      <w:r>
        <w:rPr>
          <w:rFonts w:ascii="Arial" w:cs="Arial" w:eastAsia="Arial" w:hAnsi="Arial"/>
          <w:sz w:val="20"/>
          <w:szCs w:val="20"/>
          <w:color w:val="auto"/>
        </w:rPr>
        <w:t xml:space="preserve">”) were erroneously transmitted to such Lender (whether or not known to such Lender), and demands the return of such Payment (or a 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w:t>
      </w:r>
      <w:r>
        <w:rPr>
          <w:rFonts w:ascii="Arial" w:cs="Arial" w:eastAsia="Arial" w:hAnsi="Arial"/>
          <w:sz w:val="20"/>
          <w:szCs w:val="20"/>
          <w:u w:val="single" w:color="auto"/>
          <w:color w:val="auto"/>
        </w:rPr>
        <w:t>Section 10.06(c)</w:t>
      </w:r>
      <w:r>
        <w:rPr>
          <w:rFonts w:ascii="Arial" w:cs="Arial" w:eastAsia="Arial" w:hAnsi="Arial"/>
          <w:sz w:val="20"/>
          <w:szCs w:val="20"/>
          <w:color w:val="auto"/>
        </w:rPr>
        <w:t xml:space="preserve"> shall be conclusive, absent manifest error.</w:t>
      </w:r>
    </w:p>
    <w:p>
      <w:pPr>
        <w:spacing w:after="0" w:line="157" w:lineRule="exact"/>
        <w:rPr>
          <w:rFonts w:ascii="Arial" w:cs="Arial" w:eastAsia="Arial" w:hAnsi="Arial"/>
          <w:sz w:val="20"/>
          <w:szCs w:val="20"/>
          <w:color w:val="auto"/>
        </w:rPr>
      </w:pPr>
    </w:p>
    <w:p>
      <w:pPr>
        <w:jc w:val="both"/>
        <w:ind w:left="640" w:firstLine="638"/>
        <w:spacing w:after="0" w:line="226" w:lineRule="auto"/>
        <w:tabs>
          <w:tab w:leader="none" w:pos="1912" w:val="left"/>
        </w:tabs>
        <w:numPr>
          <w:ilvl w:val="0"/>
          <w:numId w:val="244"/>
        </w:numPr>
        <w:rPr>
          <w:rFonts w:ascii="Arial" w:cs="Arial" w:eastAsia="Arial" w:hAnsi="Arial"/>
          <w:sz w:val="20"/>
          <w:szCs w:val="20"/>
          <w:color w:val="auto"/>
        </w:rPr>
      </w:pPr>
      <w:r>
        <w:rPr>
          <w:rFonts w:ascii="Arial" w:cs="Arial" w:eastAsia="Arial" w:hAnsi="Arial"/>
          <w:sz w:val="20"/>
          <w:szCs w:val="20"/>
          <w:color w:val="auto"/>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Arial" w:cs="Arial" w:eastAsia="Arial" w:hAnsi="Arial"/>
          <w:sz w:val="20"/>
          <w:szCs w:val="20"/>
          <w:u w:val="single" w:color="auto"/>
          <w:color w:val="auto"/>
        </w:rPr>
        <w:t>Payment Notice</w:t>
      </w:r>
      <w:r>
        <w:rPr>
          <w:rFonts w:ascii="Arial" w:cs="Arial" w:eastAsia="Arial" w:hAnsi="Arial"/>
          <w:sz w:val="20"/>
          <w:szCs w:val="20"/>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121</w:t>
      </w:r>
    </w:p>
    <w:p>
      <w:pPr>
        <w:sectPr>
          <w:pgSz w:w="11900" w:h="16838" w:orient="portrait"/>
          <w:cols w:equalWidth="0" w:num="1">
            <w:col w:w="11200"/>
          </w:cols>
          <w:pgMar w:left="320" w:top="1152" w:right="379" w:bottom="1440" w:gutter="0" w:footer="0" w:header="0"/>
        </w:sectPr>
      </w:pPr>
    </w:p>
    <w:bookmarkStart w:id="260" w:name="page261"/>
    <w:bookmarkEnd w:id="260"/>
    <w:p>
      <w:pPr>
        <w:jc w:val="both"/>
        <w:ind w:left="640" w:firstLine="638"/>
        <w:spacing w:after="0" w:line="219" w:lineRule="auto"/>
        <w:tabs>
          <w:tab w:leader="none" w:pos="1912" w:val="left"/>
        </w:tabs>
        <w:numPr>
          <w:ilvl w:val="0"/>
          <w:numId w:val="245"/>
        </w:numPr>
        <w:rPr>
          <w:rFonts w:ascii="Arial" w:cs="Arial" w:eastAsia="Arial" w:hAnsi="Arial"/>
          <w:sz w:val="21"/>
          <w:szCs w:val="21"/>
          <w:color w:val="auto"/>
        </w:rPr>
      </w:pPr>
      <w:r>
        <w:rPr>
          <w:rFonts w:ascii="Arial" w:cs="Arial" w:eastAsia="Arial" w:hAnsi="Arial"/>
          <w:sz w:val="21"/>
          <w:szCs w:val="21"/>
          <w:color w:val="auto"/>
        </w:rPr>
        <w:t>The Borrower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 or any other Loan Party, except to the extent such erroneous Payment is, and solely with respect to the amount of such erroneous Payment that is, comprised of funds received by the Administrative Agent from the Borrower or any other Loan Party for the purpose of satisfying an Obligation.</w:t>
      </w:r>
    </w:p>
    <w:p>
      <w:pPr>
        <w:spacing w:after="0" w:line="153" w:lineRule="exact"/>
        <w:rPr>
          <w:rFonts w:ascii="Arial" w:cs="Arial" w:eastAsia="Arial" w:hAnsi="Arial"/>
          <w:sz w:val="21"/>
          <w:szCs w:val="21"/>
          <w:color w:val="auto"/>
        </w:rPr>
      </w:pPr>
    </w:p>
    <w:p>
      <w:pPr>
        <w:jc w:val="both"/>
        <w:ind w:left="640" w:firstLine="638"/>
        <w:spacing w:after="0" w:line="242" w:lineRule="auto"/>
        <w:tabs>
          <w:tab w:leader="none" w:pos="1912" w:val="left"/>
        </w:tabs>
        <w:numPr>
          <w:ilvl w:val="0"/>
          <w:numId w:val="245"/>
        </w:numPr>
        <w:rPr>
          <w:rFonts w:ascii="Arial" w:cs="Arial" w:eastAsia="Arial" w:hAnsi="Arial"/>
          <w:sz w:val="20"/>
          <w:szCs w:val="20"/>
          <w:color w:val="auto"/>
        </w:rPr>
      </w:pPr>
      <w:r>
        <w:rPr>
          <w:rFonts w:ascii="Arial" w:cs="Arial" w:eastAsia="Arial" w:hAnsi="Arial"/>
          <w:sz w:val="20"/>
          <w:szCs w:val="20"/>
          <w:color w:val="auto"/>
        </w:rPr>
        <w:t xml:space="preserve">Each party’s obligations under this </w:t>
      </w:r>
      <w:r>
        <w:rPr>
          <w:rFonts w:ascii="Arial" w:cs="Arial" w:eastAsia="Arial" w:hAnsi="Arial"/>
          <w:sz w:val="20"/>
          <w:szCs w:val="20"/>
          <w:u w:val="single" w:color="auto"/>
          <w:color w:val="auto"/>
        </w:rPr>
        <w:t>Section 10.06(c)</w:t>
      </w:r>
      <w:r>
        <w:rPr>
          <w:rFonts w:ascii="Arial" w:cs="Arial" w:eastAsia="Arial" w:hAnsi="Arial"/>
          <w:sz w:val="20"/>
          <w:szCs w:val="20"/>
          <w:color w:val="auto"/>
        </w:rPr>
        <w:t xml:space="preserve">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152" w:lineRule="exact"/>
        <w:rPr>
          <w:sz w:val="20"/>
          <w:szCs w:val="20"/>
          <w:color w:val="auto"/>
        </w:rPr>
      </w:pPr>
    </w:p>
    <w:p>
      <w:pPr>
        <w:jc w:val="both"/>
        <w:ind w:firstLine="954"/>
        <w:spacing w:after="0" w:line="222" w:lineRule="auto"/>
        <w:rPr>
          <w:sz w:val="20"/>
          <w:szCs w:val="20"/>
          <w:color w:val="auto"/>
        </w:rPr>
      </w:pPr>
      <w:r>
        <w:rPr>
          <w:rFonts w:ascii="Arial" w:cs="Arial" w:eastAsia="Arial" w:hAnsi="Arial"/>
          <w:sz w:val="21"/>
          <w:szCs w:val="21"/>
          <w:color w:val="auto"/>
        </w:rPr>
        <w:t xml:space="preserve">Section 10.07 </w:t>
      </w:r>
      <w:r>
        <w:rPr>
          <w:rFonts w:ascii="Arial" w:cs="Arial" w:eastAsia="Arial" w:hAnsi="Arial"/>
          <w:sz w:val="21"/>
          <w:szCs w:val="21"/>
          <w:u w:val="single" w:color="auto"/>
          <w:color w:val="auto"/>
        </w:rPr>
        <w:t>Certain ERISA Matters</w:t>
      </w:r>
      <w:r>
        <w:rPr>
          <w:rFonts w:ascii="Arial" w:cs="Arial" w:eastAsia="Arial" w:hAnsi="Arial"/>
          <w:sz w:val="21"/>
          <w:szCs w:val="21"/>
          <w:color w:val="auto"/>
        </w:rPr>
        <w:t>. (a) 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 or any other Loan Party, that at least one of the following is and will be true:</w:t>
      </w:r>
    </w:p>
    <w:p>
      <w:pPr>
        <w:spacing w:after="0" w:line="155" w:lineRule="exact"/>
        <w:rPr>
          <w:sz w:val="20"/>
          <w:szCs w:val="20"/>
          <w:color w:val="auto"/>
        </w:rPr>
      </w:pPr>
    </w:p>
    <w:p>
      <w:pPr>
        <w:ind w:left="640" w:firstLine="638"/>
        <w:spacing w:after="0" w:line="239" w:lineRule="auto"/>
        <w:tabs>
          <w:tab w:leader="none" w:pos="1912" w:val="left"/>
        </w:tabs>
        <w:numPr>
          <w:ilvl w:val="0"/>
          <w:numId w:val="246"/>
        </w:numPr>
        <w:rPr>
          <w:rFonts w:ascii="Arial" w:cs="Arial" w:eastAsia="Arial" w:hAnsi="Arial"/>
          <w:sz w:val="21"/>
          <w:szCs w:val="21"/>
          <w:color w:val="auto"/>
        </w:rPr>
      </w:pPr>
      <w:r>
        <w:rPr>
          <w:rFonts w:ascii="Arial" w:cs="Arial" w:eastAsia="Arial" w:hAnsi="Arial"/>
          <w:sz w:val="21"/>
          <w:szCs w:val="21"/>
          <w:color w:val="auto"/>
        </w:rPr>
        <w:t>such Lender is not using “plan assets” (within the meaning of the Plan Asset Regulations) of one or more Benefit Plans in connection with the Loans, the Letters of Credit or the Commitments,</w:t>
      </w:r>
    </w:p>
    <w:p>
      <w:pPr>
        <w:spacing w:after="0" w:line="155" w:lineRule="exact"/>
        <w:rPr>
          <w:rFonts w:ascii="Arial" w:cs="Arial" w:eastAsia="Arial" w:hAnsi="Arial"/>
          <w:sz w:val="21"/>
          <w:szCs w:val="21"/>
          <w:color w:val="auto"/>
        </w:rPr>
      </w:pPr>
    </w:p>
    <w:p>
      <w:pPr>
        <w:jc w:val="both"/>
        <w:ind w:left="640" w:firstLine="638"/>
        <w:spacing w:after="0" w:line="230" w:lineRule="auto"/>
        <w:tabs>
          <w:tab w:leader="none" w:pos="1912" w:val="left"/>
        </w:tabs>
        <w:numPr>
          <w:ilvl w:val="0"/>
          <w:numId w:val="246"/>
        </w:numPr>
        <w:rPr>
          <w:rFonts w:ascii="Arial" w:cs="Arial" w:eastAsia="Arial" w:hAnsi="Arial"/>
          <w:sz w:val="20"/>
          <w:szCs w:val="20"/>
          <w:color w:val="auto"/>
        </w:rPr>
      </w:pPr>
      <w:r>
        <w:rPr>
          <w:rFonts w:ascii="Arial" w:cs="Arial" w:eastAsia="Arial" w:hAnsi="Arial"/>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53" w:lineRule="exact"/>
        <w:rPr>
          <w:rFonts w:ascii="Arial" w:cs="Arial" w:eastAsia="Arial" w:hAnsi="Arial"/>
          <w:sz w:val="20"/>
          <w:szCs w:val="20"/>
          <w:color w:val="auto"/>
        </w:rPr>
      </w:pPr>
    </w:p>
    <w:p>
      <w:pPr>
        <w:jc w:val="both"/>
        <w:ind w:left="640" w:firstLine="638"/>
        <w:spacing w:after="0" w:line="228" w:lineRule="auto"/>
        <w:tabs>
          <w:tab w:leader="none" w:pos="1912" w:val="left"/>
        </w:tabs>
        <w:numPr>
          <w:ilvl w:val="0"/>
          <w:numId w:val="246"/>
        </w:numPr>
        <w:rPr>
          <w:rFonts w:ascii="Arial" w:cs="Arial" w:eastAsia="Arial" w:hAnsi="Arial"/>
          <w:sz w:val="20"/>
          <w:szCs w:val="20"/>
          <w:color w:val="auto"/>
        </w:rPr>
      </w:pPr>
      <w:r>
        <w:rPr>
          <w:rFonts w:ascii="Arial" w:cs="Arial" w:eastAsia="Arial" w:hAnsi="Arial"/>
          <w:sz w:val="20"/>
          <w:szCs w:val="20"/>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122</w:t>
      </w:r>
    </w:p>
    <w:p>
      <w:pPr>
        <w:sectPr>
          <w:pgSz w:w="11900" w:h="16838" w:orient="portrait"/>
          <w:cols w:equalWidth="0" w:num="1">
            <w:col w:w="11200"/>
          </w:cols>
          <w:pgMar w:left="320" w:top="1152" w:right="379" w:bottom="1440" w:gutter="0" w:footer="0" w:header="0"/>
        </w:sectPr>
      </w:pPr>
    </w:p>
    <w:bookmarkStart w:id="261" w:name="page262"/>
    <w:bookmarkEnd w:id="261"/>
    <w:p>
      <w:pPr>
        <w:ind w:left="640" w:firstLine="638"/>
        <w:spacing w:after="0" w:line="239" w:lineRule="auto"/>
        <w:tabs>
          <w:tab w:leader="none" w:pos="1912" w:val="left"/>
        </w:tabs>
        <w:numPr>
          <w:ilvl w:val="1"/>
          <w:numId w:val="247"/>
        </w:numPr>
        <w:rPr>
          <w:rFonts w:ascii="Arial" w:cs="Arial" w:eastAsia="Arial" w:hAnsi="Arial"/>
          <w:sz w:val="21"/>
          <w:szCs w:val="21"/>
          <w:color w:val="auto"/>
        </w:rPr>
      </w:pPr>
      <w:r>
        <w:rPr>
          <w:rFonts w:ascii="Arial" w:cs="Arial" w:eastAsia="Arial" w:hAnsi="Arial"/>
          <w:sz w:val="21"/>
          <w:szCs w:val="21"/>
          <w:color w:val="auto"/>
        </w:rPr>
        <w:t>such other representation, warranty and covenant as may be agreed in writing between the Administrative Agent, in its sole discretion, and such Lender.</w:t>
      </w:r>
    </w:p>
    <w:p>
      <w:pPr>
        <w:spacing w:after="0" w:line="155" w:lineRule="exact"/>
        <w:rPr>
          <w:rFonts w:ascii="Arial" w:cs="Arial" w:eastAsia="Arial" w:hAnsi="Arial"/>
          <w:sz w:val="21"/>
          <w:szCs w:val="21"/>
          <w:color w:val="auto"/>
        </w:rPr>
      </w:pPr>
    </w:p>
    <w:p>
      <w:pPr>
        <w:jc w:val="both"/>
        <w:ind w:firstLine="1036"/>
        <w:spacing w:after="0" w:line="228" w:lineRule="auto"/>
        <w:tabs>
          <w:tab w:leader="none" w:pos="1523" w:val="left"/>
        </w:tabs>
        <w:numPr>
          <w:ilvl w:val="0"/>
          <w:numId w:val="248"/>
        </w:numPr>
        <w:rPr>
          <w:rFonts w:ascii="Arial" w:cs="Arial" w:eastAsia="Arial" w:hAnsi="Arial"/>
          <w:sz w:val="20"/>
          <w:szCs w:val="20"/>
          <w:color w:val="auto"/>
        </w:rPr>
      </w:pPr>
      <w:r>
        <w:rPr>
          <w:rFonts w:ascii="Arial" w:cs="Arial" w:eastAsia="Arial" w:hAnsi="Arial"/>
          <w:sz w:val="20"/>
          <w:szCs w:val="20"/>
          <w:color w:val="auto"/>
        </w:rPr>
        <w:t>In addition, unless sub-clause (i) in the immediately preceding clause (a) is true with respect to a Lender or such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 or any other Loan Party, that none of the Administrative Agent, or any Arranger, any Co-Syndication Agent, or any of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spacing w:after="0" w:line="153" w:lineRule="exact"/>
        <w:rPr>
          <w:rFonts w:ascii="Arial" w:cs="Arial" w:eastAsia="Arial" w:hAnsi="Arial"/>
          <w:sz w:val="20"/>
          <w:szCs w:val="20"/>
          <w:color w:val="auto"/>
        </w:rPr>
      </w:pPr>
    </w:p>
    <w:p>
      <w:pPr>
        <w:jc w:val="both"/>
        <w:ind w:firstLine="1036"/>
        <w:spacing w:after="0" w:line="238" w:lineRule="auto"/>
        <w:tabs>
          <w:tab w:leader="none" w:pos="1544" w:val="left"/>
        </w:tabs>
        <w:numPr>
          <w:ilvl w:val="0"/>
          <w:numId w:val="248"/>
        </w:numPr>
        <w:rPr>
          <w:rFonts w:ascii="Arial" w:cs="Arial" w:eastAsia="Arial" w:hAnsi="Arial"/>
          <w:sz w:val="19"/>
          <w:szCs w:val="19"/>
          <w:color w:val="auto"/>
        </w:rPr>
      </w:pPr>
      <w:r>
        <w:rPr>
          <w:rFonts w:ascii="Arial" w:cs="Arial" w:eastAsia="Arial" w:hAnsi="Arial"/>
          <w:sz w:val="19"/>
          <w:szCs w:val="19"/>
          <w:color w:val="auto"/>
        </w:rPr>
        <w:t>The Administrative Agent, and each Arranger and Co-Syndication Agent,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61" w:lineRule="exact"/>
        <w:rPr>
          <w:sz w:val="20"/>
          <w:szCs w:val="20"/>
          <w:color w:val="auto"/>
        </w:rPr>
      </w:pPr>
    </w:p>
    <w:p>
      <w:pPr>
        <w:jc w:val="both"/>
        <w:ind w:firstLine="954"/>
        <w:spacing w:after="0" w:line="217" w:lineRule="auto"/>
        <w:rPr>
          <w:sz w:val="20"/>
          <w:szCs w:val="20"/>
          <w:color w:val="auto"/>
        </w:rPr>
      </w:pPr>
      <w:r>
        <w:rPr>
          <w:rFonts w:ascii="Arial" w:cs="Arial" w:eastAsia="Arial" w:hAnsi="Arial"/>
          <w:sz w:val="21"/>
          <w:szCs w:val="21"/>
          <w:color w:val="auto"/>
        </w:rPr>
        <w:t xml:space="preserve">Section 10.08 </w:t>
      </w:r>
      <w:r>
        <w:rPr>
          <w:rFonts w:ascii="Arial" w:cs="Arial" w:eastAsia="Arial" w:hAnsi="Arial"/>
          <w:sz w:val="21"/>
          <w:szCs w:val="21"/>
          <w:u w:val="single" w:color="auto"/>
          <w:color w:val="auto"/>
        </w:rPr>
        <w:t>Guarantee Matters</w:t>
      </w:r>
      <w:r>
        <w:rPr>
          <w:rFonts w:ascii="Arial" w:cs="Arial" w:eastAsia="Arial" w:hAnsi="Arial"/>
          <w:sz w:val="21"/>
          <w:szCs w:val="21"/>
          <w:color w:val="auto"/>
        </w:rPr>
        <w:t xml:space="preserve">. (a) The Lenders and the L/C Issuers irrevocably authorize the Administrative Agent to release any Subsidiary Guarantor from its obligations under the Obligations Guarantee if (i) such Subsidiary Guarantor after the Effective Date ceases to be a Material Subsidiary of the Borrower as a result of a transaction permitted hereunder or (ii) such Subsidiary Guarantor was voluntarily designated by the Borrower as a Subsidiary Guarantor pursuant to </w:t>
      </w:r>
      <w:r>
        <w:rPr>
          <w:rFonts w:ascii="Arial" w:cs="Arial" w:eastAsia="Arial" w:hAnsi="Arial"/>
          <w:sz w:val="21"/>
          <w:szCs w:val="21"/>
          <w:u w:val="single" w:color="auto"/>
          <w:color w:val="auto"/>
        </w:rPr>
        <w:t>Section 9.11</w:t>
      </w:r>
      <w:r>
        <w:rPr>
          <w:rFonts w:ascii="Arial" w:cs="Arial" w:eastAsia="Arial" w:hAnsi="Arial"/>
          <w:sz w:val="21"/>
          <w:szCs w:val="21"/>
          <w:color w:val="auto"/>
        </w:rPr>
        <w:t xml:space="preserve"> and Borrower requests, in writing, that the Administrative Agent release it from the Obligations Guarantee and certifies that (x) no Event of Default would immediately result from such a release and (y) such Subsidiary is not required to be a Subsidiary Guarantor pursuant to </w:t>
      </w:r>
      <w:r>
        <w:rPr>
          <w:rFonts w:ascii="Arial" w:cs="Arial" w:eastAsia="Arial" w:hAnsi="Arial"/>
          <w:sz w:val="21"/>
          <w:szCs w:val="21"/>
          <w:u w:val="single" w:color="auto"/>
          <w:color w:val="auto"/>
        </w:rPr>
        <w:t>Section 9.11</w:t>
      </w:r>
      <w:r>
        <w:rPr>
          <w:rFonts w:ascii="Arial" w:cs="Arial" w:eastAsia="Arial" w:hAnsi="Arial"/>
          <w:sz w:val="21"/>
          <w:szCs w:val="21"/>
          <w:color w:val="auto"/>
        </w:rPr>
        <w:t xml:space="preserve">. Upon request by the Administrative Agent at any time, the Required Lenders will confirm in writing the Administrative Agent’s authority to release any Subsidiary Guarantor from its obligations under the Obligations Guarantee pursuant to this </w:t>
      </w:r>
      <w:r>
        <w:rPr>
          <w:rFonts w:ascii="Arial" w:cs="Arial" w:eastAsia="Arial" w:hAnsi="Arial"/>
          <w:sz w:val="21"/>
          <w:szCs w:val="21"/>
          <w:u w:val="single" w:color="auto"/>
          <w:color w:val="auto"/>
        </w:rPr>
        <w:t>Section 10.08</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123</w:t>
      </w:r>
    </w:p>
    <w:p>
      <w:pPr>
        <w:sectPr>
          <w:pgSz w:w="11900" w:h="16838" w:orient="portrait"/>
          <w:cols w:equalWidth="0" w:num="1">
            <w:col w:w="11200"/>
          </w:cols>
          <w:pgMar w:left="320" w:top="1152" w:right="379" w:bottom="1440" w:gutter="0" w:footer="0" w:header="0"/>
        </w:sectPr>
      </w:pPr>
    </w:p>
    <w:bookmarkStart w:id="262" w:name="page263"/>
    <w:bookmarkEnd w:id="262"/>
    <w:p>
      <w:pPr>
        <w:ind w:left="5000"/>
        <w:spacing w:after="0"/>
        <w:rPr>
          <w:sz w:val="20"/>
          <w:szCs w:val="20"/>
          <w:color w:val="auto"/>
        </w:rPr>
      </w:pPr>
      <w:r>
        <w:rPr>
          <w:rFonts w:ascii="Arial" w:cs="Arial" w:eastAsia="Arial" w:hAnsi="Arial"/>
          <w:sz w:val="21"/>
          <w:szCs w:val="21"/>
          <w:color w:val="auto"/>
        </w:rPr>
        <w:t>ARTICLE 11</w:t>
      </w:r>
    </w:p>
    <w:p>
      <w:pPr>
        <w:spacing w:after="0" w:line="183" w:lineRule="exact"/>
        <w:rPr>
          <w:sz w:val="20"/>
          <w:szCs w:val="20"/>
          <w:color w:val="auto"/>
        </w:rPr>
      </w:pPr>
    </w:p>
    <w:p>
      <w:pPr>
        <w:ind w:left="4740"/>
        <w:spacing w:after="0"/>
        <w:rPr>
          <w:sz w:val="20"/>
          <w:szCs w:val="20"/>
          <w:color w:val="auto"/>
        </w:rPr>
      </w:pPr>
      <w:r>
        <w:rPr>
          <w:rFonts w:ascii="Arial" w:cs="Arial" w:eastAsia="Arial" w:hAnsi="Arial"/>
          <w:sz w:val="21"/>
          <w:szCs w:val="21"/>
          <w:color w:val="auto"/>
        </w:rPr>
        <w:t>MISCELLANEOUS</w:t>
      </w:r>
    </w:p>
    <w:p>
      <w:pPr>
        <w:spacing w:after="0" w:line="183" w:lineRule="exact"/>
        <w:rPr>
          <w:sz w:val="20"/>
          <w:szCs w:val="20"/>
          <w:color w:val="auto"/>
        </w:rPr>
      </w:pPr>
    </w:p>
    <w:p>
      <w:pPr>
        <w:jc w:val="both"/>
        <w:ind w:firstLine="954"/>
        <w:spacing w:after="0" w:line="238" w:lineRule="auto"/>
        <w:rPr>
          <w:sz w:val="20"/>
          <w:szCs w:val="20"/>
          <w:color w:val="auto"/>
        </w:rPr>
      </w:pPr>
      <w:r>
        <w:rPr>
          <w:rFonts w:ascii="Arial" w:cs="Arial" w:eastAsia="Arial" w:hAnsi="Arial"/>
          <w:sz w:val="19"/>
          <w:szCs w:val="19"/>
          <w:color w:val="auto"/>
        </w:rPr>
        <w:t xml:space="preserve">Section 11.01 </w:t>
      </w:r>
      <w:r>
        <w:rPr>
          <w:rFonts w:ascii="Arial" w:cs="Arial" w:eastAsia="Arial" w:hAnsi="Arial"/>
          <w:sz w:val="19"/>
          <w:szCs w:val="19"/>
          <w:u w:val="single" w:color="auto"/>
          <w:color w:val="auto"/>
        </w:rPr>
        <w:t>Amendments, Etc</w:t>
      </w:r>
      <w:r>
        <w:rPr>
          <w:rFonts w:ascii="Arial" w:cs="Arial" w:eastAsia="Arial" w:hAnsi="Arial"/>
          <w:sz w:val="19"/>
          <w:szCs w:val="19"/>
          <w:color w:val="auto"/>
        </w:rPr>
        <w:t xml:space="preserve">. Except as expressly provided in </w:t>
      </w:r>
      <w:r>
        <w:rPr>
          <w:rFonts w:ascii="Arial" w:cs="Arial" w:eastAsia="Arial" w:hAnsi="Arial"/>
          <w:sz w:val="19"/>
          <w:szCs w:val="19"/>
          <w:u w:val="single" w:color="auto"/>
          <w:color w:val="auto"/>
        </w:rPr>
        <w:t>Sections 2.14</w:t>
      </w:r>
      <w:r>
        <w:rPr>
          <w:rFonts w:ascii="Arial" w:cs="Arial" w:eastAsia="Arial" w:hAnsi="Arial"/>
          <w:sz w:val="19"/>
          <w:szCs w:val="19"/>
          <w:color w:val="auto"/>
        </w:rPr>
        <w:t xml:space="preserve"> (with respect to an Incremental Term Loan Amendment), </w:t>
      </w:r>
      <w:r>
        <w:rPr>
          <w:rFonts w:ascii="Arial" w:cs="Arial" w:eastAsia="Arial" w:hAnsi="Arial"/>
          <w:sz w:val="19"/>
          <w:szCs w:val="19"/>
          <w:u w:val="single" w:color="auto"/>
          <w:color w:val="auto"/>
        </w:rPr>
        <w:t>2.17(b)</w:t>
      </w:r>
      <w:r>
        <w:rPr>
          <w:rFonts w:ascii="Arial" w:cs="Arial" w:eastAsia="Arial" w:hAnsi="Arial"/>
          <w:sz w:val="19"/>
          <w:szCs w:val="19"/>
          <w:b w:val="1"/>
          <w:bCs w:val="1"/>
          <w:color w:val="FF0000"/>
          <w:strike w:val="1"/>
        </w:rPr>
        <w: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and</w:t>
      </w:r>
      <w:r>
        <w:rPr>
          <w:rFonts w:ascii="Arial" w:cs="Arial" w:eastAsia="Arial" w:hAnsi="Arial"/>
          <w:sz w:val="19"/>
          <w:szCs w:val="19"/>
          <w:color w:val="auto"/>
        </w:rPr>
        <w:t xml:space="preserve"> </w:t>
      </w:r>
      <w:r>
        <w:rPr>
          <w:rFonts w:ascii="Arial" w:cs="Arial" w:eastAsia="Arial" w:hAnsi="Arial"/>
          <w:sz w:val="19"/>
          <w:szCs w:val="19"/>
          <w:u w:val="single" w:color="auto"/>
          <w:color w:val="auto"/>
        </w:rPr>
        <w:t>2.17(c)</w:t>
      </w:r>
      <w:r>
        <w:rPr>
          <w:rFonts w:ascii="Arial" w:cs="Arial" w:eastAsia="Arial" w:hAnsi="Arial"/>
          <w:sz w:val="19"/>
          <w:szCs w:val="19"/>
          <w:color w:val="auto"/>
        </w:rPr>
        <w:t xml:space="preserve"> </w:t>
      </w:r>
      <w:r>
        <w:rPr>
          <w:rFonts w:ascii="Arial" w:cs="Arial" w:eastAsia="Arial" w:hAnsi="Arial"/>
          <w:sz w:val="19"/>
          <w:szCs w:val="19"/>
          <w:b w:val="1"/>
          <w:bCs w:val="1"/>
          <w:color w:val="FF0000"/>
          <w:strike w:val="1"/>
        </w:rPr>
        <w:t>and</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FF0000"/>
          <w:strike w:val="1"/>
        </w:rPr>
        <w:t>2.17(d)</w:t>
      </w:r>
      <w:r>
        <w:rPr>
          <w:rFonts w:ascii="Arial" w:cs="Arial" w:eastAsia="Arial" w:hAnsi="Arial"/>
          <w:sz w:val="19"/>
          <w:szCs w:val="19"/>
          <w:color w:val="auto"/>
        </w:rPr>
        <w:t xml:space="preserve"> and in the definition of “Letter of Credit Commitment”, no amendment or waiver of any provision of this Agreement or any other Loan Document, and no consent to any departure by the Loan Parties therefrom, will be effective unless in writing signed by the Required Lenders and the Borrower (and, if the rights of any other Loan Party shall be affected thereby, such Loan Party), and acknowledged by the Administrative Agent (such acknowledgement not to be unreasonably withheld, conditioned or delayed) and each such waiver or consent will be effective only in the specific instance and for the specific purpose for which given;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provision of this Agreement or any other Loan Document may be amended by an agreement in writing entered into by the Borrower and the Administrative Agent to cure any ambiguity, omission, defect or inconsistency so long as, in each case, (x) such amendment does not adversely affect the rights of any Lender or (y) the Lenders shall have received at least five (5) Business Days’ prior written notice thereof and the Administrative Agent shall not have received, within five (5) Business Days of the date of such notice to the Lenders, a written notice from the Required Lenders stating that the Required Lenders object to such amendment;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no such amendment, waiver or consent will:</w:t>
      </w:r>
    </w:p>
    <w:p>
      <w:pPr>
        <w:spacing w:after="0" w:line="156" w:lineRule="exact"/>
        <w:rPr>
          <w:sz w:val="20"/>
          <w:szCs w:val="20"/>
          <w:color w:val="auto"/>
        </w:rPr>
      </w:pPr>
    </w:p>
    <w:p>
      <w:pPr>
        <w:ind w:firstLine="1036"/>
        <w:spacing w:after="0" w:line="239" w:lineRule="auto"/>
        <w:tabs>
          <w:tab w:leader="none" w:pos="1519" w:val="left"/>
        </w:tabs>
        <w:numPr>
          <w:ilvl w:val="0"/>
          <w:numId w:val="249"/>
        </w:numPr>
        <w:rPr>
          <w:rFonts w:ascii="Arial" w:cs="Arial" w:eastAsia="Arial" w:hAnsi="Arial"/>
          <w:sz w:val="21"/>
          <w:szCs w:val="21"/>
          <w:color w:val="auto"/>
        </w:rPr>
      </w:pPr>
      <w:r>
        <w:rPr>
          <w:rFonts w:ascii="Arial" w:cs="Arial" w:eastAsia="Arial" w:hAnsi="Arial"/>
          <w:sz w:val="21"/>
          <w:szCs w:val="21"/>
          <w:color w:val="auto"/>
        </w:rPr>
        <w:t xml:space="preserve">extend or increase the Commitment of any Lender (or reinstate any Commitment terminated pursuant to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8.02</w:t>
      </w:r>
      <w:r>
        <w:rPr>
          <w:rFonts w:ascii="Arial" w:cs="Arial" w:eastAsia="Arial" w:hAnsi="Arial"/>
          <w:sz w:val="21"/>
          <w:szCs w:val="21"/>
          <w:color w:val="auto"/>
        </w:rPr>
        <w:t>) without the written consent of such Lender;</w:t>
      </w:r>
    </w:p>
    <w:p>
      <w:pPr>
        <w:spacing w:after="0" w:line="155" w:lineRule="exact"/>
        <w:rPr>
          <w:rFonts w:ascii="Arial" w:cs="Arial" w:eastAsia="Arial" w:hAnsi="Arial"/>
          <w:sz w:val="21"/>
          <w:szCs w:val="21"/>
          <w:color w:val="auto"/>
        </w:rPr>
      </w:pPr>
    </w:p>
    <w:p>
      <w:pPr>
        <w:jc w:val="both"/>
        <w:ind w:firstLine="1036"/>
        <w:spacing w:after="0" w:line="242" w:lineRule="auto"/>
        <w:tabs>
          <w:tab w:leader="none" w:pos="1515" w:val="left"/>
        </w:tabs>
        <w:numPr>
          <w:ilvl w:val="0"/>
          <w:numId w:val="249"/>
        </w:numPr>
        <w:rPr>
          <w:rFonts w:ascii="Arial" w:cs="Arial" w:eastAsia="Arial" w:hAnsi="Arial"/>
          <w:sz w:val="20"/>
          <w:szCs w:val="20"/>
          <w:color w:val="auto"/>
        </w:rPr>
      </w:pPr>
      <w:r>
        <w:rPr>
          <w:rFonts w:ascii="Arial" w:cs="Arial" w:eastAsia="Arial" w:hAnsi="Arial"/>
          <w:sz w:val="20"/>
          <w:szCs w:val="20"/>
          <w:color w:val="auto"/>
        </w:rPr>
        <w:t>postpone any date fixed by this Agreement or any other Loan Document for any payment of principal, interest or fees due to any Lender hereunder or under any other Loan Document without the written consent of such Lender, or postpone any date fixed by this Agreement for any payment of an L/C Borrowing without the written consent of each Lender;</w:t>
      </w:r>
    </w:p>
    <w:p>
      <w:pPr>
        <w:spacing w:after="0" w:line="152" w:lineRule="exact"/>
        <w:rPr>
          <w:rFonts w:ascii="Arial" w:cs="Arial" w:eastAsia="Arial" w:hAnsi="Arial"/>
          <w:sz w:val="20"/>
          <w:szCs w:val="20"/>
          <w:color w:val="auto"/>
        </w:rPr>
      </w:pPr>
    </w:p>
    <w:p>
      <w:pPr>
        <w:jc w:val="both"/>
        <w:ind w:firstLine="1036"/>
        <w:spacing w:after="0" w:line="231" w:lineRule="auto"/>
        <w:tabs>
          <w:tab w:leader="none" w:pos="1483" w:val="left"/>
        </w:tabs>
        <w:numPr>
          <w:ilvl w:val="0"/>
          <w:numId w:val="249"/>
        </w:numPr>
        <w:rPr>
          <w:rFonts w:ascii="Arial" w:cs="Arial" w:eastAsia="Arial" w:hAnsi="Arial"/>
          <w:sz w:val="20"/>
          <w:szCs w:val="20"/>
          <w:color w:val="auto"/>
        </w:rPr>
      </w:pPr>
      <w:r>
        <w:rPr>
          <w:rFonts w:ascii="Arial" w:cs="Arial" w:eastAsia="Arial" w:hAnsi="Arial"/>
          <w:sz w:val="20"/>
          <w:szCs w:val="20"/>
          <w:color w:val="auto"/>
        </w:rPr>
        <w:t xml:space="preserve">reduce the principal of, or the rate of interest specified herein on, any Loan or L/C Borrowing, or any fees payable hereunder or under any other Loan Document, without the written consent of each Lender directly affected thereby;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only the consent of the Required Lenders will be necessary to waive any obligation of the Borrower to pay interest at the default rate or change the amount of the default rate specified in </w:t>
      </w:r>
      <w:r>
        <w:rPr>
          <w:rFonts w:ascii="Arial" w:cs="Arial" w:eastAsia="Arial" w:hAnsi="Arial"/>
          <w:sz w:val="20"/>
          <w:szCs w:val="20"/>
          <w:u w:val="single" w:color="auto"/>
          <w:color w:val="auto"/>
        </w:rPr>
        <w:t>Section 2.08(b)</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no amendment or modification of the financial covenant in this Agreement (or defined terms used in the financial covenant in this Agreement) shall constitute a reduction in the rate of interest or fees for purposes of this clause (c);</w:t>
      </w:r>
    </w:p>
    <w:p>
      <w:pPr>
        <w:spacing w:after="0" w:line="155" w:lineRule="exact"/>
        <w:rPr>
          <w:rFonts w:ascii="Arial" w:cs="Arial" w:eastAsia="Arial" w:hAnsi="Arial"/>
          <w:sz w:val="20"/>
          <w:szCs w:val="20"/>
          <w:color w:val="auto"/>
        </w:rPr>
      </w:pPr>
    </w:p>
    <w:p>
      <w:pPr>
        <w:ind w:firstLine="1036"/>
        <w:spacing w:after="0" w:line="263" w:lineRule="auto"/>
        <w:tabs>
          <w:tab w:leader="none" w:pos="1499" w:val="left"/>
        </w:tabs>
        <w:numPr>
          <w:ilvl w:val="0"/>
          <w:numId w:val="249"/>
        </w:numPr>
        <w:rPr>
          <w:rFonts w:ascii="Arial" w:cs="Arial" w:eastAsia="Arial" w:hAnsi="Arial"/>
          <w:sz w:val="20"/>
          <w:szCs w:val="20"/>
          <w:color w:val="auto"/>
        </w:rPr>
      </w:pPr>
      <w:r>
        <w:rPr>
          <w:rFonts w:ascii="Arial" w:cs="Arial" w:eastAsia="Arial" w:hAnsi="Arial"/>
          <w:sz w:val="20"/>
          <w:szCs w:val="20"/>
          <w:color w:val="auto"/>
        </w:rPr>
        <w:t xml:space="preserve">change </w:t>
      </w:r>
      <w:r>
        <w:rPr>
          <w:rFonts w:ascii="Arial" w:cs="Arial" w:eastAsia="Arial" w:hAnsi="Arial"/>
          <w:sz w:val="20"/>
          <w:szCs w:val="20"/>
          <w:u w:val="single" w:color="auto"/>
          <w:color w:val="auto"/>
        </w:rPr>
        <w:t>Section 2.06</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8.03</w:t>
      </w:r>
      <w:r>
        <w:rPr>
          <w:rFonts w:ascii="Arial" w:cs="Arial" w:eastAsia="Arial" w:hAnsi="Arial"/>
          <w:sz w:val="20"/>
          <w:szCs w:val="20"/>
          <w:color w:val="auto"/>
        </w:rPr>
        <w:t xml:space="preserve"> in a manner that would alter the ratable reduction of Commitments or the pro rata sharing of payments required thereby without the written consent of each Lender directly affected thereby;</w:t>
      </w:r>
    </w:p>
    <w:p>
      <w:pPr>
        <w:spacing w:after="0" w:line="131" w:lineRule="exact"/>
        <w:rPr>
          <w:rFonts w:ascii="Arial" w:cs="Arial" w:eastAsia="Arial" w:hAnsi="Arial"/>
          <w:sz w:val="20"/>
          <w:szCs w:val="20"/>
          <w:color w:val="auto"/>
        </w:rPr>
      </w:pPr>
    </w:p>
    <w:p>
      <w:pPr>
        <w:ind w:left="1480" w:hanging="444"/>
        <w:spacing w:after="0"/>
        <w:tabs>
          <w:tab w:leader="none" w:pos="1480" w:val="left"/>
        </w:tabs>
        <w:numPr>
          <w:ilvl w:val="0"/>
          <w:numId w:val="249"/>
        </w:numPr>
        <w:rPr>
          <w:rFonts w:ascii="Arial" w:cs="Arial" w:eastAsia="Arial" w:hAnsi="Arial"/>
          <w:sz w:val="20"/>
          <w:szCs w:val="20"/>
          <w:color w:val="auto"/>
        </w:rPr>
      </w:pPr>
      <w:r>
        <w:rPr>
          <w:rFonts w:ascii="Arial" w:cs="Arial" w:eastAsia="Arial" w:hAnsi="Arial"/>
          <w:sz w:val="20"/>
          <w:szCs w:val="20"/>
          <w:color w:val="auto"/>
        </w:rPr>
        <w:t xml:space="preserve">amend </w:t>
      </w:r>
      <w:r>
        <w:rPr>
          <w:rFonts w:ascii="Arial" w:cs="Arial" w:eastAsia="Arial" w:hAnsi="Arial"/>
          <w:sz w:val="20"/>
          <w:szCs w:val="20"/>
          <w:u w:val="single" w:color="auto"/>
          <w:color w:val="auto"/>
        </w:rPr>
        <w:t>Section 1.05</w:t>
      </w:r>
      <w:r>
        <w:rPr>
          <w:rFonts w:ascii="Arial" w:cs="Arial" w:eastAsia="Arial" w:hAnsi="Arial"/>
          <w:sz w:val="20"/>
          <w:szCs w:val="20"/>
          <w:color w:val="auto"/>
        </w:rPr>
        <w:t xml:space="preserve"> or the definition of “Alternative Currency” without the written consent of each Lender;</w:t>
      </w:r>
    </w:p>
    <w:p>
      <w:pPr>
        <w:spacing w:after="0" w:line="194" w:lineRule="exact"/>
        <w:rPr>
          <w:rFonts w:ascii="Arial" w:cs="Arial" w:eastAsia="Arial" w:hAnsi="Arial"/>
          <w:sz w:val="20"/>
          <w:szCs w:val="20"/>
          <w:color w:val="auto"/>
        </w:rPr>
      </w:pPr>
    </w:p>
    <w:p>
      <w:pPr>
        <w:jc w:val="both"/>
        <w:ind w:firstLine="1036"/>
        <w:spacing w:after="0" w:line="230" w:lineRule="auto"/>
        <w:tabs>
          <w:tab w:leader="none" w:pos="1600" w:val="left"/>
        </w:tabs>
        <w:numPr>
          <w:ilvl w:val="0"/>
          <w:numId w:val="249"/>
        </w:numPr>
        <w:rPr>
          <w:rFonts w:ascii="Arial" w:cs="Arial" w:eastAsia="Arial" w:hAnsi="Arial"/>
          <w:sz w:val="21"/>
          <w:szCs w:val="21"/>
          <w:color w:val="auto"/>
        </w:rPr>
      </w:pPr>
      <w:r>
        <w:rPr>
          <w:rFonts w:ascii="Arial" w:cs="Arial" w:eastAsia="Arial" w:hAnsi="Arial"/>
          <w:sz w:val="21"/>
          <w:szCs w:val="21"/>
          <w:color w:val="auto"/>
        </w:rPr>
        <w:t xml:space="preserve">release Borrower (if it shall have become a Guarantor) or any of the other Subsidiary Guarantors from the Obligations Guarantee in </w:t>
      </w:r>
      <w:r>
        <w:rPr>
          <w:rFonts w:ascii="Arial" w:cs="Arial" w:eastAsia="Arial" w:hAnsi="Arial"/>
          <w:sz w:val="21"/>
          <w:szCs w:val="21"/>
          <w:u w:val="single" w:color="auto"/>
          <w:color w:val="auto"/>
        </w:rPr>
        <w:t>Section 9.01</w:t>
      </w:r>
      <w:r>
        <w:rPr>
          <w:rFonts w:ascii="Arial" w:cs="Arial" w:eastAsia="Arial" w:hAnsi="Arial"/>
          <w:sz w:val="21"/>
          <w:szCs w:val="21"/>
          <w:color w:val="auto"/>
        </w:rPr>
        <w:t xml:space="preserve"> (including, in each case, by limiting liability in respect thereof (other than as required by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124</w:t>
      </w:r>
    </w:p>
    <w:p>
      <w:pPr>
        <w:sectPr>
          <w:pgSz w:w="11900" w:h="16838" w:orient="portrait"/>
          <w:cols w:equalWidth="0" w:num="1">
            <w:col w:w="11200"/>
          </w:cols>
          <w:pgMar w:left="320" w:top="1152" w:right="379" w:bottom="1440" w:gutter="0" w:footer="0" w:header="0"/>
        </w:sectPr>
      </w:pPr>
    </w:p>
    <w:bookmarkStart w:id="263" w:name="page264"/>
    <w:bookmarkEnd w:id="263"/>
    <w:p>
      <w:pPr>
        <w:spacing w:after="0" w:line="239" w:lineRule="auto"/>
        <w:rPr>
          <w:sz w:val="20"/>
          <w:szCs w:val="20"/>
          <w:color w:val="auto"/>
        </w:rPr>
      </w:pPr>
      <w:r>
        <w:rPr>
          <w:rFonts w:ascii="Arial" w:cs="Arial" w:eastAsia="Arial" w:hAnsi="Arial"/>
          <w:sz w:val="21"/>
          <w:szCs w:val="21"/>
          <w:color w:val="auto"/>
        </w:rPr>
        <w:t xml:space="preserve">Law)) without the written consent of each Lender, except, in the case of any Subsidiary Guarantor, as permitted pursuant to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10.10</w:t>
      </w:r>
      <w:r>
        <w:rPr>
          <w:rFonts w:ascii="Arial" w:cs="Arial" w:eastAsia="Arial" w:hAnsi="Arial"/>
          <w:sz w:val="21"/>
          <w:szCs w:val="21"/>
          <w:color w:val="auto"/>
        </w:rPr>
        <w:t xml:space="preserve"> (in which case such release may be made by the Administrative Agent acting alone); or</w:t>
      </w:r>
    </w:p>
    <w:p>
      <w:pPr>
        <w:spacing w:after="0" w:line="155" w:lineRule="exact"/>
        <w:rPr>
          <w:sz w:val="20"/>
          <w:szCs w:val="20"/>
          <w:color w:val="auto"/>
        </w:rPr>
      </w:pPr>
    </w:p>
    <w:p>
      <w:pPr>
        <w:jc w:val="both"/>
        <w:ind w:firstLine="1036"/>
        <w:spacing w:after="0" w:line="235" w:lineRule="auto"/>
        <w:tabs>
          <w:tab w:leader="none" w:pos="1527" w:val="left"/>
        </w:tabs>
        <w:numPr>
          <w:ilvl w:val="0"/>
          <w:numId w:val="250"/>
        </w:numPr>
        <w:rPr>
          <w:rFonts w:ascii="Arial" w:cs="Arial" w:eastAsia="Arial" w:hAnsi="Arial"/>
          <w:sz w:val="19"/>
          <w:szCs w:val="19"/>
          <w:color w:val="auto"/>
        </w:rPr>
      </w:pPr>
      <w:r>
        <w:rPr>
          <w:rFonts w:ascii="Arial" w:cs="Arial" w:eastAsia="Arial" w:hAnsi="Arial"/>
          <w:sz w:val="19"/>
          <w:szCs w:val="19"/>
          <w:color w:val="auto"/>
        </w:rPr>
        <w:t xml:space="preserve">change any provision of this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or the percentage set forth in the definition of “Required Lenders” or any other provision hereof specifying the number or percentage of Lenders required to amend, waive or otherwise modify any rights hereunder or make any determination or grant any consent hereunder without the written consent of each Lender (it being understood that, solely with the consent of the parties prescribed by Section 2.14 to be parties to an Incremental Term Loan Amendment, Incremental Term Loans may be included in the determination of Required Lenders on substantially the same basis as the Commitments and the Loans are included on the Effective Date);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 no amendment, waiver or consent will, unless in writing and signed by such L/C Issuer in addition to the Lenders required above, affect the rights or duties of any L/C Issuer under this Agreement or any Issuer Document relating to any Letter of Credit issued or to be issued by it and (ii) no amendment, waiver or consent will, unless in writing and signed by the Administrative Agent in addition to the Lenders required above, affect the rights or duties of the Administrative Agent under this Agreement or any other Loan Document. Notwithstanding anything to the contrary herein, (A)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any amendment, waiver or consent referred to in clause (a), (b) or (c) above shall require the consent of such Defaulting Lender in the event such Defaulting Lender shall be directly affected thereby and (y) any amendment, waiver or consent requiring the consent of all Lenders or each affected Lender that by its terms affects any Defaulting Lender more adversely than other affected Lenders shall require the consent of such Defaulting Lender and (B) any provision of this Agreement or any other Loan Document may be amended by an agreement in writing entered into by the Borrower, the Administrative Agent (and, if their rights or duties are affected thereby, each L/C Issuer) and the Lenders that will remain parties hereto after giving effect to such amendment if (x) by the terms of such agreement the Commitment of each Lender not consenting to the amendment provided for therein shall terminate upon the effectiveness of such amendment, (y) at the time such amendment becomes effective, each Lender not consenting thereto receives payment in full of the principal of and interest accrued on each Loan made by it and all other amounts owing to it or accrued for its account under this Agreement and (z) after giving effect to such amendment and all contemporaneous repayments of Loans and reductions of Commitments, the Total Outstandings shall not exceed the Aggregate Commitments. The Administrative Agent may, but shall have no obligation to, with the written concurrence of any Lender, execute amendments, waivers or consents on behalf of such Lender. Any amendment, waiver or consent effected in accordance with this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shall be binding upon each Person that is at the time thereof a Lender and each Person that subsequently becomes a Lender.</w:t>
      </w:r>
    </w:p>
    <w:p>
      <w:pPr>
        <w:spacing w:after="0" w:line="159" w:lineRule="exact"/>
        <w:rPr>
          <w:rFonts w:ascii="Arial" w:cs="Arial" w:eastAsia="Arial" w:hAnsi="Arial"/>
          <w:sz w:val="19"/>
          <w:szCs w:val="19"/>
          <w:color w:val="auto"/>
        </w:rPr>
      </w:pPr>
    </w:p>
    <w:p>
      <w:pPr>
        <w:jc w:val="both"/>
        <w:ind w:firstLine="1036"/>
        <w:spacing w:after="0" w:line="220" w:lineRule="auto"/>
        <w:tabs>
          <w:tab w:leader="none" w:pos="1513" w:val="left"/>
        </w:tabs>
        <w:numPr>
          <w:ilvl w:val="0"/>
          <w:numId w:val="250"/>
        </w:numPr>
        <w:rPr>
          <w:rFonts w:ascii="Arial" w:cs="Arial" w:eastAsia="Arial" w:hAnsi="Arial"/>
          <w:sz w:val="21"/>
          <w:szCs w:val="21"/>
          <w:color w:val="auto"/>
        </w:rPr>
      </w:pPr>
      <w:r>
        <w:rPr>
          <w:rFonts w:ascii="Arial" w:cs="Arial" w:eastAsia="Arial" w:hAnsi="Arial"/>
          <w:sz w:val="21"/>
          <w:szCs w:val="21"/>
          <w:color w:val="auto"/>
        </w:rPr>
        <w:t>Notwithstanding the foregoing, this Agreement and any other Loan Document may be amended (or amended and restated) with the written consent of the Required Lenders, the Administrative Agent and the Borrower (x) to add one or more credit facilities (in addition to the Incremental Term Loans pursuant to an Incremental Term Loan Amendment) to this Agreement and to permit extensions of credit from time to time outstanding thereunder and the accrued interest and fees in respect thereof to share ratably in the benefits of this Agreement and the other Loan Documents with the Loans, Incremental Term Loans and the accrued interest and fees in respect thereof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125</w:t>
      </w:r>
    </w:p>
    <w:p>
      <w:pPr>
        <w:sectPr>
          <w:pgSz w:w="11900" w:h="16838" w:orient="portrait"/>
          <w:cols w:equalWidth="0" w:num="1">
            <w:col w:w="11200"/>
          </w:cols>
          <w:pgMar w:left="320" w:top="1152" w:right="379" w:bottom="1440" w:gutter="0" w:footer="0" w:header="0"/>
        </w:sectPr>
      </w:pPr>
    </w:p>
    <w:bookmarkStart w:id="264" w:name="page265"/>
    <w:bookmarkEnd w:id="264"/>
    <w:p>
      <w:pPr>
        <w:ind w:left="300" w:hanging="294"/>
        <w:spacing w:after="0"/>
        <w:tabs>
          <w:tab w:leader="none" w:pos="300" w:val="left"/>
        </w:tabs>
        <w:numPr>
          <w:ilvl w:val="0"/>
          <w:numId w:val="251"/>
        </w:numPr>
        <w:rPr>
          <w:rFonts w:ascii="Arial" w:cs="Arial" w:eastAsia="Arial" w:hAnsi="Arial"/>
          <w:sz w:val="19"/>
          <w:szCs w:val="19"/>
          <w:color w:val="auto"/>
        </w:rPr>
      </w:pPr>
      <w:r>
        <w:rPr>
          <w:rFonts w:ascii="Arial" w:cs="Arial" w:eastAsia="Arial" w:hAnsi="Arial"/>
          <w:sz w:val="19"/>
          <w:szCs w:val="19"/>
          <w:color w:val="auto"/>
        </w:rPr>
        <w:t>to include appropriately the Lenders holding such credit facilities in any determination of the Required Lenders and Lenders.</w:t>
      </w:r>
    </w:p>
    <w:p>
      <w:pPr>
        <w:spacing w:after="0" w:line="205" w:lineRule="exact"/>
        <w:rPr>
          <w:rFonts w:ascii="Arial" w:cs="Arial" w:eastAsia="Arial" w:hAnsi="Arial"/>
          <w:sz w:val="19"/>
          <w:szCs w:val="19"/>
          <w:color w:val="auto"/>
        </w:rPr>
      </w:pPr>
    </w:p>
    <w:p>
      <w:pPr>
        <w:jc w:val="both"/>
        <w:ind w:firstLine="518"/>
        <w:spacing w:after="0" w:line="222" w:lineRule="auto"/>
        <w:tabs>
          <w:tab w:leader="none" w:pos="1272" w:val="left"/>
        </w:tabs>
        <w:numPr>
          <w:ilvl w:val="1"/>
          <w:numId w:val="251"/>
        </w:numPr>
        <w:rPr>
          <w:rFonts w:ascii="Arial" w:cs="Arial" w:eastAsia="Arial" w:hAnsi="Arial"/>
          <w:sz w:val="21"/>
          <w:szCs w:val="21"/>
          <w:color w:val="auto"/>
        </w:rPr>
      </w:pPr>
      <w:r>
        <w:rPr>
          <w:rFonts w:ascii="Arial" w:cs="Arial" w:eastAsia="Arial" w:hAnsi="Arial"/>
          <w:sz w:val="21"/>
          <w:szCs w:val="21"/>
          <w:color w:val="auto"/>
        </w:rPr>
        <w:t>Notwithstanding anything to the contrary herein, if the Administrative Agent and the Borrower acting together identify any ambiguity, omission, mistake, typographical error or other defect in any provision of this Agreement or any other Loan Document, then the Administrative Agent and the Borrower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155" w:lineRule="exact"/>
        <w:rPr>
          <w:sz w:val="20"/>
          <w:szCs w:val="20"/>
          <w:color w:val="auto"/>
        </w:rPr>
      </w:pPr>
    </w:p>
    <w:p>
      <w:pPr>
        <w:jc w:val="both"/>
        <w:ind w:firstLine="954"/>
        <w:spacing w:after="0" w:line="233" w:lineRule="auto"/>
        <w:rPr>
          <w:sz w:val="20"/>
          <w:szCs w:val="20"/>
          <w:color w:val="auto"/>
        </w:rPr>
      </w:pPr>
      <w:r>
        <w:rPr>
          <w:rFonts w:ascii="Arial" w:cs="Arial" w:eastAsia="Arial" w:hAnsi="Arial"/>
          <w:sz w:val="20"/>
          <w:szCs w:val="20"/>
          <w:color w:val="auto"/>
        </w:rPr>
        <w:t xml:space="preserve">Section 11.02 </w:t>
      </w:r>
      <w:r>
        <w:rPr>
          <w:rFonts w:ascii="Arial" w:cs="Arial" w:eastAsia="Arial" w:hAnsi="Arial"/>
          <w:sz w:val="20"/>
          <w:szCs w:val="20"/>
          <w:u w:val="single" w:color="auto"/>
          <w:color w:val="auto"/>
        </w:rPr>
        <w:t>Notices; Effectiveness; Electronic Communication</w:t>
      </w:r>
      <w:r>
        <w:rPr>
          <w:rFonts w:ascii="Arial" w:cs="Arial" w:eastAsia="Arial" w:hAnsi="Arial"/>
          <w:sz w:val="20"/>
          <w:szCs w:val="20"/>
          <w:color w:val="auto"/>
        </w:rPr>
        <w:t xml:space="preserve">. (a) </w:t>
      </w:r>
      <w:r>
        <w:rPr>
          <w:rFonts w:ascii="Arial" w:cs="Arial" w:eastAsia="Arial" w:hAnsi="Arial"/>
          <w:sz w:val="20"/>
          <w:szCs w:val="20"/>
          <w:u w:val="single" w:color="auto"/>
          <w:color w:val="auto"/>
        </w:rPr>
        <w:t>Notices Generally</w:t>
      </w:r>
      <w:r>
        <w:rPr>
          <w:rFonts w:ascii="Arial" w:cs="Arial" w:eastAsia="Arial" w:hAnsi="Arial"/>
          <w:sz w:val="20"/>
          <w:szCs w:val="20"/>
          <w:color w:val="auto"/>
        </w:rPr>
        <w:t xml:space="preserve">. Except in the case of notices and other communications expressly permitted to be given by telephone (and except as provided in </w:t>
      </w:r>
      <w:r>
        <w:rPr>
          <w:rFonts w:ascii="Arial" w:cs="Arial" w:eastAsia="Arial" w:hAnsi="Arial"/>
          <w:sz w:val="20"/>
          <w:szCs w:val="20"/>
          <w:u w:val="single" w:color="auto"/>
          <w:color w:val="auto"/>
        </w:rPr>
        <w:t>Section 10.03</w:t>
      </w:r>
      <w:r>
        <w:rPr>
          <w:rFonts w:ascii="Arial" w:cs="Arial" w:eastAsia="Arial" w:hAnsi="Arial"/>
          <w:sz w:val="20"/>
          <w:szCs w:val="20"/>
          <w:color w:val="auto"/>
        </w:rPr>
        <w:t>), all notices and other communications provided for herein will be in writing and will be delivered by hand or overnight courier service, mailed by certified or registered mail or sent by fax or e-mail as follows, and all notices and other communications expressly permitted hereunder to be given by telephone will be made to the applicable telephone number, as follows:</w:t>
      </w:r>
    </w:p>
    <w:p>
      <w:pPr>
        <w:spacing w:after="0" w:line="156" w:lineRule="exact"/>
        <w:rPr>
          <w:sz w:val="20"/>
          <w:szCs w:val="20"/>
          <w:color w:val="auto"/>
        </w:rPr>
      </w:pPr>
    </w:p>
    <w:p>
      <w:pPr>
        <w:ind w:left="640" w:firstLine="638"/>
        <w:spacing w:after="0" w:line="239" w:lineRule="auto"/>
        <w:tabs>
          <w:tab w:leader="none" w:pos="1912" w:val="left"/>
        </w:tabs>
        <w:numPr>
          <w:ilvl w:val="0"/>
          <w:numId w:val="252"/>
        </w:numPr>
        <w:rPr>
          <w:rFonts w:ascii="Arial" w:cs="Arial" w:eastAsia="Arial" w:hAnsi="Arial"/>
          <w:sz w:val="21"/>
          <w:szCs w:val="21"/>
          <w:color w:val="auto"/>
        </w:rPr>
      </w:pPr>
      <w:r>
        <w:rPr>
          <w:rFonts w:ascii="Arial" w:cs="Arial" w:eastAsia="Arial" w:hAnsi="Arial"/>
          <w:sz w:val="21"/>
          <w:szCs w:val="21"/>
          <w:color w:val="auto"/>
        </w:rPr>
        <w:t xml:space="preserve">if to any Loan Party or the Administrative Agent, to the address, fax number, e-mail address or telephone number specified for such Person on </w:t>
      </w:r>
      <w:r>
        <w:rPr>
          <w:rFonts w:ascii="Arial" w:cs="Arial" w:eastAsia="Arial" w:hAnsi="Arial"/>
          <w:sz w:val="21"/>
          <w:szCs w:val="21"/>
          <w:u w:val="single" w:color="auto"/>
          <w:color w:val="auto"/>
        </w:rPr>
        <w:t>Schedule 11.02</w:t>
      </w:r>
      <w:r>
        <w:rPr>
          <w:rFonts w:ascii="Arial" w:cs="Arial" w:eastAsia="Arial" w:hAnsi="Arial"/>
          <w:sz w:val="21"/>
          <w:szCs w:val="21"/>
          <w:color w:val="auto"/>
        </w:rPr>
        <w:t>;</w:t>
      </w:r>
    </w:p>
    <w:p>
      <w:pPr>
        <w:spacing w:after="0" w:line="155" w:lineRule="exact"/>
        <w:rPr>
          <w:rFonts w:ascii="Arial" w:cs="Arial" w:eastAsia="Arial" w:hAnsi="Arial"/>
          <w:sz w:val="21"/>
          <w:szCs w:val="21"/>
          <w:color w:val="auto"/>
        </w:rPr>
      </w:pPr>
    </w:p>
    <w:p>
      <w:pPr>
        <w:ind w:left="640" w:firstLine="638"/>
        <w:spacing w:after="0" w:line="239" w:lineRule="auto"/>
        <w:tabs>
          <w:tab w:leader="none" w:pos="1912" w:val="left"/>
        </w:tabs>
        <w:numPr>
          <w:ilvl w:val="0"/>
          <w:numId w:val="252"/>
        </w:numPr>
        <w:rPr>
          <w:rFonts w:ascii="Arial" w:cs="Arial" w:eastAsia="Arial" w:hAnsi="Arial"/>
          <w:sz w:val="21"/>
          <w:szCs w:val="21"/>
          <w:color w:val="auto"/>
        </w:rPr>
      </w:pPr>
      <w:r>
        <w:rPr>
          <w:rFonts w:ascii="Arial" w:cs="Arial" w:eastAsia="Arial" w:hAnsi="Arial"/>
          <w:sz w:val="21"/>
          <w:szCs w:val="21"/>
          <w:color w:val="auto"/>
        </w:rPr>
        <w:t>if to any other Lender, to the address, fax number, e-mail address or telephone number specified in its Administrative Questionnaire; and</w:t>
      </w:r>
    </w:p>
    <w:p>
      <w:pPr>
        <w:spacing w:after="0" w:line="155" w:lineRule="exact"/>
        <w:rPr>
          <w:rFonts w:ascii="Arial" w:cs="Arial" w:eastAsia="Arial" w:hAnsi="Arial"/>
          <w:sz w:val="21"/>
          <w:szCs w:val="21"/>
          <w:color w:val="auto"/>
        </w:rPr>
      </w:pPr>
    </w:p>
    <w:p>
      <w:pPr>
        <w:jc w:val="both"/>
        <w:ind w:left="640" w:firstLine="638"/>
        <w:spacing w:after="0" w:line="225" w:lineRule="auto"/>
        <w:tabs>
          <w:tab w:leader="none" w:pos="1912" w:val="left"/>
        </w:tabs>
        <w:numPr>
          <w:ilvl w:val="0"/>
          <w:numId w:val="252"/>
        </w:numPr>
        <w:rPr>
          <w:rFonts w:ascii="Arial" w:cs="Arial" w:eastAsia="Arial" w:hAnsi="Arial"/>
          <w:sz w:val="21"/>
          <w:szCs w:val="21"/>
          <w:color w:val="auto"/>
        </w:rPr>
      </w:pPr>
      <w:r>
        <w:rPr>
          <w:rFonts w:ascii="Arial" w:cs="Arial" w:eastAsia="Arial" w:hAnsi="Arial"/>
          <w:sz w:val="21"/>
          <w:szCs w:val="21"/>
          <w:color w:val="auto"/>
        </w:rPr>
        <w:t>if to any L/C Issuer, to it at its address, fax number, e-mail address or telephone number most recently specified by it in a notice delivered to the Administrative Agent and the Borrower (or, in the absence of any such notice, to the address, fax number, e-mail address or telephone number set forth in the Administrative Questionnaire of the Lender that is serving as such L/C Issuer or is an Affiliate thereof).</w:t>
      </w:r>
    </w:p>
    <w:p>
      <w:pPr>
        <w:spacing w:after="0" w:line="154" w:lineRule="exact"/>
        <w:rPr>
          <w:sz w:val="20"/>
          <w:szCs w:val="20"/>
          <w:color w:val="auto"/>
        </w:rPr>
      </w:pPr>
    </w:p>
    <w:p>
      <w:pPr>
        <w:jc w:val="both"/>
        <w:ind w:hanging="11"/>
        <w:spacing w:after="0" w:line="233" w:lineRule="auto"/>
        <w:rPr>
          <w:sz w:val="20"/>
          <w:szCs w:val="20"/>
          <w:color w:val="auto"/>
        </w:rPr>
      </w:pPr>
      <w:r>
        <w:rPr>
          <w:rFonts w:ascii="Arial" w:cs="Arial" w:eastAsia="Arial" w:hAnsi="Arial"/>
          <w:sz w:val="20"/>
          <w:szCs w:val="20"/>
          <w:color w:val="auto"/>
        </w:rPr>
        <w:t xml:space="preserve">Notices and other communications sent by hand or overnight courier service, or mailed by certified or registered mail, will be deemed to have been given when received; notices and other communications sent by fax will be deemed to have been given when sent (except that, if not given during normal business hours for the recipient, will be deemed to have been given at the opening of business on the next business day for the recipient). Notices and other communications delivered through electronic communications to the extent provided in </w:t>
      </w:r>
      <w:r>
        <w:rPr>
          <w:rFonts w:ascii="Arial" w:cs="Arial" w:eastAsia="Arial" w:hAnsi="Arial"/>
          <w:sz w:val="20"/>
          <w:szCs w:val="20"/>
          <w:u w:val="single" w:color="auto"/>
          <w:color w:val="auto"/>
        </w:rPr>
        <w:t>Section 10.03</w:t>
      </w:r>
      <w:r>
        <w:rPr>
          <w:rFonts w:ascii="Arial" w:cs="Arial" w:eastAsia="Arial" w:hAnsi="Arial"/>
          <w:sz w:val="20"/>
          <w:szCs w:val="20"/>
          <w:color w:val="auto"/>
        </w:rPr>
        <w:t xml:space="preserve"> will be effective as provided in such Section.</w:t>
      </w:r>
    </w:p>
    <w:p>
      <w:pPr>
        <w:spacing w:after="0" w:line="156" w:lineRule="exact"/>
        <w:rPr>
          <w:sz w:val="20"/>
          <w:szCs w:val="20"/>
          <w:color w:val="auto"/>
        </w:rPr>
      </w:pPr>
    </w:p>
    <w:p>
      <w:pPr>
        <w:ind w:left="1500" w:hanging="464"/>
        <w:spacing w:after="0"/>
        <w:tabs>
          <w:tab w:leader="none" w:pos="1500" w:val="left"/>
        </w:tabs>
        <w:numPr>
          <w:ilvl w:val="0"/>
          <w:numId w:val="253"/>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Reserved</w:t>
      </w:r>
      <w:r>
        <w:rPr>
          <w:rFonts w:ascii="Arial" w:cs="Arial" w:eastAsia="Arial" w:hAnsi="Arial"/>
          <w:sz w:val="21"/>
          <w:szCs w:val="21"/>
          <w:color w:val="auto"/>
        </w:rPr>
        <w:t>.</w:t>
      </w:r>
    </w:p>
    <w:p>
      <w:pPr>
        <w:spacing w:after="0" w:line="182" w:lineRule="exact"/>
        <w:rPr>
          <w:rFonts w:ascii="Arial" w:cs="Arial" w:eastAsia="Arial" w:hAnsi="Arial"/>
          <w:sz w:val="21"/>
          <w:szCs w:val="21"/>
          <w:u w:val="single" w:color="auto"/>
          <w:color w:val="auto"/>
        </w:rPr>
      </w:pPr>
    </w:p>
    <w:p>
      <w:pPr>
        <w:ind w:left="1480" w:hanging="444"/>
        <w:spacing w:after="0"/>
        <w:tabs>
          <w:tab w:leader="none" w:pos="1480" w:val="left"/>
        </w:tabs>
        <w:numPr>
          <w:ilvl w:val="0"/>
          <w:numId w:val="253"/>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Reserved</w:t>
      </w:r>
      <w:r>
        <w:rPr>
          <w:rFonts w:ascii="Arial" w:cs="Arial" w:eastAsia="Arial" w:hAnsi="Arial"/>
          <w:sz w:val="21"/>
          <w:szCs w:val="21"/>
          <w:color w:val="auto"/>
        </w:rPr>
        <w:t>.</w:t>
      </w:r>
    </w:p>
    <w:p>
      <w:pPr>
        <w:spacing w:after="0" w:line="182" w:lineRule="exact"/>
        <w:rPr>
          <w:rFonts w:ascii="Arial" w:cs="Arial" w:eastAsia="Arial" w:hAnsi="Arial"/>
          <w:sz w:val="21"/>
          <w:szCs w:val="21"/>
          <w:u w:val="single" w:color="auto"/>
          <w:color w:val="auto"/>
        </w:rPr>
      </w:pPr>
    </w:p>
    <w:p>
      <w:pPr>
        <w:jc w:val="both"/>
        <w:ind w:firstLine="1036"/>
        <w:spacing w:after="0" w:line="220" w:lineRule="auto"/>
        <w:tabs>
          <w:tab w:leader="none" w:pos="1533" w:val="left"/>
        </w:tabs>
        <w:numPr>
          <w:ilvl w:val="0"/>
          <w:numId w:val="253"/>
        </w:numPr>
        <w:rPr>
          <w:rFonts w:ascii="Arial" w:cs="Arial" w:eastAsia="Arial" w:hAnsi="Arial"/>
          <w:sz w:val="21"/>
          <w:szCs w:val="21"/>
          <w:color w:val="auto"/>
        </w:rPr>
      </w:pPr>
      <w:r>
        <w:rPr>
          <w:rFonts w:ascii="Arial" w:cs="Arial" w:eastAsia="Arial" w:hAnsi="Arial"/>
          <w:sz w:val="21"/>
          <w:szCs w:val="21"/>
          <w:u w:val="single" w:color="auto"/>
          <w:color w:val="auto"/>
        </w:rPr>
        <w:t>Change of Address, Etc</w:t>
      </w:r>
      <w:r>
        <w:rPr>
          <w:rFonts w:ascii="Arial" w:cs="Arial" w:eastAsia="Arial" w:hAnsi="Arial"/>
          <w:sz w:val="21"/>
          <w:szCs w:val="21"/>
          <w:color w:val="auto"/>
        </w:rPr>
        <w:t>. Each of the Loan Parties and the Administrative Agent and any L/C Issuer may change its address, fax number, telephone number or e-mail address for notices and other communications hereunder by notice to the other parties hereto. Each other Lender may change its address, fax number, telephone number or e-mail address for notices and other communications hereunder by notice to the Loan Parties, the Administrative Agent and each L/C Issuer. In addition, each Lender and each L/C Issuer agrees to notify the Administrative Agent from time to time to ensure that the Administrative Agent has on record (i) an effective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126</w:t>
      </w:r>
    </w:p>
    <w:p>
      <w:pPr>
        <w:sectPr>
          <w:pgSz w:w="11900" w:h="16838" w:orient="portrait"/>
          <w:cols w:equalWidth="0" w:num="1">
            <w:col w:w="11200"/>
          </w:cols>
          <w:pgMar w:left="320" w:top="1152" w:right="379" w:bottom="1440" w:gutter="0" w:footer="0" w:header="0"/>
        </w:sectPr>
      </w:pPr>
    </w:p>
    <w:bookmarkStart w:id="265" w:name="page266"/>
    <w:bookmarkEnd w:id="265"/>
    <w:p>
      <w:pPr>
        <w:spacing w:after="0" w:line="239" w:lineRule="auto"/>
        <w:rPr>
          <w:sz w:val="20"/>
          <w:szCs w:val="20"/>
          <w:color w:val="auto"/>
        </w:rPr>
      </w:pPr>
      <w:r>
        <w:rPr>
          <w:rFonts w:ascii="Arial" w:cs="Arial" w:eastAsia="Arial" w:hAnsi="Arial"/>
          <w:sz w:val="21"/>
          <w:szCs w:val="21"/>
          <w:color w:val="auto"/>
        </w:rPr>
        <w:t>contact name, telephone number, fax number and e-mail address to which notices and other communications may be sent and (ii) accurate wire instructions for such Lender or such L/C Issuer.</w:t>
      </w:r>
    </w:p>
    <w:p>
      <w:pPr>
        <w:spacing w:after="0" w:line="155" w:lineRule="exact"/>
        <w:rPr>
          <w:sz w:val="20"/>
          <w:szCs w:val="20"/>
          <w:color w:val="auto"/>
        </w:rPr>
      </w:pPr>
    </w:p>
    <w:p>
      <w:pPr>
        <w:jc w:val="both"/>
        <w:ind w:firstLine="1036"/>
        <w:spacing w:after="0" w:line="228" w:lineRule="auto"/>
        <w:tabs>
          <w:tab w:leader="none" w:pos="1524" w:val="left"/>
        </w:tabs>
        <w:numPr>
          <w:ilvl w:val="0"/>
          <w:numId w:val="254"/>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Reliance by Agent, L/C Issuers and Lenders</w:t>
      </w:r>
      <w:r>
        <w:rPr>
          <w:rFonts w:ascii="Arial" w:cs="Arial" w:eastAsia="Arial" w:hAnsi="Arial"/>
          <w:sz w:val="20"/>
          <w:szCs w:val="20"/>
          <w:color w:val="auto"/>
        </w:rPr>
        <w:t>. The Administrative Agent, the L/C Issuers and the Lenders will be entitled to rely and act upon any notices (including telephonic Committed Loan Notices and Bid Requests) purportedly given by or on behalf of the Borrower or any other Loan Party even if (i) such notices were not made in a manner specified herein, were incomplete or were not preceded or followed by any other form of notice specified herein or (ii) the terms thereof, as understood by the recipient, varied from any confirmation thereof. The Borrower will indemnify the Administrative Agent, each L/C Issuer, each Lender and their respective Related Parties from all losses, costs, expenses and liabilities resulting from the reliance by such Person on any notice purportedly given by or on behalf of the Borrower or any other Loan Party. All telephonic notices to and other telephonic communications with the Administrative Agent may be recorded by the Administrative Agent, and each of the parties hereto hereby consents to such recording.</w:t>
      </w:r>
    </w:p>
    <w:p>
      <w:pPr>
        <w:spacing w:after="0" w:line="154" w:lineRule="exact"/>
        <w:rPr>
          <w:sz w:val="20"/>
          <w:szCs w:val="20"/>
          <w:color w:val="auto"/>
        </w:rPr>
      </w:pPr>
    </w:p>
    <w:p>
      <w:pPr>
        <w:jc w:val="both"/>
        <w:ind w:firstLine="954"/>
        <w:spacing w:after="0" w:line="238" w:lineRule="auto"/>
        <w:rPr>
          <w:sz w:val="20"/>
          <w:szCs w:val="20"/>
          <w:color w:val="auto"/>
        </w:rPr>
      </w:pPr>
      <w:r>
        <w:rPr>
          <w:rFonts w:ascii="Arial" w:cs="Arial" w:eastAsia="Arial" w:hAnsi="Arial"/>
          <w:sz w:val="19"/>
          <w:szCs w:val="19"/>
          <w:color w:val="auto"/>
        </w:rPr>
        <w:t xml:space="preserve">Section 11.03 </w:t>
      </w:r>
      <w:r>
        <w:rPr>
          <w:rFonts w:ascii="Arial" w:cs="Arial" w:eastAsia="Arial" w:hAnsi="Arial"/>
          <w:sz w:val="19"/>
          <w:szCs w:val="19"/>
          <w:u w:val="single" w:color="auto"/>
          <w:color w:val="auto"/>
        </w:rPr>
        <w:t>No Waiver; Cumulative Remedies; Enforcement</w:t>
      </w:r>
      <w:r>
        <w:rPr>
          <w:rFonts w:ascii="Arial" w:cs="Arial" w:eastAsia="Arial" w:hAnsi="Arial"/>
          <w:sz w:val="19"/>
          <w:szCs w:val="19"/>
          <w:color w:val="auto"/>
        </w:rPr>
        <w:t xml:space="preserve">. No failure by any Lender, any L/C Issuer or the Administrative Agent to exercise, and no delay by any such Person in exercising, any right, remedy, power or privilege hereunder or under any other Loan Document will operate as a waiver thereof; nor will any single or partial exercise of any right, remedy, power or privilege hereunder or under any other Loan Document preclude any other or further exercise thereof or the exercise of any other right, remedy, power or privilege. The rights, remedies, powers and privileges of the Administrative Agent, the L/C Issuers and the Lenders provided hereunder or under the other Loan Documents are cumulative and not exclusive of any rights, remedies, powers and privileges that they would otherwise have. No waiver of any provision of any Loan Document or consent to any departure by any Loan Party therefrom shall in any event be effective unless the same shall be permitted by </w:t>
      </w:r>
      <w:r>
        <w:rPr>
          <w:rFonts w:ascii="Arial" w:cs="Arial" w:eastAsia="Arial" w:hAnsi="Arial"/>
          <w:sz w:val="19"/>
          <w:szCs w:val="19"/>
          <w:u w:val="single" w:color="auto"/>
          <w:color w:val="auto"/>
        </w:rPr>
        <w:t>Section 11.01</w:t>
      </w:r>
      <w:r>
        <w:rPr>
          <w:rFonts w:ascii="Arial" w:cs="Arial" w:eastAsia="Arial" w:hAnsi="Arial"/>
          <w:sz w:val="19"/>
          <w:szCs w:val="19"/>
          <w:color w:val="auto"/>
        </w:rPr>
        <w:t>, and then such waiver or consent shall be effective only in the specific instance and for the specific purpose for which given. Without limiting the generality of the foregoing, the execution and delivery of this Agreement or the making of a Credit Extension shall not be construed as a waiver of any Default, regardless of whether the Administrative Agent, any L/C Issuer, any Lender or any Related Party of any of the foregoing may have had notice or knowledge of such Default at the time.</w:t>
      </w:r>
    </w:p>
    <w:p>
      <w:pPr>
        <w:spacing w:after="0" w:line="156" w:lineRule="exact"/>
        <w:rPr>
          <w:sz w:val="20"/>
          <w:szCs w:val="20"/>
          <w:color w:val="auto"/>
        </w:rPr>
      </w:pPr>
    </w:p>
    <w:p>
      <w:pPr>
        <w:jc w:val="both"/>
        <w:ind w:firstLine="954"/>
        <w:spacing w:after="0" w:line="226" w:lineRule="auto"/>
        <w:rPr>
          <w:sz w:val="20"/>
          <w:szCs w:val="20"/>
          <w:color w:val="auto"/>
        </w:rPr>
      </w:pPr>
      <w:r>
        <w:rPr>
          <w:rFonts w:ascii="Arial" w:cs="Arial" w:eastAsia="Arial" w:hAnsi="Arial"/>
          <w:sz w:val="20"/>
          <w:szCs w:val="20"/>
          <w:color w:val="auto"/>
        </w:rPr>
        <w:t xml:space="preserve">Section 11.04 </w:t>
      </w:r>
      <w:r>
        <w:rPr>
          <w:rFonts w:ascii="Arial" w:cs="Arial" w:eastAsia="Arial" w:hAnsi="Arial"/>
          <w:sz w:val="20"/>
          <w:szCs w:val="20"/>
          <w:u w:val="single" w:color="auto"/>
          <w:color w:val="auto"/>
        </w:rPr>
        <w:t>Expenses; Indemnity; Damage Waiver</w:t>
      </w:r>
      <w:r>
        <w:rPr>
          <w:rFonts w:ascii="Arial" w:cs="Arial" w:eastAsia="Arial" w:hAnsi="Arial"/>
          <w:sz w:val="20"/>
          <w:szCs w:val="20"/>
          <w:color w:val="auto"/>
        </w:rPr>
        <w:t xml:space="preserve">. (a) </w:t>
      </w:r>
      <w:r>
        <w:rPr>
          <w:rFonts w:ascii="Arial" w:cs="Arial" w:eastAsia="Arial" w:hAnsi="Arial"/>
          <w:sz w:val="20"/>
          <w:szCs w:val="20"/>
          <w:u w:val="single" w:color="auto"/>
          <w:color w:val="auto"/>
        </w:rPr>
        <w:t>Costs and Expenses</w:t>
      </w:r>
      <w:r>
        <w:rPr>
          <w:rFonts w:ascii="Arial" w:cs="Arial" w:eastAsia="Arial" w:hAnsi="Arial"/>
          <w:sz w:val="20"/>
          <w:szCs w:val="20"/>
          <w:color w:val="auto"/>
        </w:rPr>
        <w:t>. The Borrower and each other Loan Party will pay (i) all reasonable and documented out of pocket expenses incurred by the Administrative Agent, the Arrangers and their respective Affiliates (including the reasonable and documented fees, charges and disbursements of counsel for the Administrative Agent and the Arrangers, which shall be limited to Latham &amp; Watkins LLP and, if deemed reasonably necessary by the Administrative Agent or the Arrangers, each jurisdiction of organization of any other Loan Party), in connection with the structuring, arrangement, syndication, preparation, negotiation, execution, delivery and administration of this Agreement and the other Loan Documents and the credit facility provided for herein and any amendments, modifications or waivers of the provisions hereof or thereof (whether or not the transactions contemplated hereby or thereby shall be consummated), (ii) all reasonable and documented out of pocket expenses incurred by the L/C Issuers in connection with the issuance, amendment, renewal or extension of any Letter of Credit or any demand for payment thereunder and (iii) all reasonable and documented out of pocket expenses incurred by the Administrative Agent, the Arrangers and their respective Affiliates, the 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127</w:t>
      </w:r>
    </w:p>
    <w:p>
      <w:pPr>
        <w:sectPr>
          <w:pgSz w:w="11900" w:h="16838" w:orient="portrait"/>
          <w:cols w:equalWidth="0" w:num="1">
            <w:col w:w="11200"/>
          </w:cols>
          <w:pgMar w:left="320" w:top="1152" w:right="379" w:bottom="1440" w:gutter="0" w:footer="0" w:header="0"/>
        </w:sectPr>
      </w:pPr>
    </w:p>
    <w:bookmarkStart w:id="266" w:name="page267"/>
    <w:bookmarkEnd w:id="266"/>
    <w:p>
      <w:pPr>
        <w:jc w:val="both"/>
        <w:spacing w:after="0" w:line="219" w:lineRule="auto"/>
        <w:rPr>
          <w:sz w:val="20"/>
          <w:szCs w:val="20"/>
          <w:color w:val="auto"/>
        </w:rPr>
      </w:pPr>
      <w:r>
        <w:rPr>
          <w:rFonts w:ascii="Arial" w:cs="Arial" w:eastAsia="Arial" w:hAnsi="Arial"/>
          <w:sz w:val="21"/>
          <w:szCs w:val="21"/>
          <w:color w:val="auto"/>
        </w:rPr>
        <w:t xml:space="preserve">C Issuers and the Lenders (including the reasonable fees, disbursements and other charges of counsel, which shall be limited to one primary counsel and, if deemed reasonably necessary by the Administrative Agent, the Arrangers, the Lenders or the L/C Issuers, each jurisdiction of organization of any other Loan Party (and, solely in the case of an actual or perceived conflict of interest, one additional counsel (and one additional local counsel in each such jurisdiction) to each group of affected parties that are similarly situated, taken as a whole) in connection with the enforcement or protection of their respective rights in connection with this Agreement and the other Loan Documents and the credit facility provided for herein, including their rights under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11.04</w:t>
      </w:r>
      <w:r>
        <w:rPr>
          <w:rFonts w:ascii="Arial" w:cs="Arial" w:eastAsia="Arial" w:hAnsi="Arial"/>
          <w:sz w:val="21"/>
          <w:szCs w:val="21"/>
          <w:color w:val="auto"/>
        </w:rPr>
        <w:t>.</w:t>
      </w:r>
    </w:p>
    <w:p>
      <w:pPr>
        <w:spacing w:after="0" w:line="154" w:lineRule="exact"/>
        <w:rPr>
          <w:sz w:val="20"/>
          <w:szCs w:val="20"/>
          <w:color w:val="auto"/>
        </w:rPr>
      </w:pPr>
    </w:p>
    <w:p>
      <w:pPr>
        <w:jc w:val="both"/>
        <w:ind w:firstLine="1036"/>
        <w:spacing w:after="0" w:line="234" w:lineRule="auto"/>
        <w:tabs>
          <w:tab w:leader="none" w:pos="1582" w:val="left"/>
        </w:tabs>
        <w:numPr>
          <w:ilvl w:val="1"/>
          <w:numId w:val="255"/>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Indemnification by the Borrower</w:t>
      </w:r>
      <w:r>
        <w:rPr>
          <w:rFonts w:ascii="Arial" w:cs="Arial" w:eastAsia="Arial" w:hAnsi="Arial"/>
          <w:sz w:val="19"/>
          <w:szCs w:val="19"/>
          <w:color w:val="auto"/>
        </w:rPr>
        <w:t>. The Borrower and the other Loan Parties will indemnify the Administrative Agent (and any sub-agent thereof), each Arranger, each Co-Syndication Agent, each Lender, each L/C Issuer and each Related Party of any of the foregoing Persons and the successors and assigns of each of the foregoing (each an “</w:t>
      </w:r>
      <w:r>
        <w:rPr>
          <w:rFonts w:ascii="Arial" w:cs="Arial" w:eastAsia="Arial" w:hAnsi="Arial"/>
          <w:sz w:val="19"/>
          <w:szCs w:val="19"/>
          <w:u w:val="single" w:color="auto"/>
          <w:color w:val="auto"/>
        </w:rPr>
        <w:t>Indemnitee</w:t>
      </w:r>
      <w:r>
        <w:rPr>
          <w:rFonts w:ascii="Arial" w:cs="Arial" w:eastAsia="Arial" w:hAnsi="Arial"/>
          <w:sz w:val="19"/>
          <w:szCs w:val="19"/>
          <w:color w:val="auto"/>
        </w:rPr>
        <w:t>”) from and against, and hold each Indemnitee harmless from, any and all losses, claims, damages, liabilities and related expenses (including the reasonable fees, charges and disbursements of counsel, which shall be limited to one primary counsel, and, if deemed necessary by the Indemnitees, one local counsel in each other appropriate jurisdiction and, solely in the case of an actual or perceived conflict of interest, one additional counsel (and one additional local counsel in each such jurisdiction) to each group of affected Indemnitees that are similarly situated, taken as a whole) arising out of, in connection with, or as a result of (i) the preparation, execution or delivery of this Agreement, any other Loan Document or any agreement or instrument contemplated hereby or thereby, the performance by the parties hereto of their respective obligations hereunder or thereunder, the consummation of the transactions contemplated hereby or thereby, or, in the case of the Administrative Agent (and any sub-agent thereof) and its Related Parties only, the administration of this Agreement and the other Loan Documents, (ii) any Loan, Commitment, Letter of Credit or the use or proposed use of the proceeds therefrom (including any refusal by any L/C Issuer to honor a demand for payment under a Letter of Credit if the documents presented in connection with such demand do not strictly comply with the terms of such Letter of Credit),</w:t>
      </w:r>
    </w:p>
    <w:p>
      <w:pPr>
        <w:spacing w:after="0" w:line="3" w:lineRule="exact"/>
        <w:rPr>
          <w:rFonts w:ascii="Arial" w:cs="Arial" w:eastAsia="Arial" w:hAnsi="Arial"/>
          <w:sz w:val="19"/>
          <w:szCs w:val="19"/>
          <w:u w:val="single" w:color="auto"/>
          <w:color w:val="auto"/>
        </w:rPr>
      </w:pPr>
    </w:p>
    <w:p>
      <w:pPr>
        <w:jc w:val="both"/>
        <w:ind w:firstLine="6"/>
        <w:spacing w:after="0" w:line="224" w:lineRule="auto"/>
        <w:tabs>
          <w:tab w:leader="none" w:pos="408" w:val="left"/>
        </w:tabs>
        <w:numPr>
          <w:ilvl w:val="0"/>
          <w:numId w:val="256"/>
        </w:numPr>
        <w:rPr>
          <w:rFonts w:ascii="Arial" w:cs="Arial" w:eastAsia="Arial" w:hAnsi="Arial"/>
          <w:sz w:val="20"/>
          <w:szCs w:val="20"/>
          <w:color w:val="auto"/>
        </w:rPr>
      </w:pPr>
      <w:r>
        <w:rPr>
          <w:rFonts w:ascii="Arial" w:cs="Arial" w:eastAsia="Arial" w:hAnsi="Arial"/>
          <w:sz w:val="20"/>
          <w:szCs w:val="20"/>
          <w:color w:val="auto"/>
        </w:rPr>
        <w:t xml:space="preserve">any release of Hazardous Materials on or from any property currently owned or operated by the Borrower or any of its Subsidiaries, or any Environmental Liability arising from any connection with Borrower or any of its Subsidiaries, or (iv) any actual or prospective claim, litigation, investigation or proceeding relating to any of the foregoing, whether based on contract, tort or any other theory, whether brought by a third party or by a Loan Party, or any Affiliate thereof, and regardless of whether any Indemnitee is a party thereto;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indemnity will not, as to any Indemnitee, apply to (A) losses, claims, damages, liabilities or related expenses to the extent they (x) are determined by a court of competent jurisdiction by final and nonappealable judgment to have resulted from the gross negligence, willful misconduct or bad faith of such Indemnitee or any of its Related Indemnified Parties or (y) result from a claim brought by a Loan Party against such Indemnitee for a material breach in bad faith of such Indemnitee’s obligations hereunder or under any other Loan Document, but only if such Loan Party has obtained a final and nonappealable judgment in its favor on such claim as determined by a court of competent jurisdiction, or (B) a claim of any Indemnitee solely against one or more Indemnitees (other than a dispute involving a claim against the Administrative Agent, any Co-Syndication Agent, any Arranger or any L/C Issuer) not arising out of or in connection with any act or omission of the Borrower or its Subsidiaries or any of their respective Related Parties. Notwithstanding any of the foregoing provisions to the contrary, this </w:t>
      </w:r>
      <w:r>
        <w:rPr>
          <w:rFonts w:ascii="Arial" w:cs="Arial" w:eastAsia="Arial" w:hAnsi="Arial"/>
          <w:sz w:val="20"/>
          <w:szCs w:val="20"/>
          <w:u w:val="single" w:color="auto"/>
          <w:color w:val="auto"/>
        </w:rPr>
        <w:t>Section 11.04(b)</w:t>
      </w:r>
      <w:r>
        <w:rPr>
          <w:rFonts w:ascii="Arial" w:cs="Arial" w:eastAsia="Arial" w:hAnsi="Arial"/>
          <w:sz w:val="20"/>
          <w:szCs w:val="20"/>
          <w:color w:val="auto"/>
        </w:rPr>
        <w:t xml:space="preserve"> shall not apply with respect to Taxes, other than any Taxes that represent losses, claims or damages arising from a non-Tax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128</w:t>
      </w:r>
    </w:p>
    <w:p>
      <w:pPr>
        <w:sectPr>
          <w:pgSz w:w="11900" w:h="16838" w:orient="portrait"/>
          <w:cols w:equalWidth="0" w:num="1">
            <w:col w:w="11200"/>
          </w:cols>
          <w:pgMar w:left="320" w:top="1152" w:right="379" w:bottom="1440" w:gutter="0" w:footer="0" w:header="0"/>
        </w:sectPr>
      </w:pPr>
    </w:p>
    <w:bookmarkStart w:id="267" w:name="page268"/>
    <w:bookmarkEnd w:id="267"/>
    <w:p>
      <w:pPr>
        <w:jc w:val="both"/>
        <w:ind w:firstLine="1036"/>
        <w:spacing w:after="0" w:line="241" w:lineRule="auto"/>
        <w:tabs>
          <w:tab w:leader="none" w:pos="1487" w:val="left"/>
        </w:tabs>
        <w:numPr>
          <w:ilvl w:val="0"/>
          <w:numId w:val="257"/>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Reimbursement by Lenders</w:t>
      </w:r>
      <w:r>
        <w:rPr>
          <w:rFonts w:ascii="Arial" w:cs="Arial" w:eastAsia="Arial" w:hAnsi="Arial"/>
          <w:sz w:val="19"/>
          <w:szCs w:val="19"/>
          <w:color w:val="auto"/>
        </w:rPr>
        <w:t xml:space="preserve">. To the extent that the Loan Parties for any reason fail to indefeasibly pay any amount required under </w:t>
      </w:r>
      <w:r>
        <w:rPr>
          <w:rFonts w:ascii="Arial" w:cs="Arial" w:eastAsia="Arial" w:hAnsi="Arial"/>
          <w:sz w:val="19"/>
          <w:szCs w:val="19"/>
          <w:u w:val="single" w:color="auto"/>
          <w:color w:val="auto"/>
        </w:rPr>
        <w:t>Section 11.04(a)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11.04(b)</w:t>
      </w:r>
      <w:r>
        <w:rPr>
          <w:rFonts w:ascii="Arial" w:cs="Arial" w:eastAsia="Arial" w:hAnsi="Arial"/>
          <w:sz w:val="19"/>
          <w:szCs w:val="19"/>
          <w:color w:val="auto"/>
        </w:rPr>
        <w:t xml:space="preserve"> to be paid by them to the Administrative Agent (or any sub-agent thereof), any L/C Issuer or any Related Party of any of the foregoing Persons (each, an “</w:t>
      </w:r>
      <w:r>
        <w:rPr>
          <w:rFonts w:ascii="Arial" w:cs="Arial" w:eastAsia="Arial" w:hAnsi="Arial"/>
          <w:sz w:val="19"/>
          <w:szCs w:val="19"/>
          <w:u w:val="single" w:color="auto"/>
          <w:color w:val="auto"/>
        </w:rPr>
        <w:t>Agent-Related Person</w:t>
      </w:r>
      <w:r>
        <w:rPr>
          <w:rFonts w:ascii="Arial" w:cs="Arial" w:eastAsia="Arial" w:hAnsi="Arial"/>
          <w:sz w:val="19"/>
          <w:szCs w:val="19"/>
          <w:color w:val="auto"/>
        </w:rPr>
        <w:t xml:space="preserve">”), each Lender severally agrees to pay to such Agent-Related Person such Lender’s Applicable Percentage (determined as of the time that the applicable unreimbursed expense or indemnity payment is sought) of such unpaid amount;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unreimbursed expense or indemnified loss, claim, damage, liability or related expense, as the case may be, was incurred by or asserted against such Agent-Related Person in its capacity as such, or against any Related Party of any of the foregoing acting for such Agent-Related Person in connection with such capacity. The obligations of the Lenders under this </w:t>
      </w:r>
      <w:r>
        <w:rPr>
          <w:rFonts w:ascii="Arial" w:cs="Arial" w:eastAsia="Arial" w:hAnsi="Arial"/>
          <w:sz w:val="19"/>
          <w:szCs w:val="19"/>
          <w:u w:val="single" w:color="auto"/>
          <w:color w:val="auto"/>
        </w:rPr>
        <w:t>Section 11.04(c)</w:t>
      </w:r>
      <w:r>
        <w:rPr>
          <w:rFonts w:ascii="Arial" w:cs="Arial" w:eastAsia="Arial" w:hAnsi="Arial"/>
          <w:sz w:val="19"/>
          <w:szCs w:val="19"/>
          <w:color w:val="auto"/>
        </w:rPr>
        <w:t xml:space="preserve"> are subject to the provisions of </w:t>
      </w:r>
      <w:r>
        <w:rPr>
          <w:rFonts w:ascii="Arial" w:cs="Arial" w:eastAsia="Arial" w:hAnsi="Arial"/>
          <w:sz w:val="19"/>
          <w:szCs w:val="19"/>
          <w:u w:val="single" w:color="auto"/>
          <w:color w:val="auto"/>
        </w:rPr>
        <w:t>Section 2.12(d)</w:t>
      </w:r>
      <w:r>
        <w:rPr>
          <w:rFonts w:ascii="Arial" w:cs="Arial" w:eastAsia="Arial" w:hAnsi="Arial"/>
          <w:sz w:val="19"/>
          <w:szCs w:val="19"/>
          <w:color w:val="auto"/>
        </w:rPr>
        <w:t>.</w:t>
      </w:r>
    </w:p>
    <w:p>
      <w:pPr>
        <w:spacing w:after="0" w:line="152" w:lineRule="exact"/>
        <w:rPr>
          <w:rFonts w:ascii="Arial" w:cs="Arial" w:eastAsia="Arial" w:hAnsi="Arial"/>
          <w:sz w:val="19"/>
          <w:szCs w:val="19"/>
          <w:u w:val="single" w:color="auto"/>
          <w:color w:val="auto"/>
        </w:rPr>
      </w:pPr>
    </w:p>
    <w:p>
      <w:pPr>
        <w:jc w:val="both"/>
        <w:ind w:firstLine="1036"/>
        <w:spacing w:after="0" w:line="236" w:lineRule="auto"/>
        <w:tabs>
          <w:tab w:leader="none" w:pos="1544" w:val="left"/>
        </w:tabs>
        <w:numPr>
          <w:ilvl w:val="0"/>
          <w:numId w:val="257"/>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Waiver of Consequential Damages, Etc</w:t>
      </w:r>
      <w:r>
        <w:rPr>
          <w:rFonts w:ascii="Arial" w:cs="Arial" w:eastAsia="Arial" w:hAnsi="Arial"/>
          <w:sz w:val="19"/>
          <w:szCs w:val="19"/>
          <w:color w:val="auto"/>
        </w:rPr>
        <w:t>. To the fullest extent permitted by applicable Law, (i) the Borrower and any Loan Party shall not assert, and the Borrower and each Loan Party hereby waives, any claim against the Administrative Agent, any Arranger, any Co-Syndication Agent, any L/C Issuer and any Lender, and any Related Party of any of the foregoing Persons (each such Person being called a “</w:t>
      </w:r>
      <w:r>
        <w:rPr>
          <w:rFonts w:ascii="Arial" w:cs="Arial" w:eastAsia="Arial" w:hAnsi="Arial"/>
          <w:sz w:val="19"/>
          <w:szCs w:val="19"/>
          <w:u w:val="single" w:color="auto"/>
          <w:color w:val="auto"/>
        </w:rPr>
        <w:t>Lender-Related Person</w:t>
      </w:r>
      <w:r>
        <w:rPr>
          <w:rFonts w:ascii="Arial" w:cs="Arial" w:eastAsia="Arial" w:hAnsi="Arial"/>
          <w:sz w:val="19"/>
          <w:szCs w:val="19"/>
          <w:color w:val="auto"/>
        </w:rPr>
        <w:t xml:space="preserve">”) for any losses, claims (including intraparty claims), demands, damages or liabilities of any kind arising from the use by others of information or other materials (including, without limitation, any personal data) obtained through telecommunications, electronic or other information transmission systems (including the Internet), except to the extent that such damages are determined by a court of competent jurisdiction by a final and nonappealable judgment to have resulted from the gross negligence or willful misconduct of such Lender-Related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in no event will any Lender-Related Person have any liability for indirect, special, incidental, consequential or punitive damages (as opposed to direct or actual damages) and (ii) none of the parties to this Agreement shall assert, and each party hereto hereby any waives, losses, claims (including intraparty claims), demands, damages or liabilities of any kind against any other party hereto, on any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nothing in this </w:t>
      </w:r>
      <w:r>
        <w:rPr>
          <w:rFonts w:ascii="Arial" w:cs="Arial" w:eastAsia="Arial" w:hAnsi="Arial"/>
          <w:sz w:val="19"/>
          <w:szCs w:val="19"/>
          <w:u w:val="single" w:color="auto"/>
          <w:color w:val="auto"/>
        </w:rPr>
        <w:t>Section 11.04(d)</w:t>
      </w:r>
      <w:r>
        <w:rPr>
          <w:rFonts w:ascii="Arial" w:cs="Arial" w:eastAsia="Arial" w:hAnsi="Arial"/>
          <w:sz w:val="19"/>
          <w:szCs w:val="19"/>
          <w:color w:val="auto"/>
        </w:rPr>
        <w:t xml:space="preserve"> relieve the Borrower or any other Loan Party of any obligation it may have to indemnify an Indemnitee, as provided in </w:t>
      </w:r>
      <w:r>
        <w:rPr>
          <w:rFonts w:ascii="Arial" w:cs="Arial" w:eastAsia="Arial" w:hAnsi="Arial"/>
          <w:sz w:val="19"/>
          <w:szCs w:val="19"/>
          <w:u w:val="single" w:color="auto"/>
          <w:color w:val="auto"/>
        </w:rPr>
        <w:t>Section 11.04(b)</w:t>
      </w:r>
      <w:r>
        <w:rPr>
          <w:rFonts w:ascii="Arial" w:cs="Arial" w:eastAsia="Arial" w:hAnsi="Arial"/>
          <w:sz w:val="19"/>
          <w:szCs w:val="19"/>
          <w:color w:val="auto"/>
        </w:rPr>
        <w:t xml:space="preserve">, against any special, indirect, consequential or punitive damages asserted against such Indemnitee by a third party. Nothing in this </w:t>
      </w:r>
      <w:r>
        <w:rPr>
          <w:rFonts w:ascii="Arial" w:cs="Arial" w:eastAsia="Arial" w:hAnsi="Arial"/>
          <w:sz w:val="19"/>
          <w:szCs w:val="19"/>
          <w:u w:val="single" w:color="auto"/>
          <w:color w:val="auto"/>
        </w:rPr>
        <w:t>Section 11.04(d)</w:t>
      </w:r>
      <w:r>
        <w:rPr>
          <w:rFonts w:ascii="Arial" w:cs="Arial" w:eastAsia="Arial" w:hAnsi="Arial"/>
          <w:sz w:val="19"/>
          <w:szCs w:val="19"/>
          <w:color w:val="auto"/>
        </w:rPr>
        <w:t xml:space="preserve"> shall abrogate, modify or diminish the obligations of the Administrative Agent, the Lenders and the L/C Issuers to keep certain information confidential in the manner and to the extent provided in </w:t>
      </w:r>
      <w:r>
        <w:rPr>
          <w:rFonts w:ascii="Arial" w:cs="Arial" w:eastAsia="Arial" w:hAnsi="Arial"/>
          <w:sz w:val="19"/>
          <w:szCs w:val="19"/>
          <w:u w:val="single" w:color="auto"/>
          <w:color w:val="auto"/>
        </w:rPr>
        <w:t>Section 11.07</w:t>
      </w:r>
      <w:r>
        <w:rPr>
          <w:rFonts w:ascii="Arial" w:cs="Arial" w:eastAsia="Arial" w:hAnsi="Arial"/>
          <w:sz w:val="19"/>
          <w:szCs w:val="19"/>
          <w:color w:val="auto"/>
        </w:rPr>
        <w:t>.</w:t>
      </w:r>
    </w:p>
    <w:p>
      <w:pPr>
        <w:spacing w:after="0" w:line="157" w:lineRule="exact"/>
        <w:rPr>
          <w:rFonts w:ascii="Arial" w:cs="Arial" w:eastAsia="Arial" w:hAnsi="Arial"/>
          <w:sz w:val="19"/>
          <w:szCs w:val="19"/>
          <w:u w:val="single" w:color="auto"/>
          <w:color w:val="auto"/>
        </w:rPr>
      </w:pPr>
    </w:p>
    <w:p>
      <w:pPr>
        <w:ind w:left="1540" w:hanging="504"/>
        <w:spacing w:after="0"/>
        <w:tabs>
          <w:tab w:leader="none" w:pos="1540" w:val="left"/>
        </w:tabs>
        <w:numPr>
          <w:ilvl w:val="0"/>
          <w:numId w:val="257"/>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Payments</w:t>
      </w:r>
      <w:r>
        <w:rPr>
          <w:rFonts w:ascii="Arial" w:cs="Arial" w:eastAsia="Arial" w:hAnsi="Arial"/>
          <w:sz w:val="19"/>
          <w:szCs w:val="19"/>
          <w:color w:val="auto"/>
        </w:rPr>
        <w:t xml:space="preserve">. All amounts due under this </w:t>
      </w:r>
      <w:r>
        <w:rPr>
          <w:rFonts w:ascii="Arial" w:cs="Arial" w:eastAsia="Arial" w:hAnsi="Arial"/>
          <w:sz w:val="19"/>
          <w:szCs w:val="19"/>
          <w:u w:val="single" w:color="auto"/>
          <w:color w:val="auto"/>
        </w:rPr>
        <w:t>Section 11.04</w:t>
      </w:r>
      <w:r>
        <w:rPr>
          <w:rFonts w:ascii="Arial" w:cs="Arial" w:eastAsia="Arial" w:hAnsi="Arial"/>
          <w:sz w:val="19"/>
          <w:szCs w:val="19"/>
          <w:color w:val="auto"/>
        </w:rPr>
        <w:t xml:space="preserve"> will be payable not later than ten (10) Business Days after</w:t>
      </w:r>
    </w:p>
    <w:p>
      <w:pPr>
        <w:spacing w:after="0" w:line="11" w:lineRule="exact"/>
        <w:rPr>
          <w:rFonts w:ascii="Arial" w:cs="Arial" w:eastAsia="Arial" w:hAnsi="Arial"/>
          <w:sz w:val="19"/>
          <w:szCs w:val="19"/>
          <w:u w:val="single" w:color="auto"/>
          <w:color w:val="auto"/>
        </w:rPr>
      </w:pPr>
    </w:p>
    <w:p>
      <w:pPr>
        <w:spacing w:after="0"/>
        <w:rPr>
          <w:rFonts w:ascii="Arial" w:cs="Arial" w:eastAsia="Arial" w:hAnsi="Arial"/>
          <w:sz w:val="19"/>
          <w:szCs w:val="19"/>
          <w:u w:val="single" w:color="auto"/>
          <w:color w:val="auto"/>
        </w:rPr>
      </w:pPr>
      <w:r>
        <w:rPr>
          <w:rFonts w:ascii="Arial" w:cs="Arial" w:eastAsia="Arial" w:hAnsi="Arial"/>
          <w:sz w:val="21"/>
          <w:szCs w:val="21"/>
          <w:color w:val="auto"/>
        </w:rPr>
        <w:t>demand therefor.</w:t>
      </w:r>
    </w:p>
    <w:p>
      <w:pPr>
        <w:spacing w:after="0" w:line="164" w:lineRule="exact"/>
        <w:rPr>
          <w:rFonts w:ascii="Arial" w:cs="Arial" w:eastAsia="Arial" w:hAnsi="Arial"/>
          <w:sz w:val="19"/>
          <w:szCs w:val="19"/>
          <w:u w:val="single" w:color="auto"/>
          <w:color w:val="auto"/>
        </w:rPr>
      </w:pPr>
    </w:p>
    <w:p>
      <w:pPr>
        <w:jc w:val="both"/>
        <w:ind w:firstLine="1036"/>
        <w:spacing w:after="0" w:line="230" w:lineRule="auto"/>
        <w:tabs>
          <w:tab w:leader="none" w:pos="1460" w:val="left"/>
        </w:tabs>
        <w:numPr>
          <w:ilvl w:val="0"/>
          <w:numId w:val="257"/>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Survival</w:t>
      </w:r>
      <w:r>
        <w:rPr>
          <w:rFonts w:ascii="Arial" w:cs="Arial" w:eastAsia="Arial" w:hAnsi="Arial"/>
          <w:sz w:val="21"/>
          <w:szCs w:val="21"/>
          <w:color w:val="auto"/>
        </w:rPr>
        <w:t xml:space="preserve">. The agreements in this </w:t>
      </w:r>
      <w:r>
        <w:rPr>
          <w:rFonts w:ascii="Arial" w:cs="Arial" w:eastAsia="Arial" w:hAnsi="Arial"/>
          <w:sz w:val="21"/>
          <w:szCs w:val="21"/>
          <w:u w:val="single" w:color="auto"/>
          <w:color w:val="auto"/>
        </w:rPr>
        <w:t>Section 11.04</w:t>
      </w:r>
      <w:r>
        <w:rPr>
          <w:rFonts w:ascii="Arial" w:cs="Arial" w:eastAsia="Arial" w:hAnsi="Arial"/>
          <w:sz w:val="21"/>
          <w:szCs w:val="21"/>
          <w:color w:val="auto"/>
        </w:rPr>
        <w:t xml:space="preserve"> will survive the resignation of the Administrative Agent or any L/C Issuer, the replacement of any Lender, the termination of the Aggregate Commitments and the repayment, satisfaction or discharge of any and all of the Obligations.</w:t>
      </w:r>
    </w:p>
    <w:p>
      <w:pPr>
        <w:spacing w:after="0" w:line="154" w:lineRule="exact"/>
        <w:rPr>
          <w:sz w:val="20"/>
          <w:szCs w:val="20"/>
          <w:color w:val="auto"/>
        </w:rPr>
      </w:pPr>
    </w:p>
    <w:p>
      <w:pPr>
        <w:jc w:val="both"/>
        <w:ind w:firstLine="954"/>
        <w:spacing w:after="0" w:line="230" w:lineRule="auto"/>
        <w:rPr>
          <w:sz w:val="20"/>
          <w:szCs w:val="20"/>
          <w:color w:val="auto"/>
        </w:rPr>
      </w:pPr>
      <w:r>
        <w:rPr>
          <w:rFonts w:ascii="Arial" w:cs="Arial" w:eastAsia="Arial" w:hAnsi="Arial"/>
          <w:sz w:val="21"/>
          <w:szCs w:val="21"/>
          <w:color w:val="auto"/>
        </w:rPr>
        <w:t xml:space="preserve">Section 11.05 </w:t>
      </w:r>
      <w:r>
        <w:rPr>
          <w:rFonts w:ascii="Arial" w:cs="Arial" w:eastAsia="Arial" w:hAnsi="Arial"/>
          <w:sz w:val="21"/>
          <w:szCs w:val="21"/>
          <w:u w:val="single" w:color="auto"/>
          <w:color w:val="auto"/>
        </w:rPr>
        <w:t>Payments Set Aside</w:t>
      </w:r>
      <w:r>
        <w:rPr>
          <w:rFonts w:ascii="Arial" w:cs="Arial" w:eastAsia="Arial" w:hAnsi="Arial"/>
          <w:sz w:val="21"/>
          <w:szCs w:val="21"/>
          <w:color w:val="auto"/>
        </w:rPr>
        <w:t>. To the extent that any payment by or on behalf of the Borrower is made to the Administrative Agent, any L/C Issuer or any Lender, or the Administrative Agent, any L/C Issuer or any Lender exercises its right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129</w:t>
      </w:r>
    </w:p>
    <w:p>
      <w:pPr>
        <w:sectPr>
          <w:pgSz w:w="11900" w:h="16838" w:orient="portrait"/>
          <w:cols w:equalWidth="0" w:num="1">
            <w:col w:w="11200"/>
          </w:cols>
          <w:pgMar w:left="320" w:top="1152" w:right="379" w:bottom="1440" w:gutter="0" w:footer="0" w:header="0"/>
        </w:sectPr>
      </w:pPr>
    </w:p>
    <w:bookmarkStart w:id="268" w:name="page269"/>
    <w:bookmarkEnd w:id="268"/>
    <w:p>
      <w:pPr>
        <w:jc w:val="both"/>
        <w:spacing w:after="0" w:line="239" w:lineRule="auto"/>
        <w:rPr>
          <w:sz w:val="20"/>
          <w:szCs w:val="20"/>
          <w:color w:val="auto"/>
        </w:rPr>
      </w:pPr>
      <w:r>
        <w:rPr>
          <w:rFonts w:ascii="Arial" w:cs="Arial" w:eastAsia="Arial" w:hAnsi="Arial"/>
          <w:sz w:val="19"/>
          <w:szCs w:val="19"/>
          <w:color w:val="auto"/>
        </w:rPr>
        <w:t>setoff, and such payment or the proceeds of such setoff or any part thereof is subsequently invalidated, declared to be fraudulent or preferential, set aside or required (including pursuant to any settlement entered into by the Administrative Agent, such L/C Issuer or such Lender in its discretion) to be repaid to a trustee, receiver or any other party, in connection with any proceeding under any Debtor Relief Law or otherwise, then (a) to the extent of such recovery, the obligation or part thereof originally intended to be satisfied will be revived and continued in full force and effect as if such payment had not been made or such setoff had not occurred and (b) each Lender and each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and the L/C Issuers under clause (b) of the preceding sentence will survive the payment in full of the Obligations and the termination of this Agreement.</w:t>
      </w:r>
    </w:p>
    <w:p>
      <w:pPr>
        <w:spacing w:after="0" w:line="156" w:lineRule="exact"/>
        <w:rPr>
          <w:sz w:val="20"/>
          <w:szCs w:val="20"/>
          <w:color w:val="auto"/>
        </w:rPr>
      </w:pPr>
    </w:p>
    <w:p>
      <w:pPr>
        <w:jc w:val="both"/>
        <w:ind w:firstLine="954"/>
        <w:spacing w:after="0" w:line="237" w:lineRule="auto"/>
        <w:rPr>
          <w:sz w:val="20"/>
          <w:szCs w:val="20"/>
          <w:color w:val="auto"/>
        </w:rPr>
      </w:pPr>
      <w:r>
        <w:rPr>
          <w:rFonts w:ascii="Arial" w:cs="Arial" w:eastAsia="Arial" w:hAnsi="Arial"/>
          <w:sz w:val="19"/>
          <w:szCs w:val="19"/>
          <w:color w:val="auto"/>
        </w:rPr>
        <w:t xml:space="preserve">Section 11.06 </w:t>
      </w:r>
      <w:r>
        <w:rPr>
          <w:rFonts w:ascii="Arial" w:cs="Arial" w:eastAsia="Arial" w:hAnsi="Arial"/>
          <w:sz w:val="19"/>
          <w:szCs w:val="19"/>
          <w:u w:val="single" w:color="auto"/>
          <w:color w:val="auto"/>
        </w:rPr>
        <w:t>Successors and Assigns</w:t>
      </w:r>
      <w:r>
        <w:rPr>
          <w:rFonts w:ascii="Arial" w:cs="Arial" w:eastAsia="Arial" w:hAnsi="Arial"/>
          <w:sz w:val="19"/>
          <w:szCs w:val="19"/>
          <w:color w:val="auto"/>
        </w:rPr>
        <w:t xml:space="preserve">. (a) </w:t>
      </w:r>
      <w:r>
        <w:rPr>
          <w:rFonts w:ascii="Arial" w:cs="Arial" w:eastAsia="Arial" w:hAnsi="Arial"/>
          <w:sz w:val="19"/>
          <w:szCs w:val="19"/>
          <w:u w:val="single" w:color="auto"/>
          <w:color w:val="auto"/>
        </w:rPr>
        <w:t>Successors and Assigns Generally</w:t>
      </w:r>
      <w:r>
        <w:rPr>
          <w:rFonts w:ascii="Arial" w:cs="Arial" w:eastAsia="Arial" w:hAnsi="Arial"/>
          <w:sz w:val="19"/>
          <w:szCs w:val="19"/>
          <w:color w:val="auto"/>
        </w:rPr>
        <w:t xml:space="preserve">. The provisions of this Agreement shall be binding upon and inure to the benefit of the parties hereto and their respective successors and assigns permitted hereby (including any Affiliate of any L/C Issuer that issues any Letter of Credit), except that neither the Borrower nor any other Loan Party may assign or otherwise transfer any of its rights or obligations hereunder without the prior written consent of the Administrative Agent and each Lender (except in connection with any merger or consolidation permitted by </w:t>
      </w:r>
      <w:r>
        <w:rPr>
          <w:rFonts w:ascii="Arial" w:cs="Arial" w:eastAsia="Arial" w:hAnsi="Arial"/>
          <w:sz w:val="19"/>
          <w:szCs w:val="19"/>
          <w:u w:val="single" w:color="auto"/>
          <w:color w:val="auto"/>
        </w:rPr>
        <w:t>Section 7.03</w:t>
      </w:r>
      <w:r>
        <w:rPr>
          <w:rFonts w:ascii="Arial" w:cs="Arial" w:eastAsia="Arial" w:hAnsi="Arial"/>
          <w:sz w:val="19"/>
          <w:szCs w:val="19"/>
          <w:color w:val="auto"/>
        </w:rPr>
        <w:t xml:space="preserve"> ) and no Lender may assign or otherwise transfer any of its rights or obligations hereunder except (i) to an assignee in accordance with the provisions of </w:t>
      </w:r>
      <w:r>
        <w:rPr>
          <w:rFonts w:ascii="Arial" w:cs="Arial" w:eastAsia="Arial" w:hAnsi="Arial"/>
          <w:sz w:val="19"/>
          <w:szCs w:val="19"/>
          <w:u w:val="single" w:color="auto"/>
          <w:color w:val="auto"/>
        </w:rPr>
        <w:t>Section 11.06(b)</w:t>
      </w:r>
      <w:r>
        <w:rPr>
          <w:rFonts w:ascii="Arial" w:cs="Arial" w:eastAsia="Arial" w:hAnsi="Arial"/>
          <w:sz w:val="19"/>
          <w:szCs w:val="19"/>
          <w:color w:val="auto"/>
        </w:rPr>
        <w:t xml:space="preserve">, (ii) by way of participation in accordance with the provisions of </w:t>
      </w:r>
      <w:r>
        <w:rPr>
          <w:rFonts w:ascii="Arial" w:cs="Arial" w:eastAsia="Arial" w:hAnsi="Arial"/>
          <w:sz w:val="19"/>
          <w:szCs w:val="19"/>
          <w:u w:val="single" w:color="auto"/>
          <w:color w:val="auto"/>
        </w:rPr>
        <w:t>Section 11.06(e)</w:t>
      </w:r>
      <w:r>
        <w:rPr>
          <w:rFonts w:ascii="Arial" w:cs="Arial" w:eastAsia="Arial" w:hAnsi="Arial"/>
          <w:sz w:val="19"/>
          <w:szCs w:val="19"/>
          <w:color w:val="auto"/>
        </w:rPr>
        <w:t xml:space="preserve"> or (iii) by way of pledge or assignment of a security interest subject to the restrictions of </w:t>
      </w:r>
      <w:r>
        <w:rPr>
          <w:rFonts w:ascii="Arial" w:cs="Arial" w:eastAsia="Arial" w:hAnsi="Arial"/>
          <w:sz w:val="19"/>
          <w:szCs w:val="19"/>
          <w:u w:val="single" w:color="auto"/>
          <w:color w:val="auto"/>
        </w:rPr>
        <w:t>Section 11.06(g)</w:t>
      </w:r>
      <w:r>
        <w:rPr>
          <w:rFonts w:ascii="Arial" w:cs="Arial" w:eastAsia="Arial" w:hAnsi="Arial"/>
          <w:sz w:val="19"/>
          <w:szCs w:val="19"/>
          <w:color w:val="auto"/>
        </w:rPr>
        <w:t xml:space="preserve"> (and any other attempted assignment or transfer by any such party hereto shall be null and void). Nothing in this Agreement, expressed or implied, shall be construed to confer upon any Person (other than the parties hereto, their respective successors and assigns permitted hereby (including any Affiliate of any L/C Issuer that issues any Letter of Credit), Participants to the extent provided in </w:t>
      </w:r>
      <w:r>
        <w:rPr>
          <w:rFonts w:ascii="Arial" w:cs="Arial" w:eastAsia="Arial" w:hAnsi="Arial"/>
          <w:sz w:val="19"/>
          <w:szCs w:val="19"/>
          <w:u w:val="single" w:color="auto"/>
          <w:color w:val="auto"/>
        </w:rPr>
        <w:t>Section 11.06(e)</w:t>
      </w:r>
      <w:r>
        <w:rPr>
          <w:rFonts w:ascii="Arial" w:cs="Arial" w:eastAsia="Arial" w:hAnsi="Arial"/>
          <w:sz w:val="19"/>
          <w:szCs w:val="19"/>
          <w:color w:val="auto"/>
        </w:rPr>
        <w:t>, the Arrangers, the Co-Syndication Agent, the Indemnitees and, to the extent expressly contemplated hereby, the sub-Agent of the Administrative Agent and the Related Parties of any of the Administrative Agent, the Arrangers, any Co-Syndication Agent, the L/C Issuers and the Lenders) any legal or equitable right, remedy or claim under or by reason of this Agreement.</w:t>
      </w:r>
    </w:p>
    <w:p>
      <w:pPr>
        <w:spacing w:after="0" w:line="159" w:lineRule="exact"/>
        <w:rPr>
          <w:sz w:val="20"/>
          <w:szCs w:val="20"/>
          <w:color w:val="auto"/>
        </w:rPr>
      </w:pPr>
    </w:p>
    <w:p>
      <w:pPr>
        <w:jc w:val="both"/>
        <w:ind w:firstLine="1036"/>
        <w:spacing w:after="0" w:line="230" w:lineRule="auto"/>
        <w:tabs>
          <w:tab w:leader="none" w:pos="1568" w:val="left"/>
        </w:tabs>
        <w:numPr>
          <w:ilvl w:val="0"/>
          <w:numId w:val="258"/>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Assignments by Lenders</w:t>
      </w:r>
      <w:r>
        <w:rPr>
          <w:rFonts w:ascii="Arial" w:cs="Arial" w:eastAsia="Arial" w:hAnsi="Arial"/>
          <w:sz w:val="21"/>
          <w:szCs w:val="21"/>
          <w:color w:val="auto"/>
        </w:rPr>
        <w:t xml:space="preserve">. Any Lender may, at any time, assign to one or more assignees all or a portion of its rights and obligations under this Agreement (including all or a portion of its Commitment and the Loans at the time owing to it);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such assignment shall be subject to the following conditions:</w:t>
      </w:r>
    </w:p>
    <w:p>
      <w:pPr>
        <w:spacing w:after="0" w:line="153" w:lineRule="exact"/>
        <w:rPr>
          <w:rFonts w:ascii="Arial" w:cs="Arial" w:eastAsia="Arial" w:hAnsi="Arial"/>
          <w:sz w:val="21"/>
          <w:szCs w:val="21"/>
          <w:u w:val="single" w:color="auto"/>
          <w:color w:val="auto"/>
        </w:rPr>
      </w:pPr>
    </w:p>
    <w:p>
      <w:pPr>
        <w:ind w:left="1920" w:hanging="642"/>
        <w:spacing w:after="0"/>
        <w:tabs>
          <w:tab w:leader="none" w:pos="1920" w:val="left"/>
        </w:tabs>
        <w:numPr>
          <w:ilvl w:val="1"/>
          <w:numId w:val="258"/>
        </w:numPr>
        <w:rPr>
          <w:rFonts w:ascii="Arial" w:cs="Arial" w:eastAsia="Arial" w:hAnsi="Arial"/>
          <w:sz w:val="21"/>
          <w:szCs w:val="21"/>
          <w:color w:val="auto"/>
        </w:rPr>
      </w:pPr>
      <w:r>
        <w:rPr>
          <w:rFonts w:ascii="Arial" w:cs="Arial" w:eastAsia="Arial" w:hAnsi="Arial"/>
          <w:sz w:val="21"/>
          <w:szCs w:val="21"/>
          <w:color w:val="auto"/>
        </w:rPr>
        <w:t>Minimum Amounts.</w:t>
      </w:r>
    </w:p>
    <w:p>
      <w:pPr>
        <w:spacing w:after="0" w:line="182" w:lineRule="exact"/>
        <w:rPr>
          <w:rFonts w:ascii="Arial" w:cs="Arial" w:eastAsia="Arial" w:hAnsi="Arial"/>
          <w:sz w:val="21"/>
          <w:szCs w:val="21"/>
          <w:color w:val="auto"/>
        </w:rPr>
      </w:pPr>
    </w:p>
    <w:p>
      <w:pPr>
        <w:jc w:val="both"/>
        <w:ind w:left="1280" w:firstLine="634"/>
        <w:spacing w:after="0" w:line="230" w:lineRule="auto"/>
        <w:tabs>
          <w:tab w:leader="none" w:pos="2552" w:val="left"/>
        </w:tabs>
        <w:numPr>
          <w:ilvl w:val="2"/>
          <w:numId w:val="258"/>
        </w:numPr>
        <w:rPr>
          <w:rFonts w:ascii="Arial" w:cs="Arial" w:eastAsia="Arial" w:hAnsi="Arial"/>
          <w:sz w:val="21"/>
          <w:szCs w:val="21"/>
          <w:color w:val="auto"/>
        </w:rPr>
      </w:pPr>
      <w:r>
        <w:rPr>
          <w:rFonts w:ascii="Arial" w:cs="Arial" w:eastAsia="Arial" w:hAnsi="Arial"/>
          <w:sz w:val="21"/>
          <w:szCs w:val="21"/>
          <w:color w:val="auto"/>
        </w:rPr>
        <w:t>in the case of an assignment of the entire remaining amount of the assigning Lender’s Commitment or Loans or in the case of an assignment to a Lender, an Affiliate of a Lender or an Approved Fund, no minimum amount need be assigned; and</w:t>
      </w:r>
    </w:p>
    <w:p>
      <w:pPr>
        <w:spacing w:after="0" w:line="153" w:lineRule="exact"/>
        <w:rPr>
          <w:rFonts w:ascii="Arial" w:cs="Arial" w:eastAsia="Arial" w:hAnsi="Arial"/>
          <w:sz w:val="21"/>
          <w:szCs w:val="21"/>
          <w:color w:val="auto"/>
        </w:rPr>
      </w:pPr>
    </w:p>
    <w:p>
      <w:pPr>
        <w:ind w:left="1280" w:firstLine="643"/>
        <w:spacing w:after="0" w:line="263" w:lineRule="auto"/>
        <w:tabs>
          <w:tab w:leader="none" w:pos="2543" w:val="left"/>
        </w:tabs>
        <w:numPr>
          <w:ilvl w:val="2"/>
          <w:numId w:val="258"/>
        </w:numPr>
        <w:rPr>
          <w:rFonts w:ascii="Arial" w:cs="Arial" w:eastAsia="Arial" w:hAnsi="Arial"/>
          <w:sz w:val="20"/>
          <w:szCs w:val="20"/>
          <w:color w:val="auto"/>
        </w:rPr>
      </w:pPr>
      <w:r>
        <w:rPr>
          <w:rFonts w:ascii="Arial" w:cs="Arial" w:eastAsia="Arial" w:hAnsi="Arial"/>
          <w:sz w:val="20"/>
          <w:szCs w:val="20"/>
          <w:color w:val="auto"/>
        </w:rPr>
        <w:t xml:space="preserve">in any case not described in </w:t>
      </w:r>
      <w:r>
        <w:rPr>
          <w:rFonts w:ascii="Arial" w:cs="Arial" w:eastAsia="Arial" w:hAnsi="Arial"/>
          <w:sz w:val="20"/>
          <w:szCs w:val="20"/>
          <w:u w:val="single" w:color="auto"/>
          <w:color w:val="auto"/>
        </w:rPr>
        <w:t>Section 11.06(b)(i)(A)</w:t>
      </w:r>
      <w:r>
        <w:rPr>
          <w:rFonts w:ascii="Arial" w:cs="Arial" w:eastAsia="Arial" w:hAnsi="Arial"/>
          <w:sz w:val="20"/>
          <w:szCs w:val="20"/>
          <w:color w:val="auto"/>
        </w:rPr>
        <w:t>, the aggregate amount of the Commitment or, if the Commitment is not then in effect, the principal outstanding balance of the Loans of the assigning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130</w:t>
      </w:r>
    </w:p>
    <w:p>
      <w:pPr>
        <w:sectPr>
          <w:pgSz w:w="11900" w:h="16838" w:orient="portrait"/>
          <w:cols w:equalWidth="0" w:num="1">
            <w:col w:w="11200"/>
          </w:cols>
          <w:pgMar w:left="320" w:top="1152" w:right="379" w:bottom="1440" w:gutter="0" w:footer="0" w:header="0"/>
        </w:sectPr>
      </w:pPr>
    </w:p>
    <w:bookmarkStart w:id="269" w:name="page270"/>
    <w:bookmarkEnd w:id="269"/>
    <w:p>
      <w:pPr>
        <w:jc w:val="both"/>
        <w:ind w:left="640"/>
        <w:spacing w:after="0" w:line="225" w:lineRule="auto"/>
        <w:rPr>
          <w:sz w:val="20"/>
          <w:szCs w:val="20"/>
          <w:color w:val="auto"/>
        </w:rPr>
      </w:pPr>
      <w:r>
        <w:rPr>
          <w:rFonts w:ascii="Arial" w:cs="Arial" w:eastAsia="Arial" w:hAnsi="Arial"/>
          <w:sz w:val="20"/>
          <w:szCs w:val="20"/>
          <w:color w:val="auto"/>
        </w:rPr>
        <w:t xml:space="preserve">Lender subject to each such assignment, determined as of the date the Assignment and Assumption (or an agreement incorporating by reference a form of Assignment and Assumption posted on the Approved Electronic Platform) with respect to such assignment is delivered to the Administrative Agent or, if a “Trade Date” is specified in the Assignment and Assumption (or such an agreement), as of the Trade Date, shall not be less than $5,000,000 (or the US Dollar Equivalent thereof in the case of any Loan denominated in an Alternative Currency or a Discretionary Alternative Currency) unless each of the Administrative Agent and, so long as no Event of Default under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8.01(a)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8.01(f)</w:t>
      </w:r>
      <w:r>
        <w:rPr>
          <w:rFonts w:ascii="Arial" w:cs="Arial" w:eastAsia="Arial" w:hAnsi="Arial"/>
          <w:sz w:val="20"/>
          <w:szCs w:val="20"/>
          <w:color w:val="auto"/>
        </w:rPr>
        <w:t xml:space="preserve"> has occurred and is continuing, Borrower otherwise consents (each such consent not to be unreasonably withheld or delayed);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Borrower shall be deemed to have consented thereto unless it shall object thereto by written notice to the Administrative Agent within ten (10) Business Days after having received notice thereof;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165" w:lineRule="exact"/>
        <w:rPr>
          <w:sz w:val="20"/>
          <w:szCs w:val="20"/>
          <w:color w:val="auto"/>
        </w:rPr>
      </w:pPr>
    </w:p>
    <w:p>
      <w:pPr>
        <w:jc w:val="both"/>
        <w:ind w:firstLine="638"/>
        <w:spacing w:after="0" w:line="242" w:lineRule="auto"/>
        <w:tabs>
          <w:tab w:leader="none" w:pos="1272" w:val="left"/>
        </w:tabs>
        <w:numPr>
          <w:ilvl w:val="0"/>
          <w:numId w:val="259"/>
        </w:numPr>
        <w:rPr>
          <w:rFonts w:ascii="Arial" w:cs="Arial" w:eastAsia="Arial" w:hAnsi="Arial"/>
          <w:sz w:val="20"/>
          <w:szCs w:val="20"/>
          <w:color w:val="auto"/>
        </w:rPr>
      </w:pPr>
      <w:r>
        <w:rPr>
          <w:rFonts w:ascii="Arial" w:cs="Arial" w:eastAsia="Arial" w:hAnsi="Arial"/>
          <w:sz w:val="20"/>
          <w:szCs w:val="20"/>
          <w:u w:val="single" w:color="auto"/>
          <w:color w:val="auto"/>
        </w:rPr>
        <w:t>Proportionate Amounts</w:t>
      </w:r>
      <w:r>
        <w:rPr>
          <w:rFonts w:ascii="Arial" w:cs="Arial" w:eastAsia="Arial" w:hAnsi="Arial"/>
          <w:sz w:val="20"/>
          <w:szCs w:val="20"/>
          <w:color w:val="auto"/>
        </w:rPr>
        <w:t>. Each partial assignment shall be made as an assignment of a proportionate part of all the assigning Lender’s rights and obligations under this Agreement with respect to the Loans or the Commitment so assigned, except that this clause (ii) shall not apply to rights and obligations in respect of Bid Loans.</w:t>
      </w:r>
    </w:p>
    <w:p>
      <w:pPr>
        <w:spacing w:after="0" w:line="152" w:lineRule="exact"/>
        <w:rPr>
          <w:rFonts w:ascii="Arial" w:cs="Arial" w:eastAsia="Arial" w:hAnsi="Arial"/>
          <w:sz w:val="20"/>
          <w:szCs w:val="20"/>
          <w:color w:val="auto"/>
        </w:rPr>
      </w:pPr>
    </w:p>
    <w:p>
      <w:pPr>
        <w:ind w:left="1280" w:hanging="642"/>
        <w:spacing w:after="0"/>
        <w:tabs>
          <w:tab w:leader="none" w:pos="1280" w:val="left"/>
        </w:tabs>
        <w:numPr>
          <w:ilvl w:val="0"/>
          <w:numId w:val="259"/>
        </w:numPr>
        <w:rPr>
          <w:rFonts w:ascii="Arial" w:cs="Arial" w:eastAsia="Arial" w:hAnsi="Arial"/>
          <w:sz w:val="19"/>
          <w:szCs w:val="19"/>
          <w:color w:val="auto"/>
        </w:rPr>
      </w:pPr>
      <w:r>
        <w:rPr>
          <w:rFonts w:ascii="Arial" w:cs="Arial" w:eastAsia="Arial" w:hAnsi="Arial"/>
          <w:sz w:val="19"/>
          <w:szCs w:val="19"/>
          <w:u w:val="single" w:color="auto"/>
          <w:color w:val="auto"/>
        </w:rPr>
        <w:t>Required Consents</w:t>
      </w:r>
      <w:r>
        <w:rPr>
          <w:rFonts w:ascii="Arial" w:cs="Arial" w:eastAsia="Arial" w:hAnsi="Arial"/>
          <w:sz w:val="19"/>
          <w:szCs w:val="19"/>
          <w:color w:val="auto"/>
        </w:rPr>
        <w:t xml:space="preserve">. No consent shall be required for any assignment except to the extent required by </w:t>
      </w:r>
      <w:r>
        <w:rPr>
          <w:rFonts w:ascii="Arial" w:cs="Arial" w:eastAsia="Arial" w:hAnsi="Arial"/>
          <w:sz w:val="19"/>
          <w:szCs w:val="19"/>
          <w:u w:val="single" w:color="auto"/>
          <w:color w:val="auto"/>
        </w:rPr>
        <w:t>Section</w:t>
      </w:r>
    </w:p>
    <w:p>
      <w:pPr>
        <w:spacing w:after="0" w:line="1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u w:val="single" w:color="auto"/>
          <w:color w:val="auto"/>
        </w:rPr>
        <w:t>11.06(b)(i)(B)</w:t>
      </w:r>
      <w:r>
        <w:rPr>
          <w:rFonts w:ascii="Arial" w:cs="Arial" w:eastAsia="Arial" w:hAnsi="Arial"/>
          <w:sz w:val="21"/>
          <w:szCs w:val="21"/>
          <w:color w:val="auto"/>
        </w:rPr>
        <w:t xml:space="preserve"> and in addition:</w:t>
      </w:r>
    </w:p>
    <w:p>
      <w:pPr>
        <w:spacing w:after="0" w:line="164" w:lineRule="exact"/>
        <w:rPr>
          <w:rFonts w:ascii="Arial" w:cs="Arial" w:eastAsia="Arial" w:hAnsi="Arial"/>
          <w:sz w:val="19"/>
          <w:szCs w:val="19"/>
          <w:color w:val="auto"/>
        </w:rPr>
      </w:pPr>
    </w:p>
    <w:p>
      <w:pPr>
        <w:jc w:val="both"/>
        <w:ind w:left="640" w:firstLine="634"/>
        <w:spacing w:after="0" w:line="220" w:lineRule="auto"/>
        <w:tabs>
          <w:tab w:leader="none" w:pos="1912" w:val="left"/>
        </w:tabs>
        <w:numPr>
          <w:ilvl w:val="1"/>
          <w:numId w:val="259"/>
        </w:numPr>
        <w:rPr>
          <w:rFonts w:ascii="Arial" w:cs="Arial" w:eastAsia="Arial" w:hAnsi="Arial"/>
          <w:sz w:val="21"/>
          <w:szCs w:val="21"/>
          <w:color w:val="auto"/>
        </w:rPr>
      </w:pPr>
      <w:r>
        <w:rPr>
          <w:rFonts w:ascii="Arial" w:cs="Arial" w:eastAsia="Arial" w:hAnsi="Arial"/>
          <w:sz w:val="21"/>
          <w:szCs w:val="21"/>
          <w:color w:val="auto"/>
        </w:rPr>
        <w:t xml:space="preserve">the consent of the Borrower (such consent not to be unreasonably withheld, conditioned or delayed) shall be required unless (1) an Event of Default under </w:t>
      </w:r>
      <w:r>
        <w:rPr>
          <w:rFonts w:ascii="Arial" w:cs="Arial" w:eastAsia="Arial" w:hAnsi="Arial"/>
          <w:sz w:val="21"/>
          <w:szCs w:val="21"/>
          <w:u w:val="single" w:color="auto"/>
          <w:color w:val="auto"/>
        </w:rPr>
        <w:t>Section 8.01(a)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8.01(f)</w:t>
      </w:r>
      <w:r>
        <w:rPr>
          <w:rFonts w:ascii="Arial" w:cs="Arial" w:eastAsia="Arial" w:hAnsi="Arial"/>
          <w:sz w:val="21"/>
          <w:szCs w:val="21"/>
          <w:color w:val="auto"/>
        </w:rPr>
        <w:t xml:space="preserve"> has occurred and is continuing at the time of such assignment or (2) such assignment is to a Lender, an Affiliate of a Lender or an Approved Fund, in each case that is not a Non-Qualifying Lender;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Borrower shall be deemed to have consented to any such assignment unless it shall object thereto by written notice to the Administrative Agent within ten (10) Business Days after having received notice thereof;</w:t>
      </w:r>
    </w:p>
    <w:p>
      <w:pPr>
        <w:spacing w:after="0" w:line="155" w:lineRule="exact"/>
        <w:rPr>
          <w:rFonts w:ascii="Arial" w:cs="Arial" w:eastAsia="Arial" w:hAnsi="Arial"/>
          <w:sz w:val="21"/>
          <w:szCs w:val="21"/>
          <w:color w:val="auto"/>
        </w:rPr>
      </w:pPr>
    </w:p>
    <w:p>
      <w:pPr>
        <w:jc w:val="both"/>
        <w:ind w:left="640" w:firstLine="634"/>
        <w:spacing w:after="0" w:line="230" w:lineRule="auto"/>
        <w:tabs>
          <w:tab w:leader="none" w:pos="1912" w:val="left"/>
        </w:tabs>
        <w:numPr>
          <w:ilvl w:val="1"/>
          <w:numId w:val="259"/>
        </w:numPr>
        <w:rPr>
          <w:rFonts w:ascii="Arial" w:cs="Arial" w:eastAsia="Arial" w:hAnsi="Arial"/>
          <w:sz w:val="21"/>
          <w:szCs w:val="21"/>
          <w:color w:val="auto"/>
        </w:rPr>
      </w:pPr>
      <w:r>
        <w:rPr>
          <w:rFonts w:ascii="Arial" w:cs="Arial" w:eastAsia="Arial" w:hAnsi="Arial"/>
          <w:sz w:val="21"/>
          <w:szCs w:val="21"/>
          <w:color w:val="auto"/>
        </w:rPr>
        <w:t>the consent of the Administrative Agent (such consent not to be unreasonably withheld, conditioned or delayed) shall be required if such assignment is to a Person that is not a Lender, an Affiliate of such Lender or an Approved Fund; and</w:t>
      </w:r>
    </w:p>
    <w:p>
      <w:pPr>
        <w:spacing w:after="0" w:line="153" w:lineRule="exact"/>
        <w:rPr>
          <w:rFonts w:ascii="Arial" w:cs="Arial" w:eastAsia="Arial" w:hAnsi="Arial"/>
          <w:sz w:val="21"/>
          <w:szCs w:val="21"/>
          <w:color w:val="auto"/>
        </w:rPr>
      </w:pPr>
    </w:p>
    <w:p>
      <w:pPr>
        <w:ind w:left="640" w:firstLine="634"/>
        <w:spacing w:after="0" w:line="263" w:lineRule="auto"/>
        <w:tabs>
          <w:tab w:leader="none" w:pos="1912" w:val="left"/>
        </w:tabs>
        <w:numPr>
          <w:ilvl w:val="1"/>
          <w:numId w:val="259"/>
        </w:numPr>
        <w:rPr>
          <w:rFonts w:ascii="Arial" w:cs="Arial" w:eastAsia="Arial" w:hAnsi="Arial"/>
          <w:sz w:val="20"/>
          <w:szCs w:val="20"/>
          <w:color w:val="auto"/>
        </w:rPr>
      </w:pPr>
      <w:r>
        <w:rPr>
          <w:rFonts w:ascii="Arial" w:cs="Arial" w:eastAsia="Arial" w:hAnsi="Arial"/>
          <w:sz w:val="20"/>
          <w:szCs w:val="20"/>
          <w:color w:val="auto"/>
        </w:rPr>
        <w:t>the consent of each L/C Issuer (such consent not to be unreasonably withheld, conditioned or delayed) shall be required for any assignment of a Commitment or any L/C Obligation or participations therein.</w:t>
      </w:r>
    </w:p>
    <w:p>
      <w:pPr>
        <w:spacing w:after="0" w:line="132" w:lineRule="exact"/>
        <w:rPr>
          <w:sz w:val="20"/>
          <w:szCs w:val="20"/>
          <w:color w:val="auto"/>
        </w:rPr>
      </w:pPr>
    </w:p>
    <w:p>
      <w:pPr>
        <w:ind w:left="640" w:hanging="11"/>
        <w:spacing w:after="0" w:line="239" w:lineRule="auto"/>
        <w:rPr>
          <w:sz w:val="20"/>
          <w:szCs w:val="20"/>
          <w:color w:val="auto"/>
        </w:rPr>
      </w:pPr>
      <w:r>
        <w:rPr>
          <w:rFonts w:ascii="Arial" w:cs="Arial" w:eastAsia="Arial" w:hAnsi="Arial"/>
          <w:sz w:val="21"/>
          <w:szCs w:val="21"/>
          <w:color w:val="auto"/>
        </w:rPr>
        <w:t>The parties hereto acknowledge and agree that (x) the Administrative Agent shall have no duty or obligation to ascertain whether any Lender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820"/>
        <w:spacing w:after="0"/>
        <w:rPr>
          <w:sz w:val="20"/>
          <w:szCs w:val="20"/>
          <w:color w:val="auto"/>
        </w:rPr>
      </w:pPr>
      <w:r>
        <w:rPr>
          <w:rFonts w:ascii="Arial" w:cs="Arial" w:eastAsia="Arial" w:hAnsi="Arial"/>
          <w:sz w:val="21"/>
          <w:szCs w:val="21"/>
          <w:color w:val="auto"/>
        </w:rPr>
        <w:t>131</w:t>
      </w:r>
    </w:p>
    <w:p>
      <w:pPr>
        <w:sectPr>
          <w:pgSz w:w="11900" w:h="16838" w:orient="portrait"/>
          <w:cols w:equalWidth="0" w:num="1">
            <w:col w:w="10560"/>
          </w:cols>
          <w:pgMar w:left="960" w:top="1152" w:right="379" w:bottom="1440" w:gutter="0" w:footer="0" w:header="0"/>
        </w:sectPr>
      </w:pPr>
    </w:p>
    <w:bookmarkStart w:id="270" w:name="page271"/>
    <w:bookmarkEnd w:id="270"/>
    <w:p>
      <w:pPr>
        <w:jc w:val="both"/>
        <w:ind w:left="1240"/>
        <w:spacing w:after="0" w:line="219" w:lineRule="auto"/>
        <w:rPr>
          <w:sz w:val="20"/>
          <w:szCs w:val="20"/>
          <w:color w:val="auto"/>
        </w:rPr>
      </w:pPr>
      <w:r>
        <w:rPr>
          <w:rFonts w:ascii="Arial" w:cs="Arial" w:eastAsia="Arial" w:hAnsi="Arial"/>
          <w:sz w:val="21"/>
          <w:szCs w:val="21"/>
          <w:color w:val="auto"/>
        </w:rPr>
        <w:t>a Non-Qualifying Lender or with respect to obtaining (or confirming the receipt) of any written consent of the Borrower to any assignment to a Non-Qualifying Lender, any such duty and obligation being solely with the assigning Lender and the assignee, and (y) the Administrative Agent may rely upon, and shall incur no liability therefor, any determination by the Borrower, any Lender or any prospective Lender as to whether any Person is a Non-Qualifying Lender (and, in connection with any proposed assignment, may require confirmation by the Borrower as to Borrower’s determination whether the proposed assignee is a Non-Qualifying Lender prior to accepting any such assignment for recordation in the Register).</w:t>
      </w:r>
    </w:p>
    <w:p>
      <w:pPr>
        <w:spacing w:after="0" w:line="140" w:lineRule="exact"/>
        <w:rPr>
          <w:sz w:val="20"/>
          <w:szCs w:val="20"/>
          <w:color w:val="auto"/>
        </w:rPr>
      </w:pPr>
    </w:p>
    <w:p>
      <w:pPr>
        <w:jc w:val="both"/>
        <w:ind w:left="600" w:firstLine="638"/>
        <w:spacing w:after="0" w:line="220" w:lineRule="auto"/>
        <w:tabs>
          <w:tab w:leader="none" w:pos="1872" w:val="left"/>
        </w:tabs>
        <w:numPr>
          <w:ilvl w:val="0"/>
          <w:numId w:val="260"/>
        </w:numPr>
        <w:rPr>
          <w:rFonts w:ascii="Arial" w:cs="Arial" w:eastAsia="Arial" w:hAnsi="Arial"/>
          <w:sz w:val="21"/>
          <w:szCs w:val="21"/>
          <w:color w:val="auto"/>
        </w:rPr>
      </w:pPr>
      <w:r>
        <w:rPr>
          <w:rFonts w:ascii="Arial" w:cs="Arial" w:eastAsia="Arial" w:hAnsi="Arial"/>
          <w:sz w:val="21"/>
          <w:szCs w:val="21"/>
          <w:u w:val="single" w:color="auto"/>
          <w:color w:val="auto"/>
        </w:rPr>
        <w:t>Assignment and Assumption</w:t>
      </w:r>
      <w:r>
        <w:rPr>
          <w:rFonts w:ascii="Arial" w:cs="Arial" w:eastAsia="Arial" w:hAnsi="Arial"/>
          <w:sz w:val="21"/>
          <w:szCs w:val="21"/>
          <w:color w:val="auto"/>
        </w:rPr>
        <w:t xml:space="preserve">. The parties to each assignment shall execute and deliver to the Administrative Agent an Assignment and Assumption (or an agreement incorporating by reference a form of Assignment and Assumption posted on the Approved Electronic Platform), together with a processing and recordation fee in the amount of $3,500;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55" w:lineRule="exact"/>
        <w:rPr>
          <w:rFonts w:ascii="Arial" w:cs="Arial" w:eastAsia="Arial" w:hAnsi="Arial"/>
          <w:sz w:val="21"/>
          <w:szCs w:val="21"/>
          <w:color w:val="auto"/>
        </w:rPr>
      </w:pPr>
    </w:p>
    <w:p>
      <w:pPr>
        <w:ind w:left="1880" w:hanging="642"/>
        <w:spacing w:after="0"/>
        <w:tabs>
          <w:tab w:leader="none" w:pos="1880" w:val="left"/>
        </w:tabs>
        <w:numPr>
          <w:ilvl w:val="0"/>
          <w:numId w:val="260"/>
        </w:numPr>
        <w:rPr>
          <w:rFonts w:ascii="Arial" w:cs="Arial" w:eastAsia="Arial" w:hAnsi="Arial"/>
          <w:sz w:val="21"/>
          <w:szCs w:val="21"/>
          <w:color w:val="auto"/>
        </w:rPr>
      </w:pPr>
      <w:r>
        <w:rPr>
          <w:rFonts w:ascii="Arial" w:cs="Arial" w:eastAsia="Arial" w:hAnsi="Arial"/>
          <w:sz w:val="21"/>
          <w:szCs w:val="21"/>
          <w:u w:val="single" w:color="auto"/>
          <w:color w:val="auto"/>
        </w:rPr>
        <w:t>No Assignment to Certain Persons</w:t>
      </w:r>
      <w:r>
        <w:rPr>
          <w:rFonts w:ascii="Arial" w:cs="Arial" w:eastAsia="Arial" w:hAnsi="Arial"/>
          <w:sz w:val="21"/>
          <w:szCs w:val="21"/>
          <w:color w:val="auto"/>
        </w:rPr>
        <w:t>. No such assignment shall be made to an Ineligible Institution.</w:t>
      </w:r>
    </w:p>
    <w:p>
      <w:pPr>
        <w:spacing w:after="0" w:line="183" w:lineRule="exact"/>
        <w:rPr>
          <w:sz w:val="20"/>
          <w:szCs w:val="20"/>
          <w:color w:val="auto"/>
        </w:rPr>
      </w:pPr>
    </w:p>
    <w:p>
      <w:pPr>
        <w:jc w:val="both"/>
        <w:ind w:left="600" w:hanging="11"/>
        <w:spacing w:after="0" w:line="238" w:lineRule="auto"/>
        <w:rPr>
          <w:sz w:val="20"/>
          <w:szCs w:val="20"/>
          <w:color w:val="auto"/>
        </w:rPr>
      </w:pPr>
      <w:r>
        <w:rPr>
          <w:rFonts w:ascii="Arial" w:cs="Arial" w:eastAsia="Arial" w:hAnsi="Arial"/>
          <w:sz w:val="19"/>
          <w:szCs w:val="19"/>
          <w:color w:val="auto"/>
        </w:rPr>
        <w:t xml:space="preserve">Subject to acceptance and recording thereof by the Administrative Agent pursuant to </w:t>
      </w:r>
      <w:r>
        <w:rPr>
          <w:rFonts w:ascii="Arial" w:cs="Arial" w:eastAsia="Arial" w:hAnsi="Arial"/>
          <w:sz w:val="19"/>
          <w:szCs w:val="19"/>
          <w:u w:val="single" w:color="auto"/>
          <w:color w:val="auto"/>
        </w:rPr>
        <w:t>Section 11.06(d)</w:t>
      </w:r>
      <w:r>
        <w:rPr>
          <w:rFonts w:ascii="Arial" w:cs="Arial" w:eastAsia="Arial" w:hAnsi="Arial"/>
          <w:sz w:val="19"/>
          <w:szCs w:val="19"/>
          <w:color w:val="auto"/>
        </w:rPr>
        <w:t xml:space="preserve">, from and after the effective date specified in each Assignment and Assumption (or an agreement incorporating by reference a form of Assignment and Assumption posted on the Approved Electronic Platform), the assignee thereunder shall be a party to this Agreement and shall,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9"/>
          <w:szCs w:val="19"/>
          <w:u w:val="single" w:color="auto"/>
          <w:color w:val="auto"/>
        </w:rPr>
        <w:t>Sections 3.01</w:t>
      </w:r>
      <w:r>
        <w:rPr>
          <w:rFonts w:ascii="Arial" w:cs="Arial" w:eastAsia="Arial" w:hAnsi="Arial"/>
          <w:sz w:val="19"/>
          <w:szCs w:val="19"/>
          <w:color w:val="auto"/>
        </w:rPr>
        <w:t xml:space="preserve">,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w:t>
      </w:r>
      <w:r>
        <w:rPr>
          <w:rFonts w:ascii="Arial" w:cs="Arial" w:eastAsia="Arial" w:hAnsi="Arial"/>
          <w:sz w:val="19"/>
          <w:szCs w:val="19"/>
          <w:u w:val="single" w:color="auto"/>
          <w:color w:val="auto"/>
        </w:rPr>
        <w:t>3.05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11.04</w:t>
      </w:r>
      <w:r>
        <w:rPr>
          <w:rFonts w:ascii="Arial" w:cs="Arial" w:eastAsia="Arial" w:hAnsi="Arial"/>
          <w:sz w:val="19"/>
          <w:szCs w:val="19"/>
          <w:color w:val="auto"/>
        </w:rPr>
        <w:t xml:space="preserve"> with respect to facts and circumstances occurring prior to the effective date of such assignment. If any Assignment and Assumption is executed by any Lender holding any Note, the assigning Lender shall, upon the effectiveness of such Assignment and Assumption or as promptly thereafter as practicable, surrender such Note to the Borrower for cancellation.</w:t>
      </w:r>
    </w:p>
    <w:p>
      <w:pPr>
        <w:spacing w:after="0" w:line="161" w:lineRule="exact"/>
        <w:rPr>
          <w:sz w:val="20"/>
          <w:szCs w:val="20"/>
          <w:color w:val="auto"/>
        </w:rPr>
      </w:pPr>
    </w:p>
    <w:p>
      <w:pPr>
        <w:jc w:val="both"/>
        <w:ind w:left="620" w:hanging="11"/>
        <w:spacing w:after="0" w:line="225" w:lineRule="auto"/>
        <w:rPr>
          <w:sz w:val="20"/>
          <w:szCs w:val="20"/>
          <w:color w:val="auto"/>
        </w:rPr>
      </w:pPr>
      <w:r>
        <w:rPr>
          <w:rFonts w:ascii="Arial" w:cs="Arial" w:eastAsia="Arial" w:hAnsi="Arial"/>
          <w:sz w:val="21"/>
          <w:szCs w:val="21"/>
          <w:color w:val="auto"/>
        </w:rPr>
        <w:t xml:space="preserve">Upon request, the Borrower (at its expense) shall execute and deliver a Note to the assignee Lender. Any assignment or transfer by a Lender of rights or obligations under this Agreement that does not comply with this </w:t>
      </w:r>
      <w:r>
        <w:rPr>
          <w:rFonts w:ascii="Arial" w:cs="Arial" w:eastAsia="Arial" w:hAnsi="Arial"/>
          <w:sz w:val="21"/>
          <w:szCs w:val="21"/>
          <w:u w:val="single" w:color="auto"/>
          <w:color w:val="auto"/>
        </w:rPr>
        <w:t>Section 11.06(b)</w:t>
      </w:r>
      <w:r>
        <w:rPr>
          <w:rFonts w:ascii="Arial" w:cs="Arial" w:eastAsia="Arial" w:hAnsi="Arial"/>
          <w:sz w:val="21"/>
          <w:szCs w:val="21"/>
          <w:color w:val="auto"/>
        </w:rPr>
        <w:t xml:space="preserve"> shall be treated for purposes of this Agreement as a sale by such Lender of a participation in such rights and obligations in accordance with </w:t>
      </w:r>
      <w:r>
        <w:rPr>
          <w:rFonts w:ascii="Arial" w:cs="Arial" w:eastAsia="Arial" w:hAnsi="Arial"/>
          <w:sz w:val="21"/>
          <w:szCs w:val="21"/>
          <w:u w:val="single" w:color="auto"/>
          <w:color w:val="auto"/>
        </w:rPr>
        <w:t>Section 11.06(e)</w:t>
      </w:r>
      <w:r>
        <w:rPr>
          <w:rFonts w:ascii="Arial" w:cs="Arial" w:eastAsia="Arial" w:hAnsi="Arial"/>
          <w:sz w:val="21"/>
          <w:szCs w:val="21"/>
          <w:color w:val="auto"/>
        </w:rPr>
        <w:t>.</w:t>
      </w:r>
    </w:p>
    <w:p>
      <w:pPr>
        <w:spacing w:after="0" w:line="154" w:lineRule="exact"/>
        <w:rPr>
          <w:sz w:val="20"/>
          <w:szCs w:val="20"/>
          <w:color w:val="auto"/>
        </w:rPr>
      </w:pPr>
    </w:p>
    <w:p>
      <w:pPr>
        <w:jc w:val="both"/>
        <w:ind w:left="-40" w:firstLine="1036"/>
        <w:spacing w:after="0" w:line="225" w:lineRule="auto"/>
        <w:tabs>
          <w:tab w:leader="none" w:pos="1557" w:val="left"/>
        </w:tabs>
        <w:numPr>
          <w:ilvl w:val="0"/>
          <w:numId w:val="261"/>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Certain Additional Payments</w:t>
      </w:r>
      <w:r>
        <w:rPr>
          <w:rFonts w:ascii="Arial" w:cs="Arial" w:eastAsia="Arial" w:hAnsi="Arial"/>
          <w:sz w:val="21"/>
          <w:szCs w:val="21"/>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132</w:t>
      </w:r>
    </w:p>
    <w:p>
      <w:pPr>
        <w:sectPr>
          <w:pgSz w:w="11900" w:h="16838" w:orient="portrait"/>
          <w:cols w:equalWidth="0" w:num="1">
            <w:col w:w="11160"/>
          </w:cols>
          <w:pgMar w:left="360" w:top="1152" w:right="379" w:bottom="1440" w:gutter="0" w:footer="0" w:header="0"/>
        </w:sectPr>
      </w:pPr>
    </w:p>
    <w:bookmarkStart w:id="271" w:name="page272"/>
    <w:bookmarkEnd w:id="271"/>
    <w:p>
      <w:pPr>
        <w:jc w:val="both"/>
        <w:spacing w:after="0" w:line="228" w:lineRule="auto"/>
        <w:rPr>
          <w:sz w:val="20"/>
          <w:szCs w:val="20"/>
          <w:color w:val="auto"/>
        </w:rPr>
      </w:pPr>
      <w:r>
        <w:rPr>
          <w:rFonts w:ascii="Arial" w:cs="Arial" w:eastAsia="Arial" w:hAnsi="Arial"/>
          <w:sz w:val="20"/>
          <w:szCs w:val="20"/>
          <w:color w:val="auto"/>
        </w:rPr>
        <w:t xml:space="preserve">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and participations in Letters of Credit in accordance with its Applicable Percentage. Notwithstanding the foregoing, in the event that any assignment of rights and obligations of any Defaulting Lender hereunder shall become effective under applicable Law without compliance with the provisions of this </w:t>
      </w:r>
      <w:r>
        <w:rPr>
          <w:rFonts w:ascii="Arial" w:cs="Arial" w:eastAsia="Arial" w:hAnsi="Arial"/>
          <w:sz w:val="20"/>
          <w:szCs w:val="20"/>
          <w:u w:val="single" w:color="auto"/>
          <w:color w:val="auto"/>
        </w:rPr>
        <w:t>Section 11.06(c)</w:t>
      </w:r>
      <w:r>
        <w:rPr>
          <w:rFonts w:ascii="Arial" w:cs="Arial" w:eastAsia="Arial" w:hAnsi="Arial"/>
          <w:sz w:val="20"/>
          <w:szCs w:val="20"/>
          <w:color w:val="auto"/>
        </w:rPr>
        <w:t>, then the assignee of such interest shall be deemed to be a Defaulting Lender for all purposes of this Agreement until such compliance occurs.</w:t>
      </w:r>
    </w:p>
    <w:p>
      <w:pPr>
        <w:spacing w:after="0" w:line="154" w:lineRule="exact"/>
        <w:rPr>
          <w:sz w:val="20"/>
          <w:szCs w:val="20"/>
          <w:color w:val="auto"/>
        </w:rPr>
      </w:pPr>
    </w:p>
    <w:p>
      <w:pPr>
        <w:jc w:val="both"/>
        <w:ind w:firstLine="1036"/>
        <w:spacing w:after="0" w:line="238" w:lineRule="auto"/>
        <w:tabs>
          <w:tab w:leader="none" w:pos="1515" w:val="left"/>
        </w:tabs>
        <w:numPr>
          <w:ilvl w:val="0"/>
          <w:numId w:val="262"/>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Register</w:t>
      </w:r>
      <w:r>
        <w:rPr>
          <w:rFonts w:ascii="Arial" w:cs="Arial" w:eastAsia="Arial" w:hAnsi="Arial"/>
          <w:sz w:val="19"/>
          <w:szCs w:val="19"/>
          <w:color w:val="auto"/>
        </w:rPr>
        <w:t>. (i) The Administrative Agent, acting solely for this purpose as a non-fiduciary agent of the Loan Parties (and such agency being solely for Tax purposes), shall maintain at one of its offices a copy of each Assignment and Assumption delivered to it and a register for the recordation of the names and addresses of the Lenders, and the Commitments of, and principal amounts (and stated interest) of the Loans and L/C Obligations owing to, each Lender pursuant to the terms hereof from 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The entries in the Register shall be conclusive absent manifest error, and the Loan Parties, the Administrative Agent, the Lenders and the L/C Issuers shall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The Register shall be available for inspection by the Loan Parties and, solely with respect to the Commitments of, and principal amounts (and stated interest) of the Loans or L/C Obligations owing to, any Lender, such Lender or such L/C Issuer, in each case at any reasonable time and from time to time upon reasonable prior notice.</w:t>
      </w:r>
    </w:p>
    <w:p>
      <w:pPr>
        <w:spacing w:after="0" w:line="160" w:lineRule="exact"/>
        <w:rPr>
          <w:rFonts w:ascii="Arial" w:cs="Arial" w:eastAsia="Arial" w:hAnsi="Arial"/>
          <w:sz w:val="19"/>
          <w:szCs w:val="19"/>
          <w:u w:val="single" w:color="auto"/>
          <w:color w:val="auto"/>
        </w:rPr>
      </w:pPr>
    </w:p>
    <w:p>
      <w:pPr>
        <w:jc w:val="both"/>
        <w:ind w:left="640" w:firstLine="956"/>
        <w:spacing w:after="0" w:line="225" w:lineRule="auto"/>
        <w:tabs>
          <w:tab w:leader="none" w:pos="2332" w:val="left"/>
        </w:tabs>
        <w:numPr>
          <w:ilvl w:val="1"/>
          <w:numId w:val="262"/>
        </w:numPr>
        <w:rPr>
          <w:rFonts w:ascii="Arial" w:cs="Arial" w:eastAsia="Arial" w:hAnsi="Arial"/>
          <w:sz w:val="20"/>
          <w:szCs w:val="20"/>
          <w:color w:val="auto"/>
        </w:rPr>
      </w:pPr>
      <w:r>
        <w:rPr>
          <w:rFonts w:ascii="Arial" w:cs="Arial" w:eastAsia="Arial" w:hAnsi="Arial"/>
          <w:sz w:val="20"/>
          <w:szCs w:val="20"/>
          <w:color w:val="auto"/>
        </w:rPr>
        <w:t xml:space="preserve">Upon receipt by the Administrative Agent of an Assignment and Assumption (or an agreement incorporating by reference a form of Assignment and Assumption posted on an Approved Electronic Platform) executed by an assigning Lender and an assignee, the assignee’s completed Administrative Questionnaire (unless the assignee shall already be a Lender hereunder) and the processing and recordation fee referred to above, the Administrative Agent shall accept such Assignment and Assumption and record the information contained therein in the Register;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Administrative Agent shall not be required to accept such Assignment and Assumption or so record the information contained therein if the Administrative Agent reasonably believes that such Assignment and Assumption lacks any written consent required by this </w:t>
      </w:r>
      <w:r>
        <w:rPr>
          <w:rFonts w:ascii="Arial" w:cs="Arial" w:eastAsia="Arial" w:hAnsi="Arial"/>
          <w:sz w:val="20"/>
          <w:szCs w:val="20"/>
          <w:u w:val="single" w:color="auto"/>
          <w:color w:val="auto"/>
        </w:rPr>
        <w:t>Section 11.06</w:t>
      </w:r>
      <w:r>
        <w:rPr>
          <w:rFonts w:ascii="Arial" w:cs="Arial" w:eastAsia="Arial" w:hAnsi="Arial"/>
          <w:sz w:val="20"/>
          <w:szCs w:val="20"/>
          <w:color w:val="auto"/>
        </w:rPr>
        <w:t xml:space="preserve"> or is otherwise not in proper form, it being acknowledged that the Administrative Agent shall have no duty or obligation (and shall incur no liability) with respect to obtaining (or confirming the receipt) of any such written consent or with respect to the form of (or any defect in) such Assignment and Assumption, any such duty and obligation being solely with the assigning Lender and the assignee. No assignment shall be effective for purposes of this Agreement unless it has been recorded in the Register as provided in this </w:t>
      </w:r>
      <w:r>
        <w:rPr>
          <w:rFonts w:ascii="Arial" w:cs="Arial" w:eastAsia="Arial" w:hAnsi="Arial"/>
          <w:sz w:val="20"/>
          <w:szCs w:val="20"/>
          <w:u w:val="single" w:color="auto"/>
          <w:color w:val="auto"/>
        </w:rPr>
        <w:t>Section 11.06(d)(ii)</w:t>
      </w:r>
      <w:r>
        <w:rPr>
          <w:rFonts w:ascii="Arial" w:cs="Arial" w:eastAsia="Arial" w:hAnsi="Arial"/>
          <w:sz w:val="20"/>
          <w:szCs w:val="20"/>
          <w:color w:val="auto"/>
        </w:rPr>
        <w:t>. Each assignee, by its execution and delivery of an Assignment and Assumption, shall be deemed to have represented to the assigning Lender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133</w:t>
      </w:r>
    </w:p>
    <w:p>
      <w:pPr>
        <w:sectPr>
          <w:pgSz w:w="11900" w:h="16838" w:orient="portrait"/>
          <w:cols w:equalWidth="0" w:num="1">
            <w:col w:w="11200"/>
          </w:cols>
          <w:pgMar w:left="320" w:top="1152" w:right="379" w:bottom="1440" w:gutter="0" w:footer="0" w:header="0"/>
        </w:sectPr>
      </w:pPr>
    </w:p>
    <w:bookmarkStart w:id="272" w:name="page273"/>
    <w:bookmarkEnd w:id="272"/>
    <w:p>
      <w:pPr>
        <w:ind w:left="640"/>
        <w:spacing w:after="0"/>
        <w:rPr>
          <w:sz w:val="20"/>
          <w:szCs w:val="20"/>
          <w:color w:val="auto"/>
        </w:rPr>
      </w:pPr>
      <w:r>
        <w:rPr>
          <w:rFonts w:ascii="Arial" w:cs="Arial" w:eastAsia="Arial" w:hAnsi="Arial"/>
          <w:sz w:val="21"/>
          <w:szCs w:val="21"/>
          <w:color w:val="auto"/>
        </w:rPr>
        <w:t xml:space="preserve">Administrative Agent that such assignee is not a Person made ineligible under </w:t>
      </w:r>
      <w:r>
        <w:rPr>
          <w:rFonts w:ascii="Arial" w:cs="Arial" w:eastAsia="Arial" w:hAnsi="Arial"/>
          <w:sz w:val="21"/>
          <w:szCs w:val="21"/>
          <w:u w:val="single" w:color="auto"/>
          <w:color w:val="auto"/>
        </w:rPr>
        <w:t>Section 11.06(b)(v)</w:t>
      </w:r>
      <w:r>
        <w:rPr>
          <w:rFonts w:ascii="Arial" w:cs="Arial" w:eastAsia="Arial" w:hAnsi="Arial"/>
          <w:sz w:val="21"/>
          <w:szCs w:val="21"/>
          <w:color w:val="auto"/>
        </w:rPr>
        <w:t>.</w:t>
      </w:r>
    </w:p>
    <w:p>
      <w:pPr>
        <w:spacing w:after="0" w:line="183" w:lineRule="exact"/>
        <w:rPr>
          <w:sz w:val="20"/>
          <w:szCs w:val="20"/>
          <w:color w:val="auto"/>
        </w:rPr>
      </w:pPr>
    </w:p>
    <w:p>
      <w:pPr>
        <w:jc w:val="both"/>
        <w:ind w:right="40" w:firstLine="1036"/>
        <w:spacing w:after="0" w:line="236" w:lineRule="auto"/>
        <w:tabs>
          <w:tab w:leader="none" w:pos="1499" w:val="left"/>
        </w:tabs>
        <w:numPr>
          <w:ilvl w:val="0"/>
          <w:numId w:val="263"/>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Any Lender may at any time, without the consent of, or notice to the Borrower, the Administrative Agent or any L/C Issuer, sell participations to any Person (other than an Ineligible Institution) (each,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 portion of such Lender’s rights and/or obligations under this Agreement (including all or a portion of its Commitment and/or the Loans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Lender’s obligations under this Agreement shall remain unchanged, (ii) such Lender shall remain solely responsible to the other parties hereto for the performance of such obligations and (iii) the Loan Parties, the Administrative Agent, the Lenders and the L/C Issuers shall continue to deal solely and directly with such Lender in connection with such Lender’s rights and obligations under this Agreement. Each Lender that sells a participation shall, acting solely for this purpose as a non-fiduciary agent of the Loan Parties,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this Agreement) to any Person except to the extent that such disclosure is necessary to establish that such Commitment, Loan, Letter of Credit or other obligation is in registered form under Section 5f.103-1(c) or Proposed Section 1.163-5(b) (or, in each case, any amended or successor sections) of the United States Treasury Regulations. For the avoidance of doubt, no Agent (in its capacity as the Administrative Agent) shall have any responsibility for maintaining a Participant Register.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spacing w:after="0" w:line="161" w:lineRule="exact"/>
        <w:rPr>
          <w:sz w:val="20"/>
          <w:szCs w:val="20"/>
          <w:color w:val="auto"/>
        </w:rPr>
      </w:pPr>
    </w:p>
    <w:p>
      <w:pPr>
        <w:jc w:val="both"/>
        <w:ind w:firstLine="624"/>
        <w:spacing w:after="0" w:line="216" w:lineRule="auto"/>
        <w:rPr>
          <w:sz w:val="20"/>
          <w:szCs w:val="20"/>
          <w:color w:val="auto"/>
        </w:rPr>
      </w:pPr>
      <w:r>
        <w:rPr>
          <w:rFonts w:ascii="Arial" w:cs="Arial" w:eastAsia="Arial" w:hAnsi="Arial"/>
          <w:sz w:val="21"/>
          <w:szCs w:val="21"/>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agreement or instrument may provide that such Lender will not, without the consent of the Participant, agree to any amendment, waiver or other modification described in the second proviso to </w:t>
      </w:r>
      <w:r>
        <w:rPr>
          <w:rFonts w:ascii="Arial" w:cs="Arial" w:eastAsia="Arial" w:hAnsi="Arial"/>
          <w:sz w:val="21"/>
          <w:szCs w:val="21"/>
          <w:u w:val="single" w:color="auto"/>
          <w:color w:val="auto"/>
        </w:rPr>
        <w:t>Section 11.01</w:t>
      </w:r>
      <w:r>
        <w:rPr>
          <w:rFonts w:ascii="Arial" w:cs="Arial" w:eastAsia="Arial" w:hAnsi="Arial"/>
          <w:sz w:val="21"/>
          <w:szCs w:val="21"/>
          <w:color w:val="auto"/>
        </w:rPr>
        <w:t xml:space="preserve"> that affects such Participant. Subject to </w:t>
      </w:r>
      <w:r>
        <w:rPr>
          <w:rFonts w:ascii="Arial" w:cs="Arial" w:eastAsia="Arial" w:hAnsi="Arial"/>
          <w:sz w:val="21"/>
          <w:szCs w:val="21"/>
          <w:u w:val="single" w:color="auto"/>
          <w:color w:val="auto"/>
        </w:rPr>
        <w:t>Section 11.06(f)</w:t>
      </w:r>
      <w:r>
        <w:rPr>
          <w:rFonts w:ascii="Arial" w:cs="Arial" w:eastAsia="Arial" w:hAnsi="Arial"/>
          <w:sz w:val="21"/>
          <w:szCs w:val="21"/>
          <w:color w:val="auto"/>
        </w:rPr>
        <w:t xml:space="preserve">, the Borrower and the other Loan Parties agree that each Participant shall be entitled to the benefits of </w:t>
      </w:r>
      <w:r>
        <w:rPr>
          <w:rFonts w:ascii="Arial" w:cs="Arial" w:eastAsia="Arial" w:hAnsi="Arial"/>
          <w:sz w:val="21"/>
          <w:szCs w:val="21"/>
          <w:u w:val="single" w:color="auto"/>
          <w:color w:val="auto"/>
        </w:rPr>
        <w:t>Sections 3.01</w:t>
      </w:r>
      <w:r>
        <w:rPr>
          <w:rFonts w:ascii="Arial" w:cs="Arial" w:eastAsia="Arial" w:hAnsi="Arial"/>
          <w:sz w:val="21"/>
          <w:szCs w:val="21"/>
          <w:color w:val="auto"/>
        </w:rPr>
        <w:t xml:space="preserve">, </w:t>
      </w:r>
      <w:r>
        <w:rPr>
          <w:rFonts w:ascii="Arial" w:cs="Arial" w:eastAsia="Arial" w:hAnsi="Arial"/>
          <w:sz w:val="21"/>
          <w:szCs w:val="21"/>
          <w:u w:val="single" w:color="auto"/>
          <w:color w:val="auto"/>
        </w:rPr>
        <w:t>3.04</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3.05</w:t>
      </w:r>
      <w:r>
        <w:rPr>
          <w:rFonts w:ascii="Arial" w:cs="Arial" w:eastAsia="Arial" w:hAnsi="Arial"/>
          <w:sz w:val="21"/>
          <w:szCs w:val="21"/>
          <w:color w:val="auto"/>
        </w:rPr>
        <w:t xml:space="preserve"> (subject to the requirements and limitations therein) to the same extent as if it were a Lender and had acquired its interest by assignment pursuant to </w:t>
      </w:r>
      <w:r>
        <w:rPr>
          <w:rFonts w:ascii="Arial" w:cs="Arial" w:eastAsia="Arial" w:hAnsi="Arial"/>
          <w:sz w:val="21"/>
          <w:szCs w:val="21"/>
          <w:u w:val="single" w:color="auto"/>
          <w:color w:val="auto"/>
        </w:rPr>
        <w:t>Section 11.06(b)</w:t>
      </w:r>
      <w:r>
        <w:rPr>
          <w:rFonts w:ascii="Arial" w:cs="Arial" w:eastAsia="Arial" w:hAnsi="Arial"/>
          <w:sz w:val="21"/>
          <w:szCs w:val="21"/>
          <w:color w:val="auto"/>
        </w:rPr>
        <w:t xml:space="preserve"> (it being understood that any documentation required under Section 3.01 shall be delivered to the participating Lender);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Participant agrees to be subject to the provisions of </w:t>
      </w:r>
      <w:r>
        <w:rPr>
          <w:rFonts w:ascii="Arial" w:cs="Arial" w:eastAsia="Arial" w:hAnsi="Arial"/>
          <w:sz w:val="21"/>
          <w:szCs w:val="21"/>
          <w:u w:val="single" w:color="auto"/>
          <w:color w:val="auto"/>
        </w:rPr>
        <w:t>Section 3.06</w:t>
      </w:r>
      <w:r>
        <w:rPr>
          <w:rFonts w:ascii="Arial" w:cs="Arial" w:eastAsia="Arial" w:hAnsi="Arial"/>
          <w:sz w:val="21"/>
          <w:szCs w:val="21"/>
          <w:color w:val="auto"/>
        </w:rPr>
        <w:t xml:space="preserve"> as if it were a Lender. To the extent permitted by law, each Participant also shall be entitled to the benefits of </w:t>
      </w:r>
      <w:r>
        <w:rPr>
          <w:rFonts w:ascii="Arial" w:cs="Arial" w:eastAsia="Arial" w:hAnsi="Arial"/>
          <w:sz w:val="21"/>
          <w:szCs w:val="21"/>
          <w:u w:val="single" w:color="auto"/>
          <w:color w:val="auto"/>
        </w:rPr>
        <w:t>Section 11.08</w:t>
      </w:r>
      <w:r>
        <w:rPr>
          <w:rFonts w:ascii="Arial" w:cs="Arial" w:eastAsia="Arial" w:hAnsi="Arial"/>
          <w:sz w:val="21"/>
          <w:szCs w:val="21"/>
          <w:color w:val="auto"/>
        </w:rPr>
        <w:t xml:space="preserve"> as though it were a Lender;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such Participant agrees to be subject to </w:t>
      </w:r>
      <w:r>
        <w:rPr>
          <w:rFonts w:ascii="Arial" w:cs="Arial" w:eastAsia="Arial" w:hAnsi="Arial"/>
          <w:sz w:val="21"/>
          <w:szCs w:val="21"/>
          <w:u w:val="single" w:color="auto"/>
          <w:color w:val="auto"/>
        </w:rPr>
        <w:t>Section 2.13</w:t>
      </w:r>
      <w:r>
        <w:rPr>
          <w:rFonts w:ascii="Arial" w:cs="Arial" w:eastAsia="Arial" w:hAnsi="Arial"/>
          <w:sz w:val="21"/>
          <w:szCs w:val="21"/>
          <w:color w:val="auto"/>
        </w:rPr>
        <w:t xml:space="preserve"> as though it were a Lender.</w:t>
      </w:r>
    </w:p>
    <w:p>
      <w:pPr>
        <w:spacing w:after="0" w:line="153" w:lineRule="exact"/>
        <w:rPr>
          <w:sz w:val="20"/>
          <w:szCs w:val="20"/>
          <w:color w:val="auto"/>
        </w:rPr>
      </w:pPr>
    </w:p>
    <w:p>
      <w:pPr>
        <w:jc w:val="both"/>
        <w:ind w:firstLine="624"/>
        <w:spacing w:after="0" w:line="222" w:lineRule="auto"/>
        <w:rPr>
          <w:sz w:val="20"/>
          <w:szCs w:val="20"/>
          <w:color w:val="auto"/>
        </w:rPr>
      </w:pPr>
      <w:r>
        <w:rPr>
          <w:rFonts w:ascii="Arial" w:cs="Arial" w:eastAsia="Arial" w:hAnsi="Arial"/>
          <w:sz w:val="21"/>
          <w:szCs w:val="21"/>
          <w:color w:val="auto"/>
        </w:rPr>
        <w:t>The Borrower may from time to time request any Lender to disclose whether or not such Lender has sold a participation in all or any portion of such Lender's rights and/or obligations under this Agreement (including all or a portion of its Commitment and/or the Loans owing to it); provided that (i) no Lender shall be required to respond to any such request by the Borrower, (ii) any failure by any Lender to respond to such inquiry, and any inaccuracy in the response by any Lender that elects in its sole discretion to respond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134</w:t>
      </w:r>
    </w:p>
    <w:p>
      <w:pPr>
        <w:sectPr>
          <w:pgSz w:w="11900" w:h="16838" w:orient="portrait"/>
          <w:cols w:equalWidth="0" w:num="1">
            <w:col w:w="11240"/>
          </w:cols>
          <w:pgMar w:left="320" w:top="1152" w:right="339" w:bottom="1440" w:gutter="0" w:footer="0" w:header="0"/>
        </w:sectPr>
      </w:pPr>
    </w:p>
    <w:bookmarkStart w:id="273" w:name="page274"/>
    <w:bookmarkEnd w:id="273"/>
    <w:p>
      <w:pPr>
        <w:spacing w:after="0"/>
        <w:rPr>
          <w:sz w:val="20"/>
          <w:szCs w:val="20"/>
          <w:color w:val="auto"/>
        </w:rPr>
      </w:pPr>
      <w:r>
        <w:rPr>
          <w:rFonts w:ascii="Arial" w:cs="Arial" w:eastAsia="Arial" w:hAnsi="Arial"/>
          <w:sz w:val="19"/>
          <w:szCs w:val="19"/>
          <w:color w:val="auto"/>
        </w:rPr>
        <w:t>such inquiry, in each case shall not cause such Lender to be in breach, default, violation or other noncompliance of this Agreement,</w:t>
      </w:r>
    </w:p>
    <w:p>
      <w:pPr>
        <w:spacing w:after="0" w:line="12" w:lineRule="exact"/>
        <w:rPr>
          <w:sz w:val="20"/>
          <w:szCs w:val="20"/>
          <w:color w:val="auto"/>
        </w:rPr>
      </w:pPr>
    </w:p>
    <w:p>
      <w:pPr>
        <w:jc w:val="both"/>
        <w:ind w:firstLine="6"/>
        <w:spacing w:after="0" w:line="218" w:lineRule="auto"/>
        <w:tabs>
          <w:tab w:leader="none" w:pos="381" w:val="left"/>
        </w:tabs>
        <w:numPr>
          <w:ilvl w:val="0"/>
          <w:numId w:val="264"/>
        </w:numPr>
        <w:rPr>
          <w:rFonts w:ascii="Arial" w:cs="Arial" w:eastAsia="Arial" w:hAnsi="Arial"/>
          <w:sz w:val="21"/>
          <w:szCs w:val="21"/>
          <w:color w:val="auto"/>
        </w:rPr>
      </w:pPr>
      <w:r>
        <w:rPr>
          <w:rFonts w:ascii="Arial" w:cs="Arial" w:eastAsia="Arial" w:hAnsi="Arial"/>
          <w:sz w:val="21"/>
          <w:szCs w:val="21"/>
          <w:color w:val="auto"/>
        </w:rPr>
        <w:t>any Lender that fails to respond to such inquiry, and any Lender that elects in its sole discretion to respond to such inquiry, in each case shall not have any liability of any kind to the Borrower or any other Person as a result of such failure to respond or any inaccuracy in any such response and (iv) any failure by such Lender to respond to such inquiry, and any inaccuracy in any response provided by such Lender in its sole discretion, in each case shall not affect the legality, validity or enforceability of any participation sold by such Lender.</w:t>
      </w:r>
    </w:p>
    <w:p>
      <w:pPr>
        <w:spacing w:after="0" w:line="157" w:lineRule="exact"/>
        <w:rPr>
          <w:rFonts w:ascii="Arial" w:cs="Arial" w:eastAsia="Arial" w:hAnsi="Arial"/>
          <w:sz w:val="21"/>
          <w:szCs w:val="21"/>
          <w:color w:val="auto"/>
        </w:rPr>
      </w:pPr>
    </w:p>
    <w:p>
      <w:pPr>
        <w:jc w:val="both"/>
        <w:ind w:right="40" w:firstLine="1036"/>
        <w:spacing w:after="0" w:line="247" w:lineRule="auto"/>
        <w:tabs>
          <w:tab w:leader="none" w:pos="1576" w:val="left"/>
        </w:tabs>
        <w:numPr>
          <w:ilvl w:val="1"/>
          <w:numId w:val="264"/>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Limitations upon Participant Rights</w:t>
      </w:r>
      <w:r>
        <w:rPr>
          <w:rFonts w:ascii="Arial" w:cs="Arial" w:eastAsia="Arial" w:hAnsi="Arial"/>
          <w:sz w:val="19"/>
          <w:szCs w:val="19"/>
          <w:color w:val="auto"/>
        </w:rPr>
        <w:t xml:space="preserve">. A Participant shall not be entitled to receive any greater payment under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than the applicable Lender would have been entitled to receive with respect to the participation sold to such Participant, unless the sale of the participation to such Participant is made with the Borrower’s prior written consent. Participant agrees, for the benefit of the Borrower, to comply with </w:t>
      </w:r>
      <w:r>
        <w:rPr>
          <w:rFonts w:ascii="Arial" w:cs="Arial" w:eastAsia="Arial" w:hAnsi="Arial"/>
          <w:sz w:val="19"/>
          <w:szCs w:val="19"/>
          <w:u w:val="single" w:color="auto"/>
          <w:color w:val="auto"/>
        </w:rPr>
        <w:t>Sections 3.01(e)</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3.01(g)</w:t>
      </w:r>
      <w:r>
        <w:rPr>
          <w:rFonts w:ascii="Arial" w:cs="Arial" w:eastAsia="Arial" w:hAnsi="Arial"/>
          <w:sz w:val="19"/>
          <w:szCs w:val="19"/>
          <w:color w:val="auto"/>
        </w:rPr>
        <w:t xml:space="preserve"> as though it were a Lender (it being understood that any documentation required under Section 3.01 shall be delivered by the Participant to the participating Lender).</w:t>
      </w:r>
    </w:p>
    <w:p>
      <w:pPr>
        <w:spacing w:after="0" w:line="147" w:lineRule="exact"/>
        <w:rPr>
          <w:rFonts w:ascii="Arial" w:cs="Arial" w:eastAsia="Arial" w:hAnsi="Arial"/>
          <w:sz w:val="19"/>
          <w:szCs w:val="19"/>
          <w:u w:val="single" w:color="auto"/>
          <w:color w:val="auto"/>
        </w:rPr>
      </w:pPr>
    </w:p>
    <w:p>
      <w:pPr>
        <w:jc w:val="both"/>
        <w:ind w:right="40" w:firstLine="1036"/>
        <w:spacing w:after="0" w:line="220" w:lineRule="auto"/>
        <w:tabs>
          <w:tab w:leader="none" w:pos="1507" w:val="left"/>
        </w:tabs>
        <w:numPr>
          <w:ilvl w:val="1"/>
          <w:numId w:val="264"/>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Certain Pledges</w:t>
      </w:r>
      <w:r>
        <w:rPr>
          <w:rFonts w:ascii="Arial" w:cs="Arial" w:eastAsia="Arial" w:hAnsi="Arial"/>
          <w:sz w:val="21"/>
          <w:szCs w:val="21"/>
          <w:color w:val="auto"/>
        </w:rPr>
        <w:t xml:space="preserve">. Any Lender may at any time pledge or assign a security interest in all or any portion of its rights under this Agreement (including under its Note(s), if any) to secure obligations of such Lender, including any pledge or assignment to secure obligations to a Federal Reserve Bank or any other central bank having jurisdiction over such Lender, and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11.06</w:t>
      </w:r>
      <w:r>
        <w:rPr>
          <w:rFonts w:ascii="Arial" w:cs="Arial" w:eastAsia="Arial" w:hAnsi="Arial"/>
          <w:sz w:val="21"/>
          <w:szCs w:val="21"/>
          <w:color w:val="auto"/>
        </w:rPr>
        <w:t xml:space="preserve"> shall not apply to any such pledge or assignment to secure obligations;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such pledge or assignment shall release such Lender from any of its obligations hereunder or substitute any such pledgee or assignee for such Lender as a party hereto.</w:t>
      </w:r>
    </w:p>
    <w:p>
      <w:pPr>
        <w:spacing w:after="0" w:line="155" w:lineRule="exact"/>
        <w:rPr>
          <w:rFonts w:ascii="Arial" w:cs="Arial" w:eastAsia="Arial" w:hAnsi="Arial"/>
          <w:sz w:val="21"/>
          <w:szCs w:val="21"/>
          <w:u w:val="single" w:color="auto"/>
          <w:color w:val="auto"/>
        </w:rPr>
      </w:pPr>
    </w:p>
    <w:p>
      <w:pPr>
        <w:ind w:left="1500" w:hanging="464"/>
        <w:spacing w:after="0"/>
        <w:tabs>
          <w:tab w:leader="none" w:pos="1500" w:val="left"/>
        </w:tabs>
        <w:numPr>
          <w:ilvl w:val="1"/>
          <w:numId w:val="264"/>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Disqualified Competitors</w:t>
      </w:r>
      <w:r>
        <w:rPr>
          <w:rFonts w:ascii="Arial" w:cs="Arial" w:eastAsia="Arial" w:hAnsi="Arial"/>
          <w:sz w:val="21"/>
          <w:szCs w:val="21"/>
          <w:color w:val="auto"/>
        </w:rPr>
        <w:t>.</w:t>
      </w:r>
    </w:p>
    <w:p>
      <w:pPr>
        <w:spacing w:after="0" w:line="182" w:lineRule="exact"/>
        <w:rPr>
          <w:rFonts w:ascii="Arial" w:cs="Arial" w:eastAsia="Arial" w:hAnsi="Arial"/>
          <w:sz w:val="21"/>
          <w:szCs w:val="21"/>
          <w:u w:val="single" w:color="auto"/>
          <w:color w:val="auto"/>
        </w:rPr>
      </w:pPr>
    </w:p>
    <w:p>
      <w:pPr>
        <w:jc w:val="both"/>
        <w:ind w:left="640" w:right="40" w:firstLine="638"/>
        <w:spacing w:after="0" w:line="215" w:lineRule="auto"/>
        <w:tabs>
          <w:tab w:leader="none" w:pos="1912" w:val="left"/>
        </w:tabs>
        <w:numPr>
          <w:ilvl w:val="2"/>
          <w:numId w:val="264"/>
        </w:numPr>
        <w:rPr>
          <w:rFonts w:ascii="Arial" w:cs="Arial" w:eastAsia="Arial" w:hAnsi="Arial"/>
          <w:sz w:val="21"/>
          <w:szCs w:val="21"/>
          <w:color w:val="auto"/>
        </w:rPr>
      </w:pPr>
      <w:r>
        <w:rPr>
          <w:rFonts w:ascii="Arial" w:cs="Arial" w:eastAsia="Arial" w:hAnsi="Arial"/>
          <w:sz w:val="21"/>
          <w:szCs w:val="21"/>
          <w:color w:val="auto"/>
        </w:rPr>
        <w:t>No assignment or participation shall be made to any Person that was a Disqualified Competitor as of the date (the “</w:t>
      </w:r>
      <w:r>
        <w:rPr>
          <w:rFonts w:ascii="Arial" w:cs="Arial" w:eastAsia="Arial" w:hAnsi="Arial"/>
          <w:sz w:val="21"/>
          <w:szCs w:val="21"/>
          <w:u w:val="single" w:color="auto"/>
          <w:color w:val="auto"/>
        </w:rPr>
        <w:t>Trade Date</w:t>
      </w:r>
      <w:r>
        <w:rPr>
          <w:rFonts w:ascii="Arial" w:cs="Arial" w:eastAsia="Arial" w:hAnsi="Arial"/>
          <w:sz w:val="21"/>
          <w:szCs w:val="21"/>
          <w:color w:val="auto"/>
        </w:rPr>
        <w:t>”) on which the assigning Lender entered into a binding agreement to sell and assign or grant a participation in all or a portion of its rights and obligations under this Agreement to such Person (unless the Borrower has consented to such assignment or participation in writing in its sole and absolute discretion, in which case such Person will not be considered a Disqualified Competitor for the purpose of such assignment or participation). For the avoidance of doubt, with respect to any assignee or Participant that becomes a Disqualified Competitor after the applicable Trade Date (including as a result of the delivery of a written supplement to the list of “Disqualified Competitors” referred to in, the definition of “Disqualified Competitor”), (x) such assignee or Participant shall not retroactively be disqualified from becoming a Lender or Participant and (y) the execution by the Borrower of an Assignment and Assumption with respect to such assignee will not by itself result in such assignee no longer being considered a Disqualified Competitor. Any assignment or participation in violation of this clause (h)(i) shall not be void, but the other provisions of this clause (h) shall apply.</w:t>
      </w:r>
    </w:p>
    <w:p>
      <w:pPr>
        <w:spacing w:after="0" w:line="160" w:lineRule="exact"/>
        <w:rPr>
          <w:rFonts w:ascii="Arial" w:cs="Arial" w:eastAsia="Arial" w:hAnsi="Arial"/>
          <w:sz w:val="21"/>
          <w:szCs w:val="21"/>
          <w:color w:val="auto"/>
        </w:rPr>
      </w:pPr>
    </w:p>
    <w:p>
      <w:pPr>
        <w:jc w:val="both"/>
        <w:ind w:left="640" w:right="40" w:firstLine="638"/>
        <w:spacing w:after="0" w:line="225" w:lineRule="auto"/>
        <w:tabs>
          <w:tab w:leader="none" w:pos="1912" w:val="left"/>
        </w:tabs>
        <w:numPr>
          <w:ilvl w:val="2"/>
          <w:numId w:val="264"/>
        </w:numPr>
        <w:rPr>
          <w:rFonts w:ascii="Arial" w:cs="Arial" w:eastAsia="Arial" w:hAnsi="Arial"/>
          <w:sz w:val="21"/>
          <w:szCs w:val="21"/>
          <w:color w:val="auto"/>
        </w:rPr>
      </w:pPr>
      <w:r>
        <w:rPr>
          <w:rFonts w:ascii="Arial" w:cs="Arial" w:eastAsia="Arial" w:hAnsi="Arial"/>
          <w:sz w:val="21"/>
          <w:szCs w:val="21"/>
          <w:color w:val="auto"/>
        </w:rPr>
        <w:t>If any assignment or participation is made to any Disqualified Competitor without the Borrower’s prior written consent in violation of clause (i) above, or if any Person becomes a Disqualified Competitor after the applicable Trade Date, the Borrower may, at its sole expense and effort, upon notice to the applicable Disqualified Competitor and the Administrative Agent, require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135</w:t>
      </w:r>
    </w:p>
    <w:p>
      <w:pPr>
        <w:sectPr>
          <w:pgSz w:w="11900" w:h="16838" w:orient="portrait"/>
          <w:cols w:equalWidth="0" w:num="1">
            <w:col w:w="11240"/>
          </w:cols>
          <w:pgMar w:left="320" w:top="1152" w:right="339" w:bottom="1440" w:gutter="0" w:footer="0" w:header="0"/>
        </w:sectPr>
      </w:pPr>
    </w:p>
    <w:bookmarkStart w:id="274" w:name="page275"/>
    <w:bookmarkEnd w:id="274"/>
    <w:p>
      <w:pPr>
        <w:jc w:val="both"/>
        <w:spacing w:after="0" w:line="222" w:lineRule="auto"/>
        <w:rPr>
          <w:sz w:val="20"/>
          <w:szCs w:val="20"/>
          <w:color w:val="auto"/>
        </w:rPr>
      </w:pPr>
      <w:r>
        <w:rPr>
          <w:rFonts w:ascii="Arial" w:cs="Arial" w:eastAsia="Arial" w:hAnsi="Arial"/>
          <w:sz w:val="21"/>
          <w:szCs w:val="21"/>
          <w:color w:val="auto"/>
        </w:rPr>
        <w:t xml:space="preserve">Disqualified Competitor to assign, without recourse (in accordance with and subject to the restrictions contained in this </w:t>
      </w:r>
      <w:r>
        <w:rPr>
          <w:rFonts w:ascii="Arial" w:cs="Arial" w:eastAsia="Arial" w:hAnsi="Arial"/>
          <w:sz w:val="21"/>
          <w:szCs w:val="21"/>
          <w:u w:val="single" w:color="auto"/>
          <w:color w:val="auto"/>
        </w:rPr>
        <w:t>Section 11.06</w:t>
      </w:r>
      <w:r>
        <w:rPr>
          <w:rFonts w:ascii="Arial" w:cs="Arial" w:eastAsia="Arial" w:hAnsi="Arial"/>
          <w:sz w:val="21"/>
          <w:szCs w:val="21"/>
          <w:color w:val="auto"/>
        </w:rPr>
        <w:t>), all of its interest, rights and obligations under this Agreement to one or more Persons (other than an Ineligible Institution) at the lesser of (x) the principal amount thereof and (y) the amount that such Disqualified Competitor paid to acquire such interests, rights and obligations in each case plus accrued interest, accrued fees and all other amounts (other than principal amounts) payable to it hereunder.</w:t>
      </w:r>
    </w:p>
    <w:p>
      <w:pPr>
        <w:spacing w:after="0" w:line="155" w:lineRule="exact"/>
        <w:rPr>
          <w:sz w:val="20"/>
          <w:szCs w:val="20"/>
          <w:color w:val="auto"/>
        </w:rPr>
      </w:pPr>
    </w:p>
    <w:p>
      <w:pPr>
        <w:jc w:val="both"/>
        <w:ind w:firstLine="638"/>
        <w:spacing w:after="0" w:line="236" w:lineRule="auto"/>
        <w:tabs>
          <w:tab w:leader="none" w:pos="1272" w:val="left"/>
        </w:tabs>
        <w:numPr>
          <w:ilvl w:val="0"/>
          <w:numId w:val="265"/>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this Agreement, Disqualified Competitors to whom an assignment or participation is made in violation of clause (i) above (A) will not have the right to (x) receive information, reports or other materials provided to Lenders by the Borrower,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 and (B) (x)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Competitor will be deemed to have consented in the same proportion as the Lenders that are not Disqualified Competitors consented to such matter and (y) for purposes of voting on any plan of reorganization, each Disqualified Competitor party hereto hereby agrees (1) not to vote on such plan of reorganization, (2) if such Disqualified Competitor does vote on such plan of reorganization notwithstanding the restriction in the foregoing clause (1), such vote will be deemed not to be in good faith and shall be “designated” pursuant to Section 1126(e) of the Bankruptcy Code (or any similar provision in any other applicable laws), and such vote shall not be counted in determining whether the applicable class has accepted or rejected such plan of reorganization in accordance with Section 1126(c) of the Bankruptcy Code (or any similar provision in any other applicable laws) and (3) not to contest any request by any party for a determination by the Bankruptcy Court (or other applicable court of competent jurisdiction) effectuating the foregoing clause (2).</w:t>
      </w:r>
    </w:p>
    <w:p>
      <w:pPr>
        <w:spacing w:after="0" w:line="163" w:lineRule="exact"/>
        <w:rPr>
          <w:rFonts w:ascii="Arial" w:cs="Arial" w:eastAsia="Arial" w:hAnsi="Arial"/>
          <w:sz w:val="19"/>
          <w:szCs w:val="19"/>
          <w:color w:val="auto"/>
        </w:rPr>
      </w:pPr>
    </w:p>
    <w:p>
      <w:pPr>
        <w:jc w:val="both"/>
        <w:ind w:firstLine="638"/>
        <w:spacing w:after="0" w:line="236" w:lineRule="auto"/>
        <w:tabs>
          <w:tab w:leader="none" w:pos="1272" w:val="left"/>
        </w:tabs>
        <w:numPr>
          <w:ilvl w:val="0"/>
          <w:numId w:val="265"/>
        </w:numPr>
        <w:rPr>
          <w:rFonts w:ascii="Arial" w:cs="Arial" w:eastAsia="Arial" w:hAnsi="Arial"/>
          <w:sz w:val="20"/>
          <w:szCs w:val="20"/>
          <w:color w:val="auto"/>
        </w:rPr>
      </w:pPr>
      <w:r>
        <w:rPr>
          <w:rFonts w:ascii="Arial" w:cs="Arial" w:eastAsia="Arial" w:hAnsi="Arial"/>
          <w:sz w:val="20"/>
          <w:szCs w:val="20"/>
          <w:color w:val="auto"/>
        </w:rPr>
        <w:t>The Administrative Agent shall have the right, and the Borrower hereby expressly authorizes the Administrative Agent, to (A) post the list of Disqualified Competitors provided by the Borrower and any updates thereto from time to time (collectively, the “</w:t>
      </w:r>
      <w:r>
        <w:rPr>
          <w:rFonts w:ascii="Arial" w:cs="Arial" w:eastAsia="Arial" w:hAnsi="Arial"/>
          <w:sz w:val="20"/>
          <w:szCs w:val="20"/>
          <w:u w:val="single" w:color="auto"/>
          <w:color w:val="auto"/>
        </w:rPr>
        <w:t>DQ List</w:t>
      </w:r>
      <w:r>
        <w:rPr>
          <w:rFonts w:ascii="Arial" w:cs="Arial" w:eastAsia="Arial" w:hAnsi="Arial"/>
          <w:sz w:val="20"/>
          <w:szCs w:val="20"/>
          <w:color w:val="auto"/>
        </w:rPr>
        <w:t>”) on a Platform, including that portion of such Platform that is designated for “public side” Lenders and/or (B) provide the DQ List to each Lender or potential Lender requesting the same.</w:t>
      </w:r>
    </w:p>
    <w:p>
      <w:pPr>
        <w:spacing w:after="0" w:line="155" w:lineRule="exact"/>
        <w:rPr>
          <w:rFonts w:ascii="Arial" w:cs="Arial" w:eastAsia="Arial" w:hAnsi="Arial"/>
          <w:sz w:val="20"/>
          <w:szCs w:val="20"/>
          <w:color w:val="auto"/>
        </w:rPr>
      </w:pPr>
    </w:p>
    <w:p>
      <w:pPr>
        <w:jc w:val="both"/>
        <w:ind w:firstLine="638"/>
        <w:spacing w:after="0" w:line="231" w:lineRule="auto"/>
        <w:tabs>
          <w:tab w:leader="none" w:pos="1272" w:val="left"/>
        </w:tabs>
        <w:numPr>
          <w:ilvl w:val="0"/>
          <w:numId w:val="265"/>
        </w:numPr>
        <w:rPr>
          <w:rFonts w:ascii="Arial" w:cs="Arial" w:eastAsia="Arial" w:hAnsi="Arial"/>
          <w:sz w:val="20"/>
          <w:szCs w:val="20"/>
          <w:color w:val="auto"/>
        </w:rPr>
      </w:pPr>
      <w:r>
        <w:rPr>
          <w:rFonts w:ascii="Arial" w:cs="Arial" w:eastAsia="Arial" w:hAnsi="Arial"/>
          <w:sz w:val="20"/>
          <w:szCs w:val="20"/>
          <w:color w:val="auto"/>
        </w:rPr>
        <w:t>The Administrative Agent and the Lenders shall not be responsible or have any liability for, or have any duty to ascertain, inquire into, monitor or enforce, compliance with the provisions hereof relating to Disqualified Competitors. Without limiting the generality of the foregoing, neither the Administrative Agent nor any Lender shall (x) be obligated to ascertain, monitor or inquire as to whether any other Lender or Participant or prospective Lender or Participant is a Disqualified Competitor or (y) have any liability with respect to or arising out of any assignment or participation of Loans, or disclosure of confidential information, by any other Person to any Disqualified Competitor.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820"/>
        <w:spacing w:after="0"/>
        <w:rPr>
          <w:sz w:val="20"/>
          <w:szCs w:val="20"/>
          <w:color w:val="auto"/>
        </w:rPr>
      </w:pPr>
      <w:r>
        <w:rPr>
          <w:rFonts w:ascii="Arial" w:cs="Arial" w:eastAsia="Arial" w:hAnsi="Arial"/>
          <w:sz w:val="21"/>
          <w:szCs w:val="21"/>
          <w:color w:val="auto"/>
        </w:rPr>
        <w:t>136</w:t>
      </w:r>
    </w:p>
    <w:p>
      <w:pPr>
        <w:sectPr>
          <w:pgSz w:w="11900" w:h="16838" w:orient="portrait"/>
          <w:cols w:equalWidth="0" w:num="1">
            <w:col w:w="10560"/>
          </w:cols>
          <w:pgMar w:left="960" w:top="1152" w:right="379" w:bottom="1440" w:gutter="0" w:footer="0" w:header="0"/>
        </w:sectPr>
      </w:pPr>
    </w:p>
    <w:bookmarkStart w:id="275" w:name="page276"/>
    <w:bookmarkEnd w:id="275"/>
    <w:p>
      <w:pPr>
        <w:jc w:val="both"/>
        <w:ind w:firstLine="1036"/>
        <w:spacing w:after="0" w:line="238" w:lineRule="auto"/>
        <w:tabs>
          <w:tab w:leader="none" w:pos="1487" w:val="left"/>
        </w:tabs>
        <w:numPr>
          <w:ilvl w:val="0"/>
          <w:numId w:val="266"/>
        </w:numPr>
        <w:rPr>
          <w:rFonts w:ascii="Arial" w:cs="Arial" w:eastAsia="Arial" w:hAnsi="Arial"/>
          <w:sz w:val="19"/>
          <w:szCs w:val="19"/>
          <w:color w:val="auto"/>
        </w:rPr>
      </w:pPr>
      <w:r>
        <w:rPr>
          <w:rFonts w:ascii="Arial" w:cs="Arial" w:eastAsia="Arial" w:hAnsi="Arial"/>
          <w:sz w:val="19"/>
          <w:szCs w:val="19"/>
          <w:color w:val="auto"/>
        </w:rPr>
        <w:t xml:space="preserve">Resignation as L/C Issuer after Assignment. Notwithstanding anything to the contrary contained herein, if at any time any Lender that is also an L/C Issuer assigns all of its Commitment and Loans pursuant to </w:t>
      </w:r>
      <w:r>
        <w:rPr>
          <w:rFonts w:ascii="Arial" w:cs="Arial" w:eastAsia="Arial" w:hAnsi="Arial"/>
          <w:sz w:val="19"/>
          <w:szCs w:val="19"/>
          <w:u w:val="single" w:color="auto"/>
          <w:color w:val="auto"/>
        </w:rPr>
        <w:t>Section 11.06(b)</w:t>
      </w:r>
      <w:r>
        <w:rPr>
          <w:rFonts w:ascii="Arial" w:cs="Arial" w:eastAsia="Arial" w:hAnsi="Arial"/>
          <w:sz w:val="19"/>
          <w:szCs w:val="19"/>
          <w:color w:val="auto"/>
        </w:rPr>
        <w:t xml:space="preserve">, such Lender may, upon 30 days’ notice to the Borrower and the Lenders, resign as L/C Issuer. In the event of any such resignation as an L/C Issuer, the Borrower shall be entitled to appoint from among the Lenders consenting to act in such capacity a successor L/C Issuer;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neither failure by the Borrower to appoint any such successor nor such successor’s acceptance of such appointment shall affect the resignation of such Lender as an L/C Issuer. If a Lender resigns as L/C Issuer, it shall retain all the rights, powers, privileges and duties of the L/C Issuer hereunder with respect to all Letters of Credit outstanding as of the effective date of its resignation as an L/C Issuer and all L/C Obligations with respect thereto (including the right to require the Lenders to make Base Rate Committed Loans or fund risk participations in Unreimbursed Amounts pursuant to </w:t>
      </w:r>
      <w:r>
        <w:rPr>
          <w:rFonts w:ascii="Arial" w:cs="Arial" w:eastAsia="Arial" w:hAnsi="Arial"/>
          <w:sz w:val="19"/>
          <w:szCs w:val="19"/>
          <w:u w:val="single" w:color="auto"/>
          <w:color w:val="auto"/>
        </w:rPr>
        <w:t>Section 2.04(c)</w:t>
      </w:r>
      <w:r>
        <w:rPr>
          <w:rFonts w:ascii="Arial" w:cs="Arial" w:eastAsia="Arial" w:hAnsi="Arial"/>
          <w:sz w:val="19"/>
          <w:szCs w:val="19"/>
          <w:color w:val="auto"/>
        </w:rPr>
        <w:t>). Upon the appointment of a successor L/C Issuer, and such successor’s acceptance of such appointment, such successor shall succeed to and become vested with all of the rights, powers, privileges and duties of an L/C Issuer.</w:t>
      </w:r>
    </w:p>
    <w:p>
      <w:pPr>
        <w:spacing w:after="0" w:line="161" w:lineRule="exact"/>
        <w:rPr>
          <w:sz w:val="20"/>
          <w:szCs w:val="20"/>
          <w:color w:val="auto"/>
        </w:rPr>
      </w:pPr>
    </w:p>
    <w:p>
      <w:pPr>
        <w:jc w:val="both"/>
        <w:ind w:firstLine="954"/>
        <w:spacing w:after="0" w:line="235" w:lineRule="auto"/>
        <w:rPr>
          <w:sz w:val="20"/>
          <w:szCs w:val="20"/>
          <w:color w:val="auto"/>
        </w:rPr>
      </w:pPr>
      <w:r>
        <w:rPr>
          <w:rFonts w:ascii="Arial" w:cs="Arial" w:eastAsia="Arial" w:hAnsi="Arial"/>
          <w:sz w:val="19"/>
          <w:szCs w:val="19"/>
          <w:color w:val="auto"/>
        </w:rPr>
        <w:t xml:space="preserve">Section 11.07 </w:t>
      </w:r>
      <w:r>
        <w:rPr>
          <w:rFonts w:ascii="Arial" w:cs="Arial" w:eastAsia="Arial" w:hAnsi="Arial"/>
          <w:sz w:val="19"/>
          <w:szCs w:val="19"/>
          <w:u w:val="single" w:color="auto"/>
          <w:color w:val="auto"/>
        </w:rPr>
        <w:t>Treatment of Certain Information; Confidentiality</w:t>
      </w:r>
      <w:r>
        <w:rPr>
          <w:rFonts w:ascii="Arial" w:cs="Arial" w:eastAsia="Arial" w:hAnsi="Arial"/>
          <w:sz w:val="19"/>
          <w:szCs w:val="19"/>
          <w:color w:val="auto"/>
        </w:rPr>
        <w:t>. Each of the Administrative Agent, the Lenders and the L/C Issuers agrees to maintain the confidentiality of the Information (as defined below), except that Information may be disclosed (a) to its Affiliates and to its and its Affiliates’ respective directors, officers, employees, Agent, advisors and other representatives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or its Affiliates (including any self-regulatory authority, such as the National Association of Insurance Commissioners), (c) to the extent required by applicable Laws or regulations or by any subpoena or similar legal process,</w:t>
      </w:r>
    </w:p>
    <w:p>
      <w:pPr>
        <w:spacing w:after="0" w:line="4" w:lineRule="exact"/>
        <w:rPr>
          <w:sz w:val="20"/>
          <w:szCs w:val="20"/>
          <w:color w:val="auto"/>
        </w:rPr>
      </w:pPr>
    </w:p>
    <w:p>
      <w:pPr>
        <w:jc w:val="both"/>
        <w:ind w:firstLine="6"/>
        <w:spacing w:after="0" w:line="223" w:lineRule="auto"/>
        <w:tabs>
          <w:tab w:leader="none" w:pos="309" w:val="left"/>
        </w:tabs>
        <w:numPr>
          <w:ilvl w:val="0"/>
          <w:numId w:val="267"/>
        </w:numPr>
        <w:rPr>
          <w:rFonts w:ascii="Arial" w:cs="Arial" w:eastAsia="Arial" w:hAnsi="Arial"/>
          <w:sz w:val="20"/>
          <w:szCs w:val="20"/>
          <w:color w:val="auto"/>
        </w:rPr>
      </w:pPr>
      <w:r>
        <w:rPr>
          <w:rFonts w:ascii="Arial" w:cs="Arial" w:eastAsia="Arial" w:hAnsi="Arial"/>
          <w:sz w:val="20"/>
          <w:szCs w:val="20"/>
          <w:color w:val="auto"/>
        </w:rPr>
        <w:t xml:space="preserve">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w:t>
      </w:r>
      <w:r>
        <w:rPr>
          <w:rFonts w:ascii="Arial" w:cs="Arial" w:eastAsia="Arial" w:hAnsi="Arial"/>
          <w:sz w:val="20"/>
          <w:szCs w:val="20"/>
          <w:u w:val="single" w:color="auto"/>
          <w:color w:val="auto"/>
        </w:rPr>
        <w:t>Section 11.07</w:t>
      </w:r>
      <w:r>
        <w:rPr>
          <w:rFonts w:ascii="Arial" w:cs="Arial" w:eastAsia="Arial" w:hAnsi="Arial"/>
          <w:sz w:val="20"/>
          <w:szCs w:val="20"/>
          <w:color w:val="auto"/>
        </w:rPr>
        <w:t xml:space="preserve">, to (i) any assignee of or Participant (or its advisors) in, or any prospective assignee of or Participant (or its advisors) in, any of its rights or obligations under this Agreement (it being understood that the DQ List may be disclosed to any assignee or Participant, or prospective assignee or Participant, in reliance on this clause (f)) or any Eligible Assignee invited to be a Lender pursuant to </w:t>
      </w:r>
      <w:r>
        <w:rPr>
          <w:rFonts w:ascii="Arial" w:cs="Arial" w:eastAsia="Arial" w:hAnsi="Arial"/>
          <w:sz w:val="20"/>
          <w:szCs w:val="20"/>
          <w:u w:val="single" w:color="auto"/>
          <w:color w:val="auto"/>
        </w:rPr>
        <w:t>Section 2.15(c)</w:t>
      </w:r>
      <w:r>
        <w:rPr>
          <w:rFonts w:ascii="Arial" w:cs="Arial" w:eastAsia="Arial" w:hAnsi="Arial"/>
          <w:sz w:val="20"/>
          <w:szCs w:val="20"/>
          <w:color w:val="auto"/>
        </w:rPr>
        <w:t xml:space="preserve"> or (ii) any actual or prospective counterparty (or its advisors) to any swap or derivative transaction relating to the Borrower or any other Subsidiary and its obligations, (g) with the consent of the Borrower, (h) to the extent such Information (i) becomes publicly available other than as a result of a breach of this </w:t>
      </w:r>
      <w:r>
        <w:rPr>
          <w:rFonts w:ascii="Arial" w:cs="Arial" w:eastAsia="Arial" w:hAnsi="Arial"/>
          <w:sz w:val="20"/>
          <w:szCs w:val="20"/>
          <w:u w:val="single" w:color="auto"/>
          <w:color w:val="auto"/>
        </w:rPr>
        <w:t>Section 11.07</w:t>
      </w:r>
      <w:r>
        <w:rPr>
          <w:rFonts w:ascii="Arial" w:cs="Arial" w:eastAsia="Arial" w:hAnsi="Arial"/>
          <w:sz w:val="20"/>
          <w:szCs w:val="20"/>
          <w:color w:val="auto"/>
        </w:rPr>
        <w:t xml:space="preserve">, (ii) becomes available to the Administrative Agent, any Lender, any L/C Issuer or any of their respective Affiliates on a nonconfidential basis from a third party that is not to the knowledge of the Administrative Agent, any Lender or any L/C Issuer subject to confidentiality obligations to the Borrower with respect to such Information, (i) to market data collectors or similar service providers, including league table providers, to the lending industry, in each case, limited to information regarding the closing, size and type of facilities hereunder and the purpose of and parties to this Agreement or (j) on a confidential basis to any rating agency. It is agreed that, notwithstanding the restrictions of any prior confidentiality agreement with Borrower or any Subsidiary binding on the Administrative Agent, any Arranger or any Co-Syndication Agent, or any of their respective Affiliates, such Persons (and their respective Affiliates) may disclose Information as provided in this </w:t>
      </w:r>
      <w:r>
        <w:rPr>
          <w:rFonts w:ascii="Arial" w:cs="Arial" w:eastAsia="Arial" w:hAnsi="Arial"/>
          <w:sz w:val="20"/>
          <w:szCs w:val="20"/>
          <w:u w:val="single" w:color="auto"/>
          <w:color w:val="auto"/>
        </w:rPr>
        <w:t>Section 11.07</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137</w:t>
      </w:r>
    </w:p>
    <w:p>
      <w:pPr>
        <w:sectPr>
          <w:pgSz w:w="11900" w:h="16838" w:orient="portrait"/>
          <w:cols w:equalWidth="0" w:num="1">
            <w:col w:w="11200"/>
          </w:cols>
          <w:pgMar w:left="320" w:top="1152" w:right="379" w:bottom="1440" w:gutter="0" w:footer="0" w:header="0"/>
        </w:sectPr>
      </w:pPr>
    </w:p>
    <w:bookmarkStart w:id="276" w:name="page277"/>
    <w:bookmarkEnd w:id="276"/>
    <w:p>
      <w:pPr>
        <w:jc w:val="both"/>
        <w:ind w:firstLine="624"/>
        <w:spacing w:after="0" w:line="218" w:lineRule="auto"/>
        <w:rPr>
          <w:sz w:val="20"/>
          <w:szCs w:val="20"/>
          <w:color w:val="auto"/>
        </w:rPr>
      </w:pPr>
      <w:r>
        <w:rPr>
          <w:rFonts w:ascii="Arial" w:cs="Arial" w:eastAsia="Arial" w:hAnsi="Arial"/>
          <w:sz w:val="21"/>
          <w:szCs w:val="21"/>
          <w:color w:val="auto"/>
        </w:rPr>
        <w:t xml:space="preserve">For purposes of this </w:t>
      </w:r>
      <w:r>
        <w:rPr>
          <w:rFonts w:ascii="Arial" w:cs="Arial" w:eastAsia="Arial" w:hAnsi="Arial"/>
          <w:sz w:val="21"/>
          <w:szCs w:val="21"/>
          <w:u w:val="single" w:color="auto"/>
          <w:color w:val="auto"/>
        </w:rPr>
        <w:t>Section 11.07</w:t>
      </w:r>
      <w:r>
        <w:rPr>
          <w:rFonts w:ascii="Arial" w:cs="Arial" w:eastAsia="Arial" w:hAnsi="Arial"/>
          <w:sz w:val="21"/>
          <w:szCs w:val="21"/>
          <w:color w:val="auto"/>
        </w:rPr>
        <w:t>, “</w:t>
      </w:r>
      <w:r>
        <w:rPr>
          <w:rFonts w:ascii="Arial" w:cs="Arial" w:eastAsia="Arial" w:hAnsi="Arial"/>
          <w:sz w:val="21"/>
          <w:szCs w:val="21"/>
          <w:u w:val="single" w:color="auto"/>
          <w:color w:val="auto"/>
        </w:rPr>
        <w:t>Information</w:t>
      </w:r>
      <w:r>
        <w:rPr>
          <w:rFonts w:ascii="Arial" w:cs="Arial" w:eastAsia="Arial" w:hAnsi="Arial"/>
          <w:sz w:val="21"/>
          <w:szCs w:val="21"/>
          <w:color w:val="auto"/>
        </w:rPr>
        <w:t xml:space="preserve">” means all information received from Borrower or any Subsidiary relating to Borrower or any Subsidiary or any of their respective businesses, other than any such information that is available to the Administrative Agent, any Lender or any L/C Issuer on a nonconfidential basis prior to disclosure by the Borrower or any Subsidiary;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case of information received from Borrower or any Subsidiary after the Effective Date, such information is clearly identified at the time of delivery as confidential. Any Person required to maintain the confidentiality of Information as provided in this </w:t>
      </w:r>
      <w:r>
        <w:rPr>
          <w:rFonts w:ascii="Arial" w:cs="Arial" w:eastAsia="Arial" w:hAnsi="Arial"/>
          <w:sz w:val="21"/>
          <w:szCs w:val="21"/>
          <w:u w:val="single" w:color="auto"/>
          <w:color w:val="auto"/>
        </w:rPr>
        <w:t>Section 11.07</w:t>
      </w:r>
      <w:r>
        <w:rPr>
          <w:rFonts w:ascii="Arial" w:cs="Arial" w:eastAsia="Arial" w:hAnsi="Arial"/>
          <w:sz w:val="21"/>
          <w:szCs w:val="21"/>
          <w:color w:val="auto"/>
        </w:rPr>
        <w:t xml:space="preserve"> will be considered to have complied with its obligation to do so if such Person has exercised the same degree of care to maintain the confidentiality of such Information as such Person would accord to its own confidential information.</w:t>
      </w:r>
    </w:p>
    <w:p>
      <w:pPr>
        <w:spacing w:after="0" w:line="153" w:lineRule="exact"/>
        <w:rPr>
          <w:sz w:val="20"/>
          <w:szCs w:val="20"/>
          <w:color w:val="auto"/>
        </w:rPr>
      </w:pPr>
    </w:p>
    <w:p>
      <w:pPr>
        <w:jc w:val="both"/>
        <w:ind w:firstLine="624"/>
        <w:spacing w:after="0" w:line="230" w:lineRule="auto"/>
        <w:rPr>
          <w:sz w:val="20"/>
          <w:szCs w:val="20"/>
          <w:color w:val="auto"/>
        </w:rPr>
      </w:pPr>
      <w:r>
        <w:rPr>
          <w:rFonts w:ascii="Arial" w:cs="Arial" w:eastAsia="Arial" w:hAnsi="Arial"/>
          <w:sz w:val="21"/>
          <w:szCs w:val="21"/>
          <w:color w:val="auto"/>
        </w:rPr>
        <w:t>Each of the Administrative Agent, the Lenders and the L/C Issuers acknowledges that (a) the Information may include MNPI, (b) it has developed compliance procedures regarding the use of MNPI and (c) it will handle all MNPI in accordance with applicable Law, including United States federal and state and applicable foreign securities Laws.</w:t>
      </w:r>
    </w:p>
    <w:p>
      <w:pPr>
        <w:spacing w:after="0" w:line="154" w:lineRule="exact"/>
        <w:rPr>
          <w:sz w:val="20"/>
          <w:szCs w:val="20"/>
          <w:color w:val="auto"/>
        </w:rPr>
      </w:pPr>
    </w:p>
    <w:p>
      <w:pPr>
        <w:jc w:val="both"/>
        <w:ind w:firstLine="624"/>
        <w:spacing w:after="0" w:line="219" w:lineRule="auto"/>
        <w:rPr>
          <w:sz w:val="20"/>
          <w:szCs w:val="20"/>
          <w:color w:val="auto"/>
        </w:rPr>
      </w:pPr>
      <w:r>
        <w:rPr>
          <w:rFonts w:ascii="Arial" w:cs="Arial" w:eastAsia="Arial" w:hAnsi="Arial"/>
          <w:sz w:val="21"/>
          <w:szCs w:val="21"/>
          <w:color w:val="auto"/>
        </w:rPr>
        <w:t>Subject to any applicable requirements of United State federal, state or local or applicable foreign Laws or regulations, including securities Laws or regulations, none of the Administrative Agent, the Lenders or the L/C Issuers will make or cause to be made, whether orally, in writing or otherwise, any public announcement or statement that is intended for the general public and not targeted primarily to reach audiences in the banking industry and the banking industry’s customers with respect to the transactions contemplated by this Agreement, or any of the provisions of this Agreement, without the prior written approval of the Borrower as to the form, content and timing of such announcement or disclosure, which approval may be given or withheld in Borrower’s sole discretion.</w:t>
      </w:r>
    </w:p>
    <w:p>
      <w:pPr>
        <w:spacing w:after="0" w:line="154" w:lineRule="exact"/>
        <w:rPr>
          <w:sz w:val="20"/>
          <w:szCs w:val="20"/>
          <w:color w:val="auto"/>
        </w:rPr>
      </w:pPr>
    </w:p>
    <w:p>
      <w:pPr>
        <w:jc w:val="both"/>
        <w:ind w:right="40" w:firstLine="954"/>
        <w:spacing w:after="0" w:line="236" w:lineRule="auto"/>
        <w:rPr>
          <w:sz w:val="20"/>
          <w:szCs w:val="20"/>
          <w:color w:val="auto"/>
        </w:rPr>
      </w:pPr>
      <w:r>
        <w:rPr>
          <w:rFonts w:ascii="Arial" w:cs="Arial" w:eastAsia="Arial" w:hAnsi="Arial"/>
          <w:sz w:val="19"/>
          <w:szCs w:val="19"/>
          <w:color w:val="auto"/>
        </w:rPr>
        <w:t xml:space="preserve">Section 11.08 </w:t>
      </w:r>
      <w:r>
        <w:rPr>
          <w:rFonts w:ascii="Arial" w:cs="Arial" w:eastAsia="Arial" w:hAnsi="Arial"/>
          <w:sz w:val="19"/>
          <w:szCs w:val="19"/>
          <w:u w:val="single" w:color="auto"/>
          <w:color w:val="auto"/>
        </w:rPr>
        <w:t>Right of Setoff</w:t>
      </w:r>
      <w:r>
        <w:rPr>
          <w:rFonts w:ascii="Arial" w:cs="Arial" w:eastAsia="Arial" w:hAnsi="Arial"/>
          <w:sz w:val="19"/>
          <w:szCs w:val="19"/>
          <w:color w:val="auto"/>
        </w:rPr>
        <w:t xml:space="preserve">. If an Event of Default will have occurred and be continuing, each Lender, each L/C Issuer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such L/C Issuer or any such Affiliate to or for the credit or the account of any Loan Party against any and all of its obligations now or hereafter existing under this Agreement or any other Loan Document to such Lender or such L/C Issuer, irrespective of whether or not such Lender or such L/C Issuer will have made any demand under this Agreement or any other Loan Document and although such obligations of such Loan Party may be contingent or unmatured or are owed to a branch or office of such Lender or such L/C Issuer different from the branch or office holding such deposit or obligated on such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that any Defaulting Lender shall exercise any such right of setoff, (a) all amounts so set off shall be paid over immediately to the Administrative Agent for further application in accordance with the provisions of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and, pending such payment, shall be segregated by such Defaulting Lender from its other funds and deemed held in trust for the benefit of the Administrative Agent, the Lenders and the L/C Issuers, and (b) the Defaulting Lender shall provide promptly to the Administrative Agent a statement describing in reasonable detail the Obligations owing to such Defaulting Lender as to which it exercised such right of setoff. The rights of each Lender, each L/C Issuer and its Affiliates under this </w:t>
      </w:r>
      <w:r>
        <w:rPr>
          <w:rFonts w:ascii="Arial" w:cs="Arial" w:eastAsia="Arial" w:hAnsi="Arial"/>
          <w:sz w:val="19"/>
          <w:szCs w:val="19"/>
          <w:u w:val="single" w:color="auto"/>
          <w:color w:val="auto"/>
        </w:rPr>
        <w:t>Section 11.08</w:t>
      </w:r>
      <w:r>
        <w:rPr>
          <w:rFonts w:ascii="Arial" w:cs="Arial" w:eastAsia="Arial" w:hAnsi="Arial"/>
          <w:sz w:val="19"/>
          <w:szCs w:val="19"/>
          <w:color w:val="auto"/>
        </w:rPr>
        <w:t xml:space="preserve"> are in addition to other rights and remedies (including other rights of setoff) that such Lender, such L/C Issuer or its Affiliates may have. Each Lender and each L/C Issuer agrees to notify the Loan Parties and the Administrative Agent promptly after any such setoff and application;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to give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138</w:t>
      </w:r>
    </w:p>
    <w:p>
      <w:pPr>
        <w:sectPr>
          <w:pgSz w:w="11900" w:h="16838" w:orient="portrait"/>
          <w:cols w:equalWidth="0" w:num="1">
            <w:col w:w="11240"/>
          </w:cols>
          <w:pgMar w:left="320" w:top="1152" w:right="339" w:bottom="1440" w:gutter="0" w:footer="0" w:header="0"/>
        </w:sectPr>
      </w:pPr>
    </w:p>
    <w:bookmarkStart w:id="277" w:name="page278"/>
    <w:bookmarkEnd w:id="277"/>
    <w:p>
      <w:pPr>
        <w:jc w:val="both"/>
        <w:spacing w:after="0" w:line="225" w:lineRule="auto"/>
        <w:rPr>
          <w:sz w:val="20"/>
          <w:szCs w:val="20"/>
          <w:color w:val="auto"/>
        </w:rPr>
      </w:pPr>
      <w:r>
        <w:rPr>
          <w:rFonts w:ascii="Arial" w:cs="Arial" w:eastAsia="Arial" w:hAnsi="Arial"/>
          <w:sz w:val="21"/>
          <w:szCs w:val="21"/>
          <w:color w:val="auto"/>
        </w:rPr>
        <w:t xml:space="preserve">such notice will not affect the validity of such setoff and application. Notwithstanding the provisions of this </w:t>
      </w:r>
      <w:r>
        <w:rPr>
          <w:rFonts w:ascii="Arial" w:cs="Arial" w:eastAsia="Arial" w:hAnsi="Arial"/>
          <w:sz w:val="21"/>
          <w:szCs w:val="21"/>
          <w:u w:val="single" w:color="auto"/>
          <w:color w:val="auto"/>
        </w:rPr>
        <w:t>Section 11.08</w:t>
      </w:r>
      <w:r>
        <w:rPr>
          <w:rFonts w:ascii="Arial" w:cs="Arial" w:eastAsia="Arial" w:hAnsi="Arial"/>
          <w:sz w:val="21"/>
          <w:szCs w:val="21"/>
          <w:color w:val="auto"/>
        </w:rPr>
        <w:t>, if at any time any Lender, any L/C Issuer or any of their respective Affiliates maintains one or more deposit accounts for the Borrower or any other Loan Party into which Medicare and/or Medicaid receivables are deposited, such Person shall waive the right of setoff set forth herein.</w:t>
      </w:r>
    </w:p>
    <w:p>
      <w:pPr>
        <w:spacing w:after="0" w:line="154" w:lineRule="exact"/>
        <w:rPr>
          <w:sz w:val="20"/>
          <w:szCs w:val="20"/>
          <w:color w:val="auto"/>
        </w:rPr>
      </w:pPr>
    </w:p>
    <w:p>
      <w:pPr>
        <w:jc w:val="both"/>
        <w:ind w:firstLine="954"/>
        <w:spacing w:after="0" w:line="228" w:lineRule="auto"/>
        <w:rPr>
          <w:sz w:val="20"/>
          <w:szCs w:val="20"/>
          <w:color w:val="auto"/>
        </w:rPr>
      </w:pPr>
      <w:r>
        <w:rPr>
          <w:rFonts w:ascii="Arial" w:cs="Arial" w:eastAsia="Arial" w:hAnsi="Arial"/>
          <w:sz w:val="20"/>
          <w:szCs w:val="20"/>
          <w:color w:val="auto"/>
        </w:rPr>
        <w:t xml:space="preserve">Section 11.09 </w:t>
      </w:r>
      <w:r>
        <w:rPr>
          <w:rFonts w:ascii="Arial" w:cs="Arial" w:eastAsia="Arial" w:hAnsi="Arial"/>
          <w:sz w:val="20"/>
          <w:szCs w:val="20"/>
          <w:u w:val="single" w:color="auto"/>
          <w:color w:val="auto"/>
        </w:rPr>
        <w:t>Interest Rate Limitation</w:t>
      </w:r>
      <w:r>
        <w:rPr>
          <w:rFonts w:ascii="Arial" w:cs="Arial" w:eastAsia="Arial" w:hAnsi="Arial"/>
          <w:sz w:val="20"/>
          <w:szCs w:val="20"/>
          <w:color w:val="auto"/>
        </w:rPr>
        <w:t>. Notwithstanding anything to the contrary contained in any Loan Document, the interest paid or agreed to be paid under the Loan Documents will not exceed the maximum rate of non-usurious interest permitted by applicable Law (the “</w:t>
      </w:r>
      <w:r>
        <w:rPr>
          <w:rFonts w:ascii="Arial" w:cs="Arial" w:eastAsia="Arial" w:hAnsi="Arial"/>
          <w:sz w:val="20"/>
          <w:szCs w:val="20"/>
          <w:u w:val="single" w:color="auto"/>
          <w:color w:val="auto"/>
        </w:rPr>
        <w:t>Maximum Rate</w:t>
      </w:r>
      <w:r>
        <w:rPr>
          <w:rFonts w:ascii="Arial" w:cs="Arial" w:eastAsia="Arial" w:hAnsi="Arial"/>
          <w:sz w:val="20"/>
          <w:szCs w:val="20"/>
          <w:color w:val="auto"/>
        </w:rPr>
        <w:t>”). If the Administrative Agent or any Lender will receive interest in an amount that exceeds the Maximum Rate, the excess interest will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54" w:lineRule="exact"/>
        <w:rPr>
          <w:sz w:val="20"/>
          <w:szCs w:val="20"/>
          <w:color w:val="auto"/>
        </w:rPr>
      </w:pPr>
    </w:p>
    <w:p>
      <w:pPr>
        <w:jc w:val="both"/>
        <w:ind w:firstLine="954"/>
        <w:spacing w:after="0" w:line="223" w:lineRule="auto"/>
        <w:rPr>
          <w:sz w:val="20"/>
          <w:szCs w:val="20"/>
          <w:color w:val="auto"/>
        </w:rPr>
      </w:pPr>
      <w:r>
        <w:rPr>
          <w:rFonts w:ascii="Arial" w:cs="Arial" w:eastAsia="Arial" w:hAnsi="Arial"/>
          <w:sz w:val="20"/>
          <w:szCs w:val="20"/>
          <w:color w:val="auto"/>
        </w:rPr>
        <w:t xml:space="preserve">Section 11.10 </w:t>
      </w:r>
      <w:r>
        <w:rPr>
          <w:rFonts w:ascii="Arial" w:cs="Arial" w:eastAsia="Arial" w:hAnsi="Arial"/>
          <w:sz w:val="20"/>
          <w:szCs w:val="20"/>
          <w:u w:val="single" w:color="auto"/>
          <w:color w:val="auto"/>
        </w:rPr>
        <w:t>Counterparts; Integration; Electronic Execution; Effectiveness</w:t>
      </w:r>
      <w:r>
        <w:rPr>
          <w:rFonts w:ascii="Arial" w:cs="Arial" w:eastAsia="Arial" w:hAnsi="Arial"/>
          <w:sz w:val="20"/>
          <w:szCs w:val="20"/>
          <w:color w:val="auto"/>
        </w:rPr>
        <w:t>. This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(x) this Agreement, (y) any other Loan Document and/or (z) 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 hereby and/or thereby (each an “</w:t>
      </w:r>
      <w:r>
        <w:rPr>
          <w:rFonts w:ascii="Arial" w:cs="Arial" w:eastAsia="Arial" w:hAnsi="Arial"/>
          <w:sz w:val="20"/>
          <w:szCs w:val="20"/>
          <w:u w:val="single" w:color="auto"/>
          <w:color w:val="auto"/>
        </w:rPr>
        <w:t>Ancillary Document</w:t>
      </w:r>
      <w:r>
        <w:rPr>
          <w:rFonts w:ascii="Arial" w:cs="Arial" w:eastAsia="Arial" w:hAnsi="Arial"/>
          <w:sz w:val="20"/>
          <w:szCs w:val="20"/>
          <w:color w:val="auto"/>
        </w:rPr>
        <w:t>”)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without limiting the foregoing, (i) to the extent the Administrative Agent has agreed to accept any Electronic Signature,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139</w:t>
      </w:r>
    </w:p>
    <w:p>
      <w:pPr>
        <w:sectPr>
          <w:pgSz w:w="11900" w:h="16838" w:orient="portrait"/>
          <w:cols w:equalWidth="0" w:num="1">
            <w:col w:w="11200"/>
          </w:cols>
          <w:pgMar w:left="320" w:top="1152" w:right="379" w:bottom="1440" w:gutter="0" w:footer="0" w:header="0"/>
        </w:sectPr>
      </w:pPr>
    </w:p>
    <w:bookmarkStart w:id="278" w:name="page279"/>
    <w:bookmarkEnd w:id="278"/>
    <w:p>
      <w:pPr>
        <w:jc w:val="both"/>
        <w:spacing w:after="0" w:line="224" w:lineRule="auto"/>
        <w:rPr>
          <w:sz w:val="20"/>
          <w:szCs w:val="20"/>
          <w:color w:val="auto"/>
        </w:rPr>
      </w:pPr>
      <w:r>
        <w:rPr>
          <w:rFonts w:ascii="Arial" w:cs="Arial" w:eastAsia="Arial" w:hAnsi="Arial"/>
          <w:sz w:val="20"/>
          <w:szCs w:val="20"/>
          <w:color w:val="auto"/>
        </w:rPr>
        <w:t>Agent and each of the Lenders shall be entitled to rely on such Electronic Signature purportedly given by or on behalf of the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and each other Loan Party hereby (i) agrees that, for all purposes, including without limitation, in connection with any workout, restructuring, enforcement of remedies, bankruptcy proceedings or litigation among the Administrative Agent, the Lenders, the Borrower and the other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agrees that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and/or any other Loan Party to use any available security measures in connection with the execution, delivery or transmission of any Electronic Signature.</w:t>
      </w:r>
    </w:p>
    <w:p>
      <w:pPr>
        <w:spacing w:after="0" w:line="156" w:lineRule="exact"/>
        <w:rPr>
          <w:sz w:val="20"/>
          <w:szCs w:val="20"/>
          <w:color w:val="auto"/>
        </w:rPr>
      </w:pPr>
    </w:p>
    <w:p>
      <w:pPr>
        <w:jc w:val="both"/>
        <w:ind w:firstLine="954"/>
        <w:spacing w:after="0" w:line="228" w:lineRule="auto"/>
        <w:rPr>
          <w:sz w:val="20"/>
          <w:szCs w:val="20"/>
          <w:color w:val="auto"/>
        </w:rPr>
      </w:pPr>
      <w:r>
        <w:rPr>
          <w:rFonts w:ascii="Arial" w:cs="Arial" w:eastAsia="Arial" w:hAnsi="Arial"/>
          <w:sz w:val="20"/>
          <w:szCs w:val="20"/>
          <w:color w:val="auto"/>
        </w:rPr>
        <w:t xml:space="preserve">Section 11.11 </w:t>
      </w:r>
      <w:r>
        <w:rPr>
          <w:rFonts w:ascii="Arial" w:cs="Arial" w:eastAsia="Arial" w:hAnsi="Arial"/>
          <w:sz w:val="20"/>
          <w:szCs w:val="20"/>
          <w:u w:val="single" w:color="auto"/>
          <w:color w:val="auto"/>
        </w:rPr>
        <w:t>Survival of Representations and Warranties</w:t>
      </w:r>
      <w:r>
        <w:rPr>
          <w:rFonts w:ascii="Arial" w:cs="Arial" w:eastAsia="Arial" w:hAnsi="Arial"/>
          <w:sz w:val="20"/>
          <w:szCs w:val="20"/>
          <w:color w:val="auto"/>
        </w:rPr>
        <w:t>. All representations and warranties made hereunder and in any other Loan Document or other document delivered pursuant hereto or thereto or in connection herewith or therewith will survive the execution and delivery hereof and thereof. Such representations and warranties have been or will be relied upon by the Administrative Agent, each L/C Issuer and each Lender, regardless of any investigation made by or on behalf of the Administrative Agent, any L/C Issuer or any Lender or any of their respective Affiliates and notwithstanding that the Administrative Agent, any L/C Issuer or any Lender or any of their respective Affiliates may have had notice or knowledge of any Default on the Effective Date or at the time of any Credit Extension, and will continue in full force and effect as long as any Loan or any other Obligation hereunder will remain unpaid or unsatisfied or any Letter of Credit will remain outstanding.</w:t>
      </w:r>
    </w:p>
    <w:p>
      <w:pPr>
        <w:spacing w:after="0" w:line="160" w:lineRule="exact"/>
        <w:rPr>
          <w:sz w:val="20"/>
          <w:szCs w:val="20"/>
          <w:color w:val="auto"/>
        </w:rPr>
      </w:pPr>
    </w:p>
    <w:p>
      <w:pPr>
        <w:jc w:val="both"/>
        <w:ind w:firstLine="954"/>
        <w:spacing w:after="0" w:line="244" w:lineRule="auto"/>
        <w:rPr>
          <w:sz w:val="20"/>
          <w:szCs w:val="20"/>
          <w:color w:val="auto"/>
        </w:rPr>
      </w:pPr>
      <w:r>
        <w:rPr>
          <w:rFonts w:ascii="Arial" w:cs="Arial" w:eastAsia="Arial" w:hAnsi="Arial"/>
          <w:sz w:val="19"/>
          <w:szCs w:val="19"/>
          <w:color w:val="auto"/>
        </w:rPr>
        <w:t xml:space="preserve">Section 11.12 </w:t>
      </w:r>
      <w:r>
        <w:rPr>
          <w:rFonts w:ascii="Arial" w:cs="Arial" w:eastAsia="Arial" w:hAnsi="Arial"/>
          <w:sz w:val="19"/>
          <w:szCs w:val="19"/>
          <w:u w:val="single" w:color="auto"/>
          <w:color w:val="auto"/>
        </w:rPr>
        <w:t>Severability</w:t>
      </w:r>
      <w:r>
        <w:rPr>
          <w:rFonts w:ascii="Arial" w:cs="Arial" w:eastAsia="Arial" w:hAnsi="Arial"/>
          <w:sz w:val="19"/>
          <w:szCs w:val="19"/>
          <w:color w:val="auto"/>
        </w:rPr>
        <w:t xml:space="preserve">. If any provision of this Agreement or the other Loan Documents is held to be illegal, invalid or unenforceable, (a) the legality, validity and enforceability of the remaining provisions of this Agreement and the other Loan Documents will not be affected or impaired thereby and (b) the parties will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will not invalidate or render unenforceable such provision in any other jurisdiction. Without limiting the foregoing provisions of this </w:t>
      </w:r>
      <w:r>
        <w:rPr>
          <w:rFonts w:ascii="Arial" w:cs="Arial" w:eastAsia="Arial" w:hAnsi="Arial"/>
          <w:sz w:val="19"/>
          <w:szCs w:val="19"/>
          <w:u w:val="single" w:color="auto"/>
          <w:color w:val="auto"/>
        </w:rPr>
        <w:t>Section 11.12</w:t>
      </w:r>
      <w:r>
        <w:rPr>
          <w:rFonts w:ascii="Arial" w:cs="Arial" w:eastAsia="Arial" w:hAnsi="Arial"/>
          <w:sz w:val="19"/>
          <w:szCs w:val="19"/>
          <w:color w:val="auto"/>
        </w:rPr>
        <w:t>, if and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140</w:t>
      </w:r>
    </w:p>
    <w:p>
      <w:pPr>
        <w:sectPr>
          <w:pgSz w:w="11900" w:h="16838" w:orient="portrait"/>
          <w:cols w:equalWidth="0" w:num="1">
            <w:col w:w="11200"/>
          </w:cols>
          <w:pgMar w:left="320" w:top="1152" w:right="379" w:bottom="1440" w:gutter="0" w:footer="0" w:header="0"/>
        </w:sectPr>
      </w:pPr>
    </w:p>
    <w:bookmarkStart w:id="279" w:name="page280"/>
    <w:bookmarkEnd w:id="279"/>
    <w:p>
      <w:pPr>
        <w:jc w:val="both"/>
        <w:spacing w:after="0" w:line="239" w:lineRule="auto"/>
        <w:rPr>
          <w:sz w:val="20"/>
          <w:szCs w:val="20"/>
          <w:color w:val="auto"/>
        </w:rPr>
      </w:pPr>
      <w:r>
        <w:rPr>
          <w:rFonts w:ascii="Arial" w:cs="Arial" w:eastAsia="Arial" w:hAnsi="Arial"/>
          <w:sz w:val="21"/>
          <w:szCs w:val="21"/>
          <w:color w:val="auto"/>
        </w:rPr>
        <w:t>extent that the enforceability of any provisions in this Agreement relating to Defaulting Lenders shall be limited by Debtor Relief Laws, as applicable, then such provisions shall be deemed to be in effect only to the extent not so limited.</w:t>
      </w:r>
    </w:p>
    <w:p>
      <w:pPr>
        <w:spacing w:after="0" w:line="155" w:lineRule="exact"/>
        <w:rPr>
          <w:sz w:val="20"/>
          <w:szCs w:val="20"/>
          <w:color w:val="auto"/>
        </w:rPr>
      </w:pPr>
    </w:p>
    <w:p>
      <w:pPr>
        <w:jc w:val="both"/>
        <w:ind w:firstLine="954"/>
        <w:spacing w:after="0" w:line="239" w:lineRule="auto"/>
        <w:rPr>
          <w:sz w:val="20"/>
          <w:szCs w:val="20"/>
          <w:color w:val="auto"/>
        </w:rPr>
      </w:pPr>
      <w:r>
        <w:rPr>
          <w:rFonts w:ascii="Arial" w:cs="Arial" w:eastAsia="Arial" w:hAnsi="Arial"/>
          <w:sz w:val="19"/>
          <w:szCs w:val="19"/>
          <w:color w:val="auto"/>
        </w:rPr>
        <w:t xml:space="preserve">Section 11.13 </w:t>
      </w:r>
      <w:r>
        <w:rPr>
          <w:rFonts w:ascii="Arial" w:cs="Arial" w:eastAsia="Arial" w:hAnsi="Arial"/>
          <w:sz w:val="19"/>
          <w:szCs w:val="19"/>
          <w:u w:val="single" w:color="auto"/>
          <w:color w:val="auto"/>
        </w:rPr>
        <w:t>Replacement of Lenders</w:t>
      </w:r>
      <w:r>
        <w:rPr>
          <w:rFonts w:ascii="Arial" w:cs="Arial" w:eastAsia="Arial" w:hAnsi="Arial"/>
          <w:sz w:val="19"/>
          <w:szCs w:val="19"/>
          <w:color w:val="auto"/>
        </w:rPr>
        <w:t xml:space="preserve">. In the event (a) any Lender requests compensation under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(b) the Loan Parties are required to pay any additional amount to any Lender or any Governmental Authority for the account of any Lender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(c) any Lender becomes a Defaulting Lender or (d) any Lender refuses to consent to any amendment, waiver or other modification of this Agreement or any other Loan Document requested by a Loan Party that requires the consent of all the Lenders (or all the affected Lenders) and such amendment, waiver or other modification is consented to by the Required Lenders,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9"/>
          <w:szCs w:val="19"/>
          <w:u w:val="single" w:color="auto"/>
          <w:color w:val="auto"/>
        </w:rPr>
        <w:t>Section 11.06</w:t>
      </w:r>
      <w:r>
        <w:rPr>
          <w:rFonts w:ascii="Arial" w:cs="Arial" w:eastAsia="Arial" w:hAnsi="Arial"/>
          <w:sz w:val="19"/>
          <w:szCs w:val="19"/>
          <w:color w:val="auto"/>
        </w:rPr>
        <w:t xml:space="preserve">), all of its interests, rights (other than its existing rights to payments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and obligations under this Agreement and the other Loan Documents to an assignee that will assume such obligations (which assignee may be another Lender, if a Lender accepts such assignment and delegation);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56" w:lineRule="exact"/>
        <w:rPr>
          <w:sz w:val="20"/>
          <w:szCs w:val="20"/>
          <w:color w:val="auto"/>
        </w:rPr>
      </w:pPr>
    </w:p>
    <w:p>
      <w:pPr>
        <w:ind w:left="1480" w:hanging="444"/>
        <w:spacing w:after="0"/>
        <w:tabs>
          <w:tab w:leader="none" w:pos="1480" w:val="left"/>
        </w:tabs>
        <w:numPr>
          <w:ilvl w:val="0"/>
          <w:numId w:val="268"/>
        </w:numPr>
        <w:rPr>
          <w:rFonts w:ascii="Arial" w:cs="Arial" w:eastAsia="Arial" w:hAnsi="Arial"/>
          <w:sz w:val="21"/>
          <w:szCs w:val="21"/>
          <w:color w:val="auto"/>
        </w:rPr>
      </w:pPr>
      <w:r>
        <w:rPr>
          <w:rFonts w:ascii="Arial" w:cs="Arial" w:eastAsia="Arial" w:hAnsi="Arial"/>
          <w:sz w:val="21"/>
          <w:szCs w:val="21"/>
          <w:color w:val="auto"/>
        </w:rPr>
        <w:t xml:space="preserve">the Borrower will have paid to the Administrative Agent the assignment fee specified in </w:t>
      </w:r>
      <w:r>
        <w:rPr>
          <w:rFonts w:ascii="Arial" w:cs="Arial" w:eastAsia="Arial" w:hAnsi="Arial"/>
          <w:sz w:val="21"/>
          <w:szCs w:val="21"/>
          <w:u w:val="single" w:color="auto"/>
          <w:color w:val="auto"/>
        </w:rPr>
        <w:t>Section 11.06(b)</w:t>
      </w:r>
      <w:r>
        <w:rPr>
          <w:rFonts w:ascii="Arial" w:cs="Arial" w:eastAsia="Arial" w:hAnsi="Arial"/>
          <w:sz w:val="21"/>
          <w:szCs w:val="21"/>
          <w:color w:val="auto"/>
        </w:rPr>
        <w:t>;</w:t>
      </w:r>
    </w:p>
    <w:p>
      <w:pPr>
        <w:spacing w:after="0" w:line="182" w:lineRule="exact"/>
        <w:rPr>
          <w:rFonts w:ascii="Arial" w:cs="Arial" w:eastAsia="Arial" w:hAnsi="Arial"/>
          <w:sz w:val="21"/>
          <w:szCs w:val="21"/>
          <w:color w:val="auto"/>
        </w:rPr>
      </w:pPr>
    </w:p>
    <w:p>
      <w:pPr>
        <w:jc w:val="both"/>
        <w:ind w:firstLine="1036"/>
        <w:spacing w:after="0" w:line="225" w:lineRule="auto"/>
        <w:tabs>
          <w:tab w:leader="none" w:pos="1493" w:val="left"/>
        </w:tabs>
        <w:numPr>
          <w:ilvl w:val="0"/>
          <w:numId w:val="268"/>
        </w:numPr>
        <w:rPr>
          <w:rFonts w:ascii="Arial" w:cs="Arial" w:eastAsia="Arial" w:hAnsi="Arial"/>
          <w:sz w:val="21"/>
          <w:szCs w:val="21"/>
          <w:color w:val="auto"/>
        </w:rPr>
      </w:pPr>
      <w:r>
        <w:rPr>
          <w:rFonts w:ascii="Arial" w:cs="Arial" w:eastAsia="Arial" w:hAnsi="Arial"/>
          <w:sz w:val="21"/>
          <w:szCs w:val="21"/>
          <w:color w:val="auto"/>
        </w:rPr>
        <w:t xml:space="preserve">such Lender will have received payment of an amount equal to 100% of the outstanding principal of its Loans and L/C Advances, accrued interest thereon, accrued fees and all other amounts payable to it hereunder and under the other Loan Documents (including any amounts under </w:t>
      </w:r>
      <w:r>
        <w:rPr>
          <w:rFonts w:ascii="Arial" w:cs="Arial" w:eastAsia="Arial" w:hAnsi="Arial"/>
          <w:sz w:val="21"/>
          <w:szCs w:val="21"/>
          <w:u w:val="single" w:color="auto"/>
          <w:color w:val="auto"/>
        </w:rPr>
        <w:t>Section 3.05</w:t>
      </w:r>
      <w:r>
        <w:rPr>
          <w:rFonts w:ascii="Arial" w:cs="Arial" w:eastAsia="Arial" w:hAnsi="Arial"/>
          <w:sz w:val="21"/>
          <w:szCs w:val="21"/>
          <w:color w:val="auto"/>
        </w:rPr>
        <w:t>) from the assignee (to the extent of such outstanding principal and accrued interest and fees) or the Borrower (in the case of all other amounts);</w:t>
      </w:r>
    </w:p>
    <w:p>
      <w:pPr>
        <w:spacing w:after="0" w:line="154" w:lineRule="exact"/>
        <w:rPr>
          <w:rFonts w:ascii="Arial" w:cs="Arial" w:eastAsia="Arial" w:hAnsi="Arial"/>
          <w:sz w:val="21"/>
          <w:szCs w:val="21"/>
          <w:color w:val="auto"/>
        </w:rPr>
      </w:pPr>
    </w:p>
    <w:p>
      <w:pPr>
        <w:jc w:val="both"/>
        <w:ind w:firstLine="1036"/>
        <w:spacing w:after="0" w:line="230" w:lineRule="auto"/>
        <w:tabs>
          <w:tab w:leader="none" w:pos="1588" w:val="left"/>
        </w:tabs>
        <w:numPr>
          <w:ilvl w:val="0"/>
          <w:numId w:val="268"/>
        </w:numPr>
        <w:rPr>
          <w:rFonts w:ascii="Arial" w:cs="Arial" w:eastAsia="Arial" w:hAnsi="Arial"/>
          <w:sz w:val="21"/>
          <w:szCs w:val="21"/>
          <w:color w:val="auto"/>
        </w:rPr>
      </w:pPr>
      <w:r>
        <w:rPr>
          <w:rFonts w:ascii="Arial" w:cs="Arial" w:eastAsia="Arial" w:hAnsi="Arial"/>
          <w:sz w:val="21"/>
          <w:szCs w:val="21"/>
          <w:color w:val="auto"/>
        </w:rPr>
        <w:t xml:space="preserve">in the case of any such assignment resulting from a claim for compensation under </w:t>
      </w:r>
      <w:r>
        <w:rPr>
          <w:rFonts w:ascii="Arial" w:cs="Arial" w:eastAsia="Arial" w:hAnsi="Arial"/>
          <w:sz w:val="21"/>
          <w:szCs w:val="21"/>
          <w:u w:val="single" w:color="auto"/>
          <w:color w:val="auto"/>
        </w:rPr>
        <w:t>Section 3.04</w:t>
      </w:r>
      <w:r>
        <w:rPr>
          <w:rFonts w:ascii="Arial" w:cs="Arial" w:eastAsia="Arial" w:hAnsi="Arial"/>
          <w:sz w:val="21"/>
          <w:szCs w:val="21"/>
          <w:color w:val="auto"/>
        </w:rPr>
        <w:t xml:space="preserve"> or payments required to be made pursuant to </w:t>
      </w:r>
      <w:r>
        <w:rPr>
          <w:rFonts w:ascii="Arial" w:cs="Arial" w:eastAsia="Arial" w:hAnsi="Arial"/>
          <w:sz w:val="21"/>
          <w:szCs w:val="21"/>
          <w:u w:val="single" w:color="auto"/>
          <w:color w:val="auto"/>
        </w:rPr>
        <w:t>Section 3.01</w:t>
      </w:r>
      <w:r>
        <w:rPr>
          <w:rFonts w:ascii="Arial" w:cs="Arial" w:eastAsia="Arial" w:hAnsi="Arial"/>
          <w:sz w:val="21"/>
          <w:szCs w:val="21"/>
          <w:color w:val="auto"/>
        </w:rPr>
        <w:t>, such assignment will result in a reduction in such compensation or payments thereafter; and</w:t>
      </w:r>
    </w:p>
    <w:p>
      <w:pPr>
        <w:spacing w:after="0" w:line="153" w:lineRule="exact"/>
        <w:rPr>
          <w:rFonts w:ascii="Arial" w:cs="Arial" w:eastAsia="Arial" w:hAnsi="Arial"/>
          <w:sz w:val="21"/>
          <w:szCs w:val="21"/>
          <w:color w:val="auto"/>
        </w:rPr>
      </w:pPr>
    </w:p>
    <w:p>
      <w:pPr>
        <w:ind w:left="1500" w:hanging="464"/>
        <w:spacing w:after="0"/>
        <w:tabs>
          <w:tab w:leader="none" w:pos="1500" w:val="left"/>
        </w:tabs>
        <w:numPr>
          <w:ilvl w:val="0"/>
          <w:numId w:val="268"/>
        </w:numPr>
        <w:rPr>
          <w:rFonts w:ascii="Arial" w:cs="Arial" w:eastAsia="Arial" w:hAnsi="Arial"/>
          <w:sz w:val="21"/>
          <w:szCs w:val="21"/>
          <w:color w:val="auto"/>
        </w:rPr>
      </w:pPr>
      <w:r>
        <w:rPr>
          <w:rFonts w:ascii="Arial" w:cs="Arial" w:eastAsia="Arial" w:hAnsi="Arial"/>
          <w:sz w:val="21"/>
          <w:szCs w:val="21"/>
          <w:color w:val="auto"/>
        </w:rPr>
        <w:t>such assignment does not conflict with applicable Laws.</w:t>
      </w:r>
    </w:p>
    <w:p>
      <w:pPr>
        <w:spacing w:after="0" w:line="183" w:lineRule="exact"/>
        <w:rPr>
          <w:sz w:val="20"/>
          <w:szCs w:val="20"/>
          <w:color w:val="auto"/>
        </w:rPr>
      </w:pPr>
    </w:p>
    <w:p>
      <w:pPr>
        <w:jc w:val="both"/>
        <w:ind w:firstLine="636"/>
        <w:spacing w:after="0" w:line="233" w:lineRule="auto"/>
        <w:rPr>
          <w:sz w:val="20"/>
          <w:szCs w:val="20"/>
          <w:color w:val="auto"/>
        </w:rPr>
      </w:pPr>
      <w:r>
        <w:rPr>
          <w:rFonts w:ascii="Arial" w:cs="Arial" w:eastAsia="Arial" w:hAnsi="Arial"/>
          <w:sz w:val="20"/>
          <w:szCs w:val="20"/>
          <w:color w:val="auto"/>
        </w:rPr>
        <w:t xml:space="preserve">A Lender will not be required to make any such assignment or delegation if, prior thereto, as a result of a waiver by such Lender or otherwise, the circumstances entitling the applicable Loan Party to require such assignment and delegation cease to apply. Each party hereto agrees that an assignment and delegation required pursuant to this </w:t>
      </w:r>
      <w:r>
        <w:rPr>
          <w:rFonts w:ascii="Arial" w:cs="Arial" w:eastAsia="Arial" w:hAnsi="Arial"/>
          <w:sz w:val="20"/>
          <w:szCs w:val="20"/>
          <w:u w:val="single" w:color="auto"/>
          <w:color w:val="auto"/>
        </w:rPr>
        <w:t>Section 11.13</w:t>
      </w:r>
      <w:r>
        <w:rPr>
          <w:rFonts w:ascii="Arial" w:cs="Arial" w:eastAsia="Arial" w:hAnsi="Arial"/>
          <w:sz w:val="20"/>
          <w:szCs w:val="20"/>
          <w:color w:val="auto"/>
        </w:rPr>
        <w:t xml:space="preserve"> may be effected pursuant to an Assignment and Assumption executed by the Borrower, the Administrative Agent and the assignee and that the Lender required to make such assignment and delegation need not be a party thereto.</w:t>
      </w:r>
    </w:p>
    <w:p>
      <w:pPr>
        <w:spacing w:after="0" w:line="156" w:lineRule="exact"/>
        <w:rPr>
          <w:sz w:val="20"/>
          <w:szCs w:val="20"/>
          <w:color w:val="auto"/>
        </w:rPr>
      </w:pPr>
    </w:p>
    <w:p>
      <w:pPr>
        <w:jc w:val="both"/>
        <w:ind w:firstLine="954"/>
        <w:spacing w:after="0" w:line="239" w:lineRule="auto"/>
        <w:rPr>
          <w:sz w:val="20"/>
          <w:szCs w:val="20"/>
          <w:color w:val="auto"/>
        </w:rPr>
      </w:pPr>
      <w:r>
        <w:rPr>
          <w:rFonts w:ascii="Arial" w:cs="Arial" w:eastAsia="Arial" w:hAnsi="Arial"/>
          <w:sz w:val="21"/>
          <w:szCs w:val="21"/>
          <w:color w:val="auto"/>
        </w:rPr>
        <w:t xml:space="preserve">Section 11.14 </w:t>
      </w:r>
      <w:r>
        <w:rPr>
          <w:rFonts w:ascii="Arial" w:cs="Arial" w:eastAsia="Arial" w:hAnsi="Arial"/>
          <w:sz w:val="21"/>
          <w:szCs w:val="21"/>
          <w:u w:val="single" w:color="auto"/>
          <w:color w:val="auto"/>
        </w:rPr>
        <w:t>Governing Law; Jurisdiction; Etc</w:t>
      </w:r>
      <w:r>
        <w:rPr>
          <w:rFonts w:ascii="Arial" w:cs="Arial" w:eastAsia="Arial" w:hAnsi="Arial"/>
          <w:sz w:val="21"/>
          <w:szCs w:val="21"/>
          <w:color w:val="auto"/>
        </w:rPr>
        <w:t xml:space="preserve">. (a) </w:t>
      </w: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WILL BE GOVERNED BY, AND CONSTRUED IN ACCORDANCE WITH, THE LAW OF THE STATE OF NEW YORK.</w:t>
      </w:r>
    </w:p>
    <w:p>
      <w:pPr>
        <w:spacing w:after="0" w:line="155" w:lineRule="exact"/>
        <w:rPr>
          <w:sz w:val="20"/>
          <w:szCs w:val="20"/>
          <w:color w:val="auto"/>
        </w:rPr>
      </w:pPr>
    </w:p>
    <w:p>
      <w:pPr>
        <w:jc w:val="both"/>
        <w:ind w:firstLine="1036"/>
        <w:spacing w:after="0" w:line="230" w:lineRule="auto"/>
        <w:tabs>
          <w:tab w:leader="none" w:pos="1617" w:val="left"/>
        </w:tabs>
        <w:numPr>
          <w:ilvl w:val="0"/>
          <w:numId w:val="269"/>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SUBMISSION TO JURISDICTION</w:t>
      </w:r>
      <w:r>
        <w:rPr>
          <w:rFonts w:ascii="Arial" w:cs="Arial" w:eastAsia="Arial" w:hAnsi="Arial"/>
          <w:sz w:val="21"/>
          <w:szCs w:val="21"/>
          <w:color w:val="auto"/>
        </w:rPr>
        <w:t>. EACH OF THE PARTIES HERETO HEREBY IRREVOCABLY AND UNCONDITIONALLY SUBMITS, FOR ITSELF AND ITS PROPERTY, TO THE EXCLUSIVE JURISDICTION OF THE UNITED STATES DISTRICT COURT FOR THE SOUTHERN DISTRICT OF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141</w:t>
      </w:r>
    </w:p>
    <w:p>
      <w:pPr>
        <w:sectPr>
          <w:pgSz w:w="11900" w:h="16838" w:orient="portrait"/>
          <w:cols w:equalWidth="0" w:num="1">
            <w:col w:w="11200"/>
          </w:cols>
          <w:pgMar w:left="320" w:top="1152" w:right="379" w:bottom="1440" w:gutter="0" w:footer="0" w:header="0"/>
        </w:sectPr>
      </w:pPr>
    </w:p>
    <w:bookmarkStart w:id="280" w:name="page281"/>
    <w:bookmarkEnd w:id="280"/>
    <w:p>
      <w:pPr>
        <w:jc w:val="both"/>
        <w:spacing w:after="0" w:line="225" w:lineRule="auto"/>
        <w:rPr>
          <w:sz w:val="20"/>
          <w:szCs w:val="20"/>
          <w:color w:val="auto"/>
        </w:rPr>
      </w:pPr>
      <w:r>
        <w:rPr>
          <w:rFonts w:ascii="Arial" w:cs="Arial" w:eastAsia="Arial" w:hAnsi="Arial"/>
          <w:sz w:val="20"/>
          <w:szCs w:val="20"/>
          <w:color w:val="auto"/>
        </w:rPr>
        <w:t>YORK SITTING IN THE BOROUGH OF MANHATTAN (OR IF SUCH COURT LACKS SUBJECT MATTER JURISDICTION, THE SUPREME COURT OF THE STATE OF NEW YORK SITTING IN THE BOROUGH OF MANHATTAN), AND ANY APPELLATE COURT FROM ANY THEREOF, IN ANY ACTION OR PROCEEDING ARISING OUT OF OR RELATING TO THIS AGREEMENT OR ANY OTHER LOAN DOCUMENT OR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ANY L/C ISSUER OR ANY LENDER MAY OTHERWISE HAVE TO BRING ANY ACTION OR PROCEEDING RELATING TO THIS AGREEMENT OR ANY OTHER LOAN DOCUMENT AGAINST ANY LOAN PARTY OR ITS PROPERTIES IN THE COURTS OF ANY JURISDICTION.</w:t>
      </w:r>
    </w:p>
    <w:p>
      <w:pPr>
        <w:spacing w:after="0" w:line="158" w:lineRule="exact"/>
        <w:rPr>
          <w:sz w:val="20"/>
          <w:szCs w:val="20"/>
          <w:color w:val="auto"/>
        </w:rPr>
      </w:pPr>
    </w:p>
    <w:p>
      <w:pPr>
        <w:jc w:val="both"/>
        <w:ind w:firstLine="1036"/>
        <w:spacing w:after="0" w:line="219" w:lineRule="auto"/>
        <w:tabs>
          <w:tab w:leader="none" w:pos="1532" w:val="left"/>
        </w:tabs>
        <w:numPr>
          <w:ilvl w:val="0"/>
          <w:numId w:val="270"/>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WAIVER OF VENUE</w:t>
      </w:r>
      <w:r>
        <w:rPr>
          <w:rFonts w:ascii="Arial" w:cs="Arial" w:eastAsia="Arial" w:hAnsi="Arial"/>
          <w:sz w:val="21"/>
          <w:szCs w:val="21"/>
          <w:color w:val="auto"/>
        </w:rPr>
        <w:t xml:space="preserve">. EACH PARTY HERETO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Arial" w:cs="Arial" w:eastAsia="Arial" w:hAnsi="Arial"/>
          <w:sz w:val="21"/>
          <w:szCs w:val="21"/>
          <w:u w:val="single" w:color="auto"/>
          <w:color w:val="auto"/>
        </w:rPr>
        <w:t>SECTION 11.14(b)</w:t>
      </w:r>
      <w:r>
        <w:rPr>
          <w:rFonts w:ascii="Arial" w:cs="Arial" w:eastAsia="Arial" w:hAnsi="Arial"/>
          <w:sz w:val="21"/>
          <w:szCs w:val="21"/>
          <w:color w:val="auto"/>
        </w:rPr>
        <w:t>. EACH OF THE PARTIES HERETO HEREBY IRREVOCABLY WAIVES, TO THE FULLEST EXTENT PERMITTED BY APPLICABLE LAW, THE DEFENSE OF AN INCONVENIENT FORUM TO THE MAINTENANCE OF SUCH ACTION OR PROCEEDING IN ANY SUCH COURT.</w:t>
      </w:r>
    </w:p>
    <w:p>
      <w:pPr>
        <w:spacing w:after="0" w:line="153" w:lineRule="exact"/>
        <w:rPr>
          <w:rFonts w:ascii="Arial" w:cs="Arial" w:eastAsia="Arial" w:hAnsi="Arial"/>
          <w:sz w:val="21"/>
          <w:szCs w:val="21"/>
          <w:u w:val="single" w:color="auto"/>
          <w:color w:val="auto"/>
        </w:rPr>
      </w:pPr>
    </w:p>
    <w:p>
      <w:pPr>
        <w:jc w:val="both"/>
        <w:ind w:firstLine="1036"/>
        <w:spacing w:after="0" w:line="261" w:lineRule="auto"/>
        <w:tabs>
          <w:tab w:leader="none" w:pos="1501" w:val="left"/>
        </w:tabs>
        <w:numPr>
          <w:ilvl w:val="0"/>
          <w:numId w:val="270"/>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SERVICE OF PROCESS</w:t>
      </w:r>
      <w:r>
        <w:rPr>
          <w:rFonts w:ascii="Arial" w:cs="Arial" w:eastAsia="Arial" w:hAnsi="Arial"/>
          <w:sz w:val="19"/>
          <w:szCs w:val="19"/>
          <w:color w:val="auto"/>
        </w:rPr>
        <w:t>. EACH PARTY HERETO IRREVOCABLY CONSENTS TO SERVICE OF PROCESS IN THE MANNER PROVIDED FOR NOTICES IN SECTION 11.02. NOTHING IN THIS AGREEMENT WILL AFFECT THE RIGHT OF ANY PARTY HERETO TO SERVE PROCESS IN ANY OTHER MANNER PERMITTED BY APPLICABLE LAW.</w:t>
      </w:r>
    </w:p>
    <w:p>
      <w:pPr>
        <w:spacing w:after="0" w:line="135" w:lineRule="exact"/>
        <w:rPr>
          <w:sz w:val="20"/>
          <w:szCs w:val="20"/>
          <w:color w:val="auto"/>
        </w:rPr>
      </w:pPr>
    </w:p>
    <w:p>
      <w:pPr>
        <w:jc w:val="both"/>
        <w:ind w:firstLine="954"/>
        <w:spacing w:after="0" w:line="217" w:lineRule="auto"/>
        <w:rPr>
          <w:sz w:val="20"/>
          <w:szCs w:val="20"/>
          <w:color w:val="auto"/>
        </w:rPr>
      </w:pPr>
      <w:r>
        <w:rPr>
          <w:rFonts w:ascii="Arial" w:cs="Arial" w:eastAsia="Arial" w:hAnsi="Arial"/>
          <w:sz w:val="21"/>
          <w:szCs w:val="21"/>
          <w:color w:val="auto"/>
        </w:rPr>
        <w:t xml:space="preserve">Section 11.15 </w:t>
      </w:r>
      <w:r>
        <w:rPr>
          <w:rFonts w:ascii="Arial" w:cs="Arial" w:eastAsia="Arial" w:hAnsi="Arial"/>
          <w:sz w:val="21"/>
          <w:szCs w:val="21"/>
          <w:u w:val="single" w:color="auto"/>
          <w:color w:val="auto"/>
        </w:rPr>
        <w:t>WAIVER OF JURY TRIAL</w:t>
      </w:r>
      <w:r>
        <w:rPr>
          <w:rFonts w:ascii="Arial" w:cs="Arial" w:eastAsia="Arial" w:hAnsi="Arial"/>
          <w:sz w:val="21"/>
          <w:szCs w:val="21"/>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142</w:t>
      </w:r>
    </w:p>
    <w:p>
      <w:pPr>
        <w:sectPr>
          <w:pgSz w:w="11900" w:h="16838" w:orient="portrait"/>
          <w:cols w:equalWidth="0" w:num="1">
            <w:col w:w="11200"/>
          </w:cols>
          <w:pgMar w:left="320" w:top="1152" w:right="379" w:bottom="1440" w:gutter="0" w:footer="0" w:header="0"/>
        </w:sectPr>
      </w:pPr>
    </w:p>
    <w:bookmarkStart w:id="281" w:name="page282"/>
    <w:bookmarkEnd w:id="281"/>
    <w:p>
      <w:pPr>
        <w:jc w:val="both"/>
        <w:spacing w:after="0" w:line="239" w:lineRule="auto"/>
        <w:rPr>
          <w:sz w:val="20"/>
          <w:szCs w:val="20"/>
          <w:color w:val="auto"/>
        </w:rPr>
      </w:pPr>
      <w:r>
        <w:rPr>
          <w:rFonts w:ascii="Arial" w:cs="Arial" w:eastAsia="Arial" w:hAnsi="Arial"/>
          <w:sz w:val="21"/>
          <w:szCs w:val="21"/>
          <w:color w:val="auto"/>
        </w:rPr>
        <w:t xml:space="preserve">THIS AGREEMENT AND THE OTHER LOAN DOCUMENTS BY, AMONG OTHER THINGS, THE MUTUAL WAIVERS AND CERTIFICATIONS IN THIS </w:t>
      </w:r>
      <w:r>
        <w:rPr>
          <w:rFonts w:ascii="Arial" w:cs="Arial" w:eastAsia="Arial" w:hAnsi="Arial"/>
          <w:sz w:val="21"/>
          <w:szCs w:val="21"/>
          <w:u w:val="single" w:color="auto"/>
          <w:color w:val="auto"/>
        </w:rPr>
        <w:t>SECTION 11.15</w:t>
      </w:r>
      <w:r>
        <w:rPr>
          <w:rFonts w:ascii="Arial" w:cs="Arial" w:eastAsia="Arial" w:hAnsi="Arial"/>
          <w:sz w:val="21"/>
          <w:szCs w:val="21"/>
          <w:color w:val="auto"/>
        </w:rPr>
        <w:t>.</w:t>
      </w:r>
    </w:p>
    <w:p>
      <w:pPr>
        <w:spacing w:after="0" w:line="155" w:lineRule="exact"/>
        <w:rPr>
          <w:sz w:val="20"/>
          <w:szCs w:val="20"/>
          <w:color w:val="auto"/>
        </w:rPr>
      </w:pPr>
    </w:p>
    <w:p>
      <w:pPr>
        <w:jc w:val="both"/>
        <w:ind w:firstLine="954"/>
        <w:spacing w:after="0" w:line="227" w:lineRule="auto"/>
        <w:rPr>
          <w:sz w:val="20"/>
          <w:szCs w:val="20"/>
          <w:color w:val="auto"/>
        </w:rPr>
      </w:pPr>
      <w:r>
        <w:rPr>
          <w:rFonts w:ascii="Arial" w:cs="Arial" w:eastAsia="Arial" w:hAnsi="Arial"/>
          <w:sz w:val="20"/>
          <w:szCs w:val="20"/>
          <w:color w:val="auto"/>
        </w:rPr>
        <w:t xml:space="preserve">Section 11.16 </w:t>
      </w:r>
      <w:r>
        <w:rPr>
          <w:rFonts w:ascii="Arial" w:cs="Arial" w:eastAsia="Arial" w:hAnsi="Arial"/>
          <w:sz w:val="20"/>
          <w:szCs w:val="20"/>
          <w:u w:val="single" w:color="auto"/>
          <w:color w:val="auto"/>
        </w:rPr>
        <w:t>USA PATRIOT Act</w:t>
      </w:r>
      <w:r>
        <w:rPr>
          <w:rFonts w:ascii="Arial" w:cs="Arial" w:eastAsia="Arial" w:hAnsi="Arial"/>
          <w:sz w:val="20"/>
          <w:szCs w:val="20"/>
          <w:color w:val="auto"/>
        </w:rPr>
        <w:t>. Each Lender that is subject to the Patriot Act and the requirements of the Beneficial Ownership Regulation and the Administrative Agent (for itself and not on behalf of any Lender) hereby notifies the Loan Parties that pursuant to the requirements of the Patriot Act and the Beneficial Ownership Regulation, it is required to obtain, verify and record information that identifies the Loan Parties, which information includes the name, address and tax identification number of the Loan Parties and other information that will allow such Lender or the Administrative Agent, as applicable, to identify the Loan Parties in accordance with the Patriot Act and the Beneficial Ownership Regulation and other applicable “know your customer” and anti-money laundering rules and regulations. The Loan Parties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Patriot Act and the Beneficial Ownership Regulation.</w:t>
      </w:r>
    </w:p>
    <w:p>
      <w:pPr>
        <w:spacing w:after="0" w:line="157" w:lineRule="exact"/>
        <w:rPr>
          <w:sz w:val="20"/>
          <w:szCs w:val="20"/>
          <w:color w:val="auto"/>
        </w:rPr>
      </w:pPr>
    </w:p>
    <w:p>
      <w:pPr>
        <w:jc w:val="both"/>
        <w:ind w:firstLine="954"/>
        <w:spacing w:after="0" w:line="236" w:lineRule="auto"/>
        <w:rPr>
          <w:sz w:val="20"/>
          <w:szCs w:val="20"/>
          <w:color w:val="auto"/>
        </w:rPr>
      </w:pPr>
      <w:r>
        <w:rPr>
          <w:rFonts w:ascii="Arial" w:cs="Arial" w:eastAsia="Arial" w:hAnsi="Arial"/>
          <w:sz w:val="19"/>
          <w:szCs w:val="19"/>
          <w:color w:val="auto"/>
        </w:rPr>
        <w:t xml:space="preserve">Section 11.17 </w:t>
      </w:r>
      <w:r>
        <w:rPr>
          <w:rFonts w:ascii="Arial" w:cs="Arial" w:eastAsia="Arial" w:hAnsi="Arial"/>
          <w:sz w:val="19"/>
          <w:szCs w:val="19"/>
          <w:u w:val="single" w:color="auto"/>
          <w:color w:val="auto"/>
        </w:rPr>
        <w:t>Judgment Currency</w:t>
      </w:r>
      <w:r>
        <w:rPr>
          <w:rFonts w:ascii="Arial" w:cs="Arial" w:eastAsia="Arial" w:hAnsi="Arial"/>
          <w:sz w:val="19"/>
          <w:szCs w:val="19"/>
          <w:color w:val="auto"/>
        </w:rPr>
        <w:t>. If, for the purposes of obtaining judgment in any court, it is necessary to convert a sum due hereunder or any other Loan Document in one currency into another currency, the rate of exchange used will be that at which in accordance with normal banking procedures the Administrative Agent could purchase the first currency with such other currency on the Business Day preceding that on which final judgment is given. The obligation of any Loan Party in respect of any such sum due from it to the Administrative Agent, any L/C Issuer or any Lender hereunder or under the other Loan Documents will, notwithstanding any judgment in a currency (the “</w:t>
      </w:r>
      <w:r>
        <w:rPr>
          <w:rFonts w:ascii="Arial" w:cs="Arial" w:eastAsia="Arial" w:hAnsi="Arial"/>
          <w:sz w:val="19"/>
          <w:szCs w:val="19"/>
          <w:u w:val="single" w:color="auto"/>
          <w:color w:val="auto"/>
        </w:rPr>
        <w:t>Judgment Currency</w:t>
      </w:r>
      <w:r>
        <w:rPr>
          <w:rFonts w:ascii="Arial" w:cs="Arial" w:eastAsia="Arial" w:hAnsi="Arial"/>
          <w:sz w:val="19"/>
          <w:szCs w:val="19"/>
          <w:color w:val="auto"/>
        </w:rPr>
        <w:t>”) other than that in which such sum is denominated in accordance with the applicable provisions of this Agreement (the “</w:t>
      </w:r>
      <w:r>
        <w:rPr>
          <w:rFonts w:ascii="Arial" w:cs="Arial" w:eastAsia="Arial" w:hAnsi="Arial"/>
          <w:sz w:val="19"/>
          <w:szCs w:val="19"/>
          <w:u w:val="single" w:color="auto"/>
          <w:color w:val="auto"/>
        </w:rPr>
        <w:t>Agreement Currency</w:t>
      </w:r>
      <w:r>
        <w:rPr>
          <w:rFonts w:ascii="Arial" w:cs="Arial" w:eastAsia="Arial" w:hAnsi="Arial"/>
          <w:sz w:val="19"/>
          <w:szCs w:val="19"/>
          <w:color w:val="auto"/>
        </w:rPr>
        <w:t>”), be discharged only to the extent that on the Business Day following receipt by the Administrative Agent, such L/C Issuer or such Lender, as the case may be, of any sum adjudged to be so due in the Judgment Currency, the Administrative Agent, such L/C Issuer or such Lender, as the case may be, may in accordance with normal banking procedures purchase the Agreement Currency with the Judgment Currency. If the amount of the Agreement Currency so purchased is less than the sum originally due to the Administrative Agent, any L/C Issuer or any Lender from any Loan Party in the Agreement Currency, such Loan Party agrees, as a separate obligation and notwithstanding any such judgment, to indemnify the Administrative Agent, such L/C Issuer or such Lender, as the case may be, against such loss. If the amount of the Agreement Currency so purchased is greater than the sum originally due to the Administrative Agent, any L/C Issuer or any Lender in such currency, the Administrative Agent, such L/C Issuer or such Lender, as the case may be, agrees to return the amount of any excess to such Loan Party (or to any other Person that may be entitled thereto under applicable Law).</w:t>
      </w:r>
    </w:p>
    <w:p>
      <w:pPr>
        <w:spacing w:after="0" w:line="166" w:lineRule="exact"/>
        <w:rPr>
          <w:sz w:val="20"/>
          <w:szCs w:val="20"/>
          <w:color w:val="auto"/>
        </w:rPr>
      </w:pPr>
    </w:p>
    <w:p>
      <w:pPr>
        <w:ind w:left="960"/>
        <w:spacing w:after="0"/>
        <w:tabs>
          <w:tab w:leader="none" w:pos="2320" w:val="left"/>
        </w:tabs>
        <w:rPr>
          <w:sz w:val="20"/>
          <w:szCs w:val="20"/>
          <w:color w:val="auto"/>
        </w:rPr>
      </w:pPr>
      <w:r>
        <w:rPr>
          <w:rFonts w:ascii="Arial" w:cs="Arial" w:eastAsia="Arial" w:hAnsi="Arial"/>
          <w:sz w:val="21"/>
          <w:szCs w:val="21"/>
          <w:color w:val="auto"/>
        </w:rPr>
        <w:t>Section 11.18</w:t>
      </w:r>
      <w:r>
        <w:rPr>
          <w:sz w:val="20"/>
          <w:szCs w:val="20"/>
          <w:color w:val="auto"/>
        </w:rPr>
        <w:tab/>
      </w:r>
      <w:r>
        <w:rPr>
          <w:rFonts w:ascii="Arial" w:cs="Arial" w:eastAsia="Arial" w:hAnsi="Arial"/>
          <w:sz w:val="19"/>
          <w:szCs w:val="19"/>
          <w:u w:val="single" w:color="auto"/>
          <w:color w:val="auto"/>
        </w:rPr>
        <w:t>No Advisory or Fiduciary Responsibility</w:t>
      </w:r>
      <w:r>
        <w:rPr>
          <w:rFonts w:ascii="Arial" w:cs="Arial" w:eastAsia="Arial" w:hAnsi="Arial"/>
          <w:sz w:val="19"/>
          <w:szCs w:val="19"/>
          <w:color w:val="auto"/>
        </w:rPr>
        <w:t>.</w:t>
      </w:r>
    </w:p>
    <w:p>
      <w:pPr>
        <w:spacing w:after="0" w:line="183" w:lineRule="exact"/>
        <w:rPr>
          <w:sz w:val="20"/>
          <w:szCs w:val="20"/>
          <w:color w:val="auto"/>
        </w:rPr>
      </w:pPr>
    </w:p>
    <w:p>
      <w:pPr>
        <w:jc w:val="both"/>
        <w:ind w:firstLine="1036"/>
        <w:spacing w:after="0" w:line="252" w:lineRule="auto"/>
        <w:tabs>
          <w:tab w:leader="none" w:pos="1480" w:val="left"/>
        </w:tabs>
        <w:numPr>
          <w:ilvl w:val="0"/>
          <w:numId w:val="271"/>
        </w:numPr>
        <w:rPr>
          <w:rFonts w:ascii="Arial" w:cs="Arial" w:eastAsia="Arial" w:hAnsi="Arial"/>
          <w:sz w:val="19"/>
          <w:szCs w:val="19"/>
          <w:color w:val="auto"/>
        </w:rPr>
      </w:pPr>
      <w:r>
        <w:rPr>
          <w:rFonts w:ascii="Arial" w:cs="Arial" w:eastAsia="Arial" w:hAnsi="Arial"/>
          <w:sz w:val="19"/>
          <w:szCs w:val="19"/>
          <w:color w:val="auto"/>
        </w:rPr>
        <w:t>Each Loan Party acknowledges and agrees, and acknowledges its Subsidiaries’ understanding, that no Credit Party will have any obligations except those obligations expressly set forth herein and in the other Loan Documents and each Credit Party is acting solely in the capacity of an arm’s length contractual counterparty to such Loan Party with respect to the Loan Documents and the transactions contemplated herein and therein and not as a financial advisor or a fiduciary to, or an agent of, such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143</w:t>
      </w:r>
    </w:p>
    <w:p>
      <w:pPr>
        <w:sectPr>
          <w:pgSz w:w="11900" w:h="16838" w:orient="portrait"/>
          <w:cols w:equalWidth="0" w:num="1">
            <w:col w:w="11200"/>
          </w:cols>
          <w:pgMar w:left="320" w:top="1152" w:right="379" w:bottom="1440" w:gutter="0" w:footer="0" w:header="0"/>
        </w:sectPr>
      </w:pPr>
    </w:p>
    <w:bookmarkStart w:id="282" w:name="page283"/>
    <w:bookmarkEnd w:id="282"/>
    <w:p>
      <w:pPr>
        <w:jc w:val="both"/>
        <w:spacing w:after="0" w:line="219" w:lineRule="auto"/>
        <w:rPr>
          <w:sz w:val="20"/>
          <w:szCs w:val="20"/>
          <w:color w:val="auto"/>
        </w:rPr>
      </w:pPr>
      <w:r>
        <w:rPr>
          <w:rFonts w:ascii="Arial" w:cs="Arial" w:eastAsia="Arial" w:hAnsi="Arial"/>
          <w:sz w:val="21"/>
          <w:szCs w:val="21"/>
          <w:color w:val="auto"/>
        </w:rPr>
        <w:t>Party or any other person. Each Loan Party agrees that it will not assert any claim against any Credit Party based on an alleged breach of fiduciary duty by such Credit Party in connection with this Agreement and the transactions contemplated hereby. Additionally, each Loan Party acknowledges and agrees that no Credit Party is advising such Loan Party as to any legal, tax, investment, accounting, regulatory or any other matters in any jurisdiction. Each Loan Party shall consult with its own advisors concerning such matters and shall be responsible for making its own independent investigation and appraisal of the transactions contemplated herein or in the other Loan Documents, and the Credit Parties shall have no responsibility or liability to any Loan Party with respect thereto.</w:t>
      </w:r>
    </w:p>
    <w:p>
      <w:pPr>
        <w:spacing w:after="0" w:line="154" w:lineRule="exact"/>
        <w:rPr>
          <w:sz w:val="20"/>
          <w:szCs w:val="20"/>
          <w:color w:val="auto"/>
        </w:rPr>
      </w:pPr>
    </w:p>
    <w:p>
      <w:pPr>
        <w:jc w:val="both"/>
        <w:ind w:firstLine="1036"/>
        <w:spacing w:after="0" w:line="217" w:lineRule="auto"/>
        <w:tabs>
          <w:tab w:leader="none" w:pos="1554" w:val="left"/>
        </w:tabs>
        <w:numPr>
          <w:ilvl w:val="0"/>
          <w:numId w:val="272"/>
        </w:numPr>
        <w:rPr>
          <w:rFonts w:ascii="Arial" w:cs="Arial" w:eastAsia="Arial" w:hAnsi="Arial"/>
          <w:sz w:val="21"/>
          <w:szCs w:val="21"/>
          <w:color w:val="auto"/>
        </w:rPr>
      </w:pPr>
      <w:r>
        <w:rPr>
          <w:rFonts w:ascii="Arial" w:cs="Arial" w:eastAsia="Arial" w:hAnsi="Arial"/>
          <w:sz w:val="21"/>
          <w:szCs w:val="21"/>
          <w:color w:val="auto"/>
        </w:rPr>
        <w:t>Each Loan Party further acknowledges and agrees, and acknowledges its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the Borrower, its Subsidiaries and other companies with which the Borrower or any of its Subsidiaries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154" w:lineRule="exact"/>
        <w:rPr>
          <w:rFonts w:ascii="Arial" w:cs="Arial" w:eastAsia="Arial" w:hAnsi="Arial"/>
          <w:sz w:val="21"/>
          <w:szCs w:val="21"/>
          <w:color w:val="auto"/>
        </w:rPr>
      </w:pPr>
    </w:p>
    <w:p>
      <w:pPr>
        <w:jc w:val="both"/>
        <w:ind w:firstLine="1036"/>
        <w:spacing w:after="0" w:line="228" w:lineRule="auto"/>
        <w:tabs>
          <w:tab w:leader="none" w:pos="1563" w:val="left"/>
        </w:tabs>
        <w:numPr>
          <w:ilvl w:val="0"/>
          <w:numId w:val="272"/>
        </w:numPr>
        <w:rPr>
          <w:rFonts w:ascii="Arial" w:cs="Arial" w:eastAsia="Arial" w:hAnsi="Arial"/>
          <w:sz w:val="20"/>
          <w:szCs w:val="20"/>
          <w:color w:val="auto"/>
        </w:rPr>
      </w:pPr>
      <w:r>
        <w:rPr>
          <w:rFonts w:ascii="Arial" w:cs="Arial" w:eastAsia="Arial" w:hAnsi="Arial"/>
          <w:sz w:val="20"/>
          <w:szCs w:val="20"/>
          <w:color w:val="auto"/>
        </w:rPr>
        <w:t>In addition, each Loan Party acknowledges and agrees, and acknowledges its Subsidiaries’ understanding, that each Credit Party and its Affiliates may be providing debt financing, equity capital or other services (including financial advisory services) to other companies in respect of which the Borrower or any of its Subsidiaries may have conflicting interests regarding the transactions described herein and otherwise. No Credit Party will use confidential information obtained from the Borrower or any of its Subsidiaries by virtue of the transactions contemplated by the Loan Documents or its other relationships with the Borrower in connection with the performance by such Credit Party of services for other companies, and no Credit Party will furnish any such information to other companies. Each Loan Party also acknowledges that no Credit Party has any obligation to use in connection with the transactions contemplated by the Loan Documents, or to furnish to the Borrower or any of its Subsidiaries, confidential information obtained from other companies.</w:t>
      </w:r>
    </w:p>
    <w:p>
      <w:pPr>
        <w:spacing w:after="0" w:line="154" w:lineRule="exact"/>
        <w:rPr>
          <w:sz w:val="20"/>
          <w:szCs w:val="20"/>
          <w:color w:val="auto"/>
        </w:rPr>
      </w:pPr>
    </w:p>
    <w:p>
      <w:pPr>
        <w:jc w:val="both"/>
        <w:ind w:firstLine="954"/>
        <w:spacing w:after="0" w:line="222" w:lineRule="auto"/>
        <w:rPr>
          <w:sz w:val="20"/>
          <w:szCs w:val="20"/>
          <w:color w:val="auto"/>
        </w:rPr>
      </w:pPr>
      <w:r>
        <w:rPr>
          <w:rFonts w:ascii="Arial" w:cs="Arial" w:eastAsia="Arial" w:hAnsi="Arial"/>
          <w:sz w:val="21"/>
          <w:szCs w:val="21"/>
          <w:color w:val="auto"/>
        </w:rPr>
        <w:t xml:space="preserve">Section 11.19 </w:t>
      </w:r>
      <w:r>
        <w:rPr>
          <w:rFonts w:ascii="Arial" w:cs="Arial" w:eastAsia="Arial" w:hAnsi="Arial"/>
          <w:sz w:val="21"/>
          <w:szCs w:val="21"/>
          <w:u w:val="single" w:color="auto"/>
          <w:color w:val="auto"/>
        </w:rPr>
        <w:t>Acknowledgement and Consent of Bail-In of Affected Financial Institutions</w:t>
      </w:r>
      <w:r>
        <w:rPr>
          <w:rFonts w:ascii="Arial" w:cs="Arial" w:eastAsia="Arial" w:hAnsi="Arial"/>
          <w:sz w:val="21"/>
          <w:szCs w:val="21"/>
          <w:color w:val="auto"/>
        </w:rPr>
        <w:t>. Notwithstanding anything to the contrary in any Loan Document or in any other agreement, arrangement or understanding among the parties hereto,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155" w:lineRule="exact"/>
        <w:rPr>
          <w:sz w:val="20"/>
          <w:szCs w:val="20"/>
          <w:color w:val="auto"/>
        </w:rPr>
      </w:pPr>
    </w:p>
    <w:p>
      <w:pPr>
        <w:ind w:firstLine="1036"/>
        <w:spacing w:after="0" w:line="263" w:lineRule="auto"/>
        <w:tabs>
          <w:tab w:leader="none" w:pos="1549" w:val="left"/>
        </w:tabs>
        <w:numPr>
          <w:ilvl w:val="0"/>
          <w:numId w:val="273"/>
        </w:numPr>
        <w:rPr>
          <w:rFonts w:ascii="Arial" w:cs="Arial" w:eastAsia="Arial" w:hAnsi="Arial"/>
          <w:sz w:val="20"/>
          <w:szCs w:val="20"/>
          <w:color w:val="auto"/>
        </w:rPr>
      </w:pPr>
      <w:r>
        <w:rPr>
          <w:rFonts w:ascii="Arial" w:cs="Arial" w:eastAsia="Arial" w:hAnsi="Arial"/>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31" w:lineRule="exact"/>
        <w:rPr>
          <w:rFonts w:ascii="Arial" w:cs="Arial" w:eastAsia="Arial" w:hAnsi="Arial"/>
          <w:sz w:val="20"/>
          <w:szCs w:val="20"/>
          <w:color w:val="auto"/>
        </w:rPr>
      </w:pPr>
    </w:p>
    <w:p>
      <w:pPr>
        <w:ind w:left="1500" w:hanging="464"/>
        <w:spacing w:after="0"/>
        <w:tabs>
          <w:tab w:leader="none" w:pos="1500" w:val="left"/>
        </w:tabs>
        <w:numPr>
          <w:ilvl w:val="0"/>
          <w:numId w:val="273"/>
        </w:numPr>
        <w:rPr>
          <w:rFonts w:ascii="Arial" w:cs="Arial" w:eastAsia="Arial" w:hAnsi="Arial"/>
          <w:sz w:val="21"/>
          <w:szCs w:val="21"/>
          <w:color w:val="auto"/>
        </w:rPr>
      </w:pPr>
      <w:r>
        <w:rPr>
          <w:rFonts w:ascii="Arial" w:cs="Arial" w:eastAsia="Arial" w:hAnsi="Arial"/>
          <w:sz w:val="21"/>
          <w:szCs w:val="21"/>
          <w:color w:val="auto"/>
        </w:rPr>
        <w:t>the effects of any Bail-in Action on any such liability, including,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144</w:t>
      </w:r>
    </w:p>
    <w:p>
      <w:pPr>
        <w:sectPr>
          <w:pgSz w:w="11900" w:h="16838" w:orient="portrait"/>
          <w:cols w:equalWidth="0" w:num="1">
            <w:col w:w="11200"/>
          </w:cols>
          <w:pgMar w:left="320" w:top="1152" w:right="379" w:bottom="1440" w:gutter="0" w:footer="0" w:header="0"/>
        </w:sectPr>
      </w:pPr>
    </w:p>
    <w:bookmarkStart w:id="283" w:name="page284"/>
    <w:bookmarkEnd w:id="283"/>
    <w:p>
      <w:pPr>
        <w:ind w:left="1920" w:hanging="642"/>
        <w:spacing w:after="0"/>
        <w:tabs>
          <w:tab w:leader="none" w:pos="1920" w:val="left"/>
        </w:tabs>
        <w:numPr>
          <w:ilvl w:val="0"/>
          <w:numId w:val="274"/>
        </w:numPr>
        <w:rPr>
          <w:rFonts w:ascii="Arial" w:cs="Arial" w:eastAsia="Arial" w:hAnsi="Arial"/>
          <w:sz w:val="21"/>
          <w:szCs w:val="21"/>
          <w:color w:val="auto"/>
        </w:rPr>
      </w:pPr>
      <w:r>
        <w:rPr>
          <w:rFonts w:ascii="Arial" w:cs="Arial" w:eastAsia="Arial" w:hAnsi="Arial"/>
          <w:sz w:val="21"/>
          <w:szCs w:val="21"/>
          <w:color w:val="auto"/>
        </w:rPr>
        <w:t>a reduction in full or in part or cancellation of any such liability;</w:t>
      </w:r>
    </w:p>
    <w:p>
      <w:pPr>
        <w:spacing w:after="0" w:line="182" w:lineRule="exact"/>
        <w:rPr>
          <w:rFonts w:ascii="Arial" w:cs="Arial" w:eastAsia="Arial" w:hAnsi="Arial"/>
          <w:sz w:val="21"/>
          <w:szCs w:val="21"/>
          <w:color w:val="auto"/>
        </w:rPr>
      </w:pPr>
    </w:p>
    <w:p>
      <w:pPr>
        <w:jc w:val="both"/>
        <w:ind w:left="640" w:right="40" w:firstLine="638"/>
        <w:spacing w:after="0" w:line="225" w:lineRule="auto"/>
        <w:tabs>
          <w:tab w:leader="none" w:pos="1912" w:val="left"/>
        </w:tabs>
        <w:numPr>
          <w:ilvl w:val="0"/>
          <w:numId w:val="274"/>
        </w:numPr>
        <w:rPr>
          <w:rFonts w:ascii="Arial" w:cs="Arial" w:eastAsia="Arial" w:hAnsi="Arial"/>
          <w:sz w:val="21"/>
          <w:szCs w:val="21"/>
          <w:color w:val="auto"/>
        </w:rPr>
      </w:pPr>
      <w:r>
        <w:rPr>
          <w:rFonts w:ascii="Arial" w:cs="Arial" w:eastAsia="Arial" w:hAnsi="Arial"/>
          <w:sz w:val="21"/>
          <w:szCs w:val="21"/>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54" w:lineRule="exact"/>
        <w:rPr>
          <w:rFonts w:ascii="Arial" w:cs="Arial" w:eastAsia="Arial" w:hAnsi="Arial"/>
          <w:sz w:val="21"/>
          <w:szCs w:val="21"/>
          <w:color w:val="auto"/>
        </w:rPr>
      </w:pPr>
    </w:p>
    <w:p>
      <w:pPr>
        <w:ind w:left="640" w:right="40" w:firstLine="638"/>
        <w:spacing w:after="0" w:line="239" w:lineRule="auto"/>
        <w:tabs>
          <w:tab w:leader="none" w:pos="1912" w:val="left"/>
        </w:tabs>
        <w:numPr>
          <w:ilvl w:val="0"/>
          <w:numId w:val="274"/>
        </w:numPr>
        <w:rPr>
          <w:rFonts w:ascii="Arial" w:cs="Arial" w:eastAsia="Arial" w:hAnsi="Arial"/>
          <w:sz w:val="21"/>
          <w:szCs w:val="21"/>
          <w:color w:val="auto"/>
        </w:rPr>
      </w:pPr>
      <w:r>
        <w:rPr>
          <w:rFonts w:ascii="Arial" w:cs="Arial" w:eastAsia="Arial" w:hAnsi="Arial"/>
          <w:sz w:val="21"/>
          <w:szCs w:val="21"/>
          <w:color w:val="auto"/>
        </w:rPr>
        <w:t>the variation of the terms of such liability in connection with the exercise of the Write-Down and Conversion Powers of the applicable Resolution Authority.</w:t>
      </w:r>
    </w:p>
    <w:p>
      <w:pPr>
        <w:spacing w:after="0" w:line="155" w:lineRule="exact"/>
        <w:rPr>
          <w:sz w:val="20"/>
          <w:szCs w:val="20"/>
          <w:color w:val="auto"/>
        </w:rPr>
      </w:pPr>
    </w:p>
    <w:p>
      <w:pPr>
        <w:jc w:val="both"/>
        <w:ind w:right="40" w:firstLine="954"/>
        <w:spacing w:after="0" w:line="228" w:lineRule="auto"/>
        <w:rPr>
          <w:sz w:val="20"/>
          <w:szCs w:val="20"/>
          <w:color w:val="auto"/>
        </w:rPr>
      </w:pPr>
      <w:r>
        <w:rPr>
          <w:rFonts w:ascii="Arial" w:cs="Arial" w:eastAsia="Arial" w:hAnsi="Arial"/>
          <w:sz w:val="20"/>
          <w:szCs w:val="20"/>
          <w:color w:val="auto"/>
        </w:rPr>
        <w:t xml:space="preserve">Section 11.20 </w:t>
      </w:r>
      <w:r>
        <w:rPr>
          <w:rFonts w:ascii="Arial" w:cs="Arial" w:eastAsia="Arial" w:hAnsi="Arial"/>
          <w:sz w:val="20"/>
          <w:szCs w:val="20"/>
          <w:u w:val="single" w:color="auto"/>
          <w:color w:val="auto"/>
        </w:rPr>
        <w:t>Acknowledgement Regarding Any Supported QFCs</w:t>
      </w:r>
      <w:r>
        <w:rPr>
          <w:rFonts w:ascii="Arial" w:cs="Arial" w:eastAsia="Arial" w:hAnsi="Arial"/>
          <w:sz w:val="20"/>
          <w:szCs w:val="20"/>
          <w:color w:val="auto"/>
        </w:rPr>
        <w:t>. To the extent that the Loan Documents provide support, through a guarantee or otherwise, for Swap Contracts or any other agreement or instrument that is a QFC (such support “</w:t>
      </w:r>
      <w:r>
        <w:rPr>
          <w:rFonts w:ascii="Arial" w:cs="Arial" w:eastAsia="Arial" w:hAnsi="Arial"/>
          <w:sz w:val="20"/>
          <w:szCs w:val="20"/>
          <w:u w:val="single" w:color="auto"/>
          <w:color w:val="auto"/>
        </w:rPr>
        <w:t>QFC Credit Support</w:t>
      </w:r>
      <w:r>
        <w:rPr>
          <w:rFonts w:ascii="Arial" w:cs="Arial" w:eastAsia="Arial" w:hAnsi="Arial"/>
          <w:sz w:val="20"/>
          <w:szCs w:val="20"/>
          <w:color w:val="auto"/>
        </w:rPr>
        <w:t>” and each such QFC a “</w:t>
      </w:r>
      <w:r>
        <w:rPr>
          <w:rFonts w:ascii="Arial" w:cs="Arial" w:eastAsia="Arial" w:hAnsi="Arial"/>
          <w:sz w:val="20"/>
          <w:szCs w:val="20"/>
          <w:u w:val="single" w:color="auto"/>
          <w:color w:val="auto"/>
        </w:rPr>
        <w:t>Supported QFC</w:t>
      </w:r>
      <w:r>
        <w:rPr>
          <w:rFonts w:ascii="Arial" w:cs="Arial" w:eastAsia="Arial" w:hAnsi="Arial"/>
          <w:sz w:val="20"/>
          <w:szCs w:val="20"/>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20"/>
          <w:szCs w:val="20"/>
          <w:u w:val="single" w:color="auto"/>
          <w:color w:val="auto"/>
        </w:rPr>
        <w:t>U.S. Special</w:t>
      </w:r>
      <w:r>
        <w:rPr>
          <w:rFonts w:ascii="Arial" w:cs="Arial" w:eastAsia="Arial" w:hAnsi="Arial"/>
          <w:sz w:val="20"/>
          <w:szCs w:val="20"/>
          <w:color w:val="auto"/>
        </w:rPr>
        <w:t xml:space="preserve"> </w:t>
      </w:r>
      <w:r>
        <w:rPr>
          <w:rFonts w:ascii="Arial" w:cs="Arial" w:eastAsia="Arial" w:hAnsi="Arial"/>
          <w:sz w:val="20"/>
          <w:szCs w:val="20"/>
          <w:u w:val="single" w:color="auto"/>
          <w:color w:val="auto"/>
        </w:rPr>
        <w:t>Resolution Regimes</w:t>
      </w:r>
      <w:r>
        <w:rPr>
          <w:rFonts w:ascii="Arial" w:cs="Arial" w:eastAsia="Arial" w:hAnsi="Arial"/>
          <w:sz w:val="20"/>
          <w:szCs w:val="20"/>
          <w:color w:val="auto"/>
        </w:rPr>
        <w:t xml:space="preserve"> ”)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60" w:lineRule="exact"/>
        <w:rPr>
          <w:sz w:val="20"/>
          <w:szCs w:val="20"/>
          <w:color w:val="auto"/>
        </w:rPr>
      </w:pPr>
    </w:p>
    <w:p>
      <w:pPr>
        <w:jc w:val="both"/>
        <w:ind w:firstLine="636"/>
        <w:spacing w:after="0" w:line="225" w:lineRule="auto"/>
        <w:rPr>
          <w:sz w:val="20"/>
          <w:szCs w:val="20"/>
          <w:color w:val="auto"/>
        </w:rPr>
      </w:pPr>
      <w:r>
        <w:rPr>
          <w:rFonts w:ascii="Arial" w:cs="Arial" w:eastAsia="Arial" w:hAnsi="Arial"/>
          <w:sz w:val="20"/>
          <w:szCs w:val="20"/>
          <w:color w:val="auto"/>
        </w:rPr>
        <w:t>In the event a Covered Entity that is party to a Supported QFC (each, a “</w:t>
      </w:r>
      <w:r>
        <w:rPr>
          <w:rFonts w:ascii="Arial" w:cs="Arial" w:eastAsia="Arial" w:hAnsi="Arial"/>
          <w:sz w:val="20"/>
          <w:szCs w:val="20"/>
          <w:u w:val="single" w:color="auto"/>
          <w:color w:val="auto"/>
        </w:rPr>
        <w:t>Covered Party</w:t>
      </w:r>
      <w:r>
        <w:rPr>
          <w:rFonts w:ascii="Arial" w:cs="Arial" w:eastAsia="Arial" w:hAnsi="Arial"/>
          <w:sz w:val="20"/>
          <w:szCs w:val="20"/>
          <w:color w:val="auto"/>
        </w:rPr>
        <w:t xml:space="preserve"> ”)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145</w:t>
      </w:r>
    </w:p>
    <w:p>
      <w:pPr>
        <w:sectPr>
          <w:pgSz w:w="11900" w:h="16838" w:orient="portrait"/>
          <w:cols w:equalWidth="0" w:num="1">
            <w:col w:w="11240"/>
          </w:cols>
          <w:pgMar w:left="320" w:top="1152" w:right="339" w:bottom="1440" w:gutter="0" w:footer="0" w:header="0"/>
        </w:sectPr>
      </w:pPr>
    </w:p>
    <w:bookmarkStart w:id="284" w:name="page285"/>
    <w:bookmarkEnd w:id="284"/>
    <w:p>
      <w:pPr>
        <w:ind w:firstLine="636"/>
        <w:spacing w:after="0" w:line="239" w:lineRule="auto"/>
        <w:rPr>
          <w:sz w:val="20"/>
          <w:szCs w:val="20"/>
          <w:color w:val="auto"/>
        </w:rPr>
      </w:pPr>
      <w:r>
        <w:rPr>
          <w:rFonts w:ascii="Arial" w:cs="Arial" w:eastAsia="Arial" w:hAnsi="Arial"/>
          <w:sz w:val="21"/>
          <w:szCs w:val="21"/>
          <w:color w:val="auto"/>
        </w:rPr>
        <w:t>IN WITNESS WHEREOF, the parties hereto have caused this Agreement to be executed by their respective officers thereunto duly authorized, as of the date first above written.</w:t>
      </w:r>
    </w:p>
    <w:p>
      <w:pPr>
        <w:spacing w:after="0" w:line="155" w:lineRule="exact"/>
        <w:rPr>
          <w:sz w:val="20"/>
          <w:szCs w:val="20"/>
          <w:color w:val="auto"/>
        </w:rPr>
      </w:pPr>
    </w:p>
    <w:p>
      <w:pPr>
        <w:jc w:val="center"/>
        <w:ind w:right="160"/>
        <w:spacing w:after="0"/>
        <w:rPr>
          <w:sz w:val="20"/>
          <w:szCs w:val="20"/>
          <w:color w:val="auto"/>
        </w:rPr>
      </w:pPr>
      <w:r>
        <w:rPr>
          <w:rFonts w:ascii="Arial" w:cs="Arial" w:eastAsia="Arial" w:hAnsi="Arial"/>
          <w:sz w:val="21"/>
          <w:szCs w:val="21"/>
          <w:color w:val="auto"/>
        </w:rPr>
        <w:t>INCYTE CORPORATION, as Borrower</w:t>
      </w:r>
    </w:p>
    <w:p>
      <w:pPr>
        <w:spacing w:after="0" w:line="383"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2781935</wp:posOffset>
            </wp:positionH>
            <wp:positionV relativeFrom="paragraph">
              <wp:posOffset>-5715</wp:posOffset>
            </wp:positionV>
            <wp:extent cx="1346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ind w:left="3800"/>
        <w:spacing w:after="0" w:line="210" w:lineRule="auto"/>
        <w:rPr>
          <w:sz w:val="20"/>
          <w:szCs w:val="20"/>
          <w:color w:val="auto"/>
        </w:rPr>
      </w:pPr>
      <w:r>
        <w:rPr>
          <w:rFonts w:ascii="Arial" w:cs="Arial" w:eastAsia="Arial" w:hAnsi="Arial"/>
          <w:sz w:val="21"/>
          <w:szCs w:val="21"/>
          <w:color w:val="auto"/>
        </w:rPr>
        <w:t>Name:</w:t>
      </w:r>
    </w:p>
    <w:p>
      <w:pPr>
        <w:spacing w:after="0" w:line="1"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30"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INCYTE HOLDINGS CORPORATION, as a Subsidiary Guarantor</w:t>
      </w:r>
    </w:p>
    <w:p>
      <w:pPr>
        <w:spacing w:after="0" w:line="383"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2781935</wp:posOffset>
            </wp:positionH>
            <wp:positionV relativeFrom="paragraph">
              <wp:posOffset>-5715</wp:posOffset>
            </wp:positionV>
            <wp:extent cx="1346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ind w:left="3800"/>
        <w:spacing w:after="0" w:line="210" w:lineRule="auto"/>
        <w:rPr>
          <w:sz w:val="20"/>
          <w:szCs w:val="20"/>
          <w:color w:val="auto"/>
        </w:rPr>
      </w:pPr>
      <w:r>
        <w:rPr>
          <w:rFonts w:ascii="Arial" w:cs="Arial" w:eastAsia="Arial" w:hAnsi="Arial"/>
          <w:sz w:val="21"/>
          <w:szCs w:val="21"/>
          <w:color w:val="auto"/>
        </w:rPr>
        <w:t>Name:</w:t>
      </w:r>
    </w:p>
    <w:p>
      <w:pPr>
        <w:spacing w:after="0" w:line="1"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Signature Page to Revolving Credit and Guaranty Agreement</w:t>
      </w:r>
    </w:p>
    <w:p>
      <w:pPr>
        <w:jc w:val="center"/>
        <w:ind w:right="20"/>
        <w:spacing w:after="0"/>
        <w:rPr>
          <w:sz w:val="20"/>
          <w:szCs w:val="20"/>
          <w:color w:val="auto"/>
        </w:rPr>
      </w:pPr>
      <w:r>
        <w:rPr>
          <w:rFonts w:ascii="Arial" w:cs="Arial" w:eastAsia="Arial" w:hAnsi="Arial"/>
          <w:sz w:val="19"/>
          <w:szCs w:val="19"/>
          <w:color w:val="auto"/>
        </w:rPr>
        <w:t>Incyte Corporation</w:t>
      </w:r>
    </w:p>
    <w:p>
      <w:pPr>
        <w:sectPr>
          <w:pgSz w:w="11900" w:h="16838" w:orient="portrait"/>
          <w:cols w:equalWidth="0" w:num="1">
            <w:col w:w="11240"/>
          </w:cols>
          <w:pgMar w:left="320" w:top="1377" w:right="339" w:bottom="1440" w:gutter="0" w:footer="0" w:header="0"/>
        </w:sectPr>
      </w:pPr>
    </w:p>
    <w:bookmarkStart w:id="285" w:name="page286"/>
    <w:bookmarkEnd w:id="285"/>
    <w:p>
      <w:pPr>
        <w:ind w:left="2700" w:hanging="11"/>
        <w:spacing w:after="0" w:line="239" w:lineRule="auto"/>
        <w:rPr>
          <w:sz w:val="20"/>
          <w:szCs w:val="20"/>
          <w:color w:val="auto"/>
        </w:rPr>
      </w:pPr>
      <w:r>
        <w:rPr>
          <w:rFonts w:ascii="Arial" w:cs="Arial" w:eastAsia="Arial" w:hAnsi="Arial"/>
          <w:sz w:val="21"/>
          <w:szCs w:val="21"/>
          <w:color w:val="auto"/>
        </w:rPr>
        <w:t>JPMORGAN CHASE BANK, N.A., individually as a Lender, as a L/C Issuer and as Administrative Agent</w:t>
      </w:r>
    </w:p>
    <w:p>
      <w:pPr>
        <w:spacing w:after="0" w:line="356" w:lineRule="exact"/>
        <w:rPr>
          <w:sz w:val="20"/>
          <w:szCs w:val="20"/>
          <w:color w:val="auto"/>
        </w:rPr>
      </w:pPr>
    </w:p>
    <w:p>
      <w:pPr>
        <w:ind w:left="268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-5715</wp:posOffset>
            </wp:positionV>
            <wp:extent cx="1346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ind w:left="2680"/>
        <w:spacing w:after="0" w:line="210" w:lineRule="auto"/>
        <w:rPr>
          <w:sz w:val="20"/>
          <w:szCs w:val="20"/>
          <w:color w:val="auto"/>
        </w:rPr>
      </w:pPr>
      <w:r>
        <w:rPr>
          <w:rFonts w:ascii="Arial" w:cs="Arial" w:eastAsia="Arial" w:hAnsi="Arial"/>
          <w:sz w:val="21"/>
          <w:szCs w:val="21"/>
          <w:color w:val="auto"/>
        </w:rPr>
        <w:t>Name:</w:t>
      </w:r>
    </w:p>
    <w:p>
      <w:pPr>
        <w:spacing w:after="0" w:line="1" w:lineRule="exact"/>
        <w:rPr>
          <w:sz w:val="20"/>
          <w:szCs w:val="20"/>
          <w:color w:val="auto"/>
        </w:rPr>
      </w:pPr>
    </w:p>
    <w:p>
      <w:pPr>
        <w:ind w:left="2680"/>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860"/>
        <w:spacing w:after="0"/>
        <w:rPr>
          <w:sz w:val="20"/>
          <w:szCs w:val="20"/>
          <w:color w:val="auto"/>
        </w:rPr>
      </w:pPr>
      <w:r>
        <w:rPr>
          <w:rFonts w:ascii="Arial" w:cs="Arial" w:eastAsia="Arial" w:hAnsi="Arial"/>
          <w:sz w:val="17"/>
          <w:szCs w:val="17"/>
          <w:color w:val="auto"/>
        </w:rPr>
        <w:t>Signature Page to Revolving Credit and Guaranty Agreement</w:t>
      </w:r>
    </w:p>
    <w:p>
      <w:pPr>
        <w:spacing w:after="0" w:line="6" w:lineRule="exact"/>
        <w:rPr>
          <w:sz w:val="20"/>
          <w:szCs w:val="20"/>
          <w:color w:val="auto"/>
        </w:rPr>
      </w:pPr>
    </w:p>
    <w:p>
      <w:pPr>
        <w:jc w:val="center"/>
        <w:ind w:right="860"/>
        <w:spacing w:after="0"/>
        <w:rPr>
          <w:sz w:val="20"/>
          <w:szCs w:val="20"/>
          <w:color w:val="auto"/>
        </w:rPr>
      </w:pPr>
      <w:r>
        <w:rPr>
          <w:rFonts w:ascii="Arial" w:cs="Arial" w:eastAsia="Arial" w:hAnsi="Arial"/>
          <w:sz w:val="19"/>
          <w:szCs w:val="19"/>
          <w:color w:val="auto"/>
        </w:rPr>
        <w:t>Incyte Corporation</w:t>
      </w:r>
    </w:p>
    <w:p>
      <w:pPr>
        <w:sectPr>
          <w:pgSz w:w="11900" w:h="16838" w:orient="portrait"/>
          <w:cols w:equalWidth="0" w:num="1">
            <w:col w:w="9860"/>
          </w:cols>
          <w:pgMar w:left="1440" w:top="1377" w:right="599" w:bottom="1440" w:gutter="0" w:footer="0" w:header="0"/>
        </w:sectPr>
      </w:pPr>
    </w:p>
    <w:bookmarkStart w:id="286" w:name="page287"/>
    <w:bookmarkEnd w:id="286"/>
    <w:p>
      <w:pPr>
        <w:jc w:val="right"/>
        <w:ind w:right="1699"/>
        <w:spacing w:after="0"/>
        <w:rPr>
          <w:sz w:val="20"/>
          <w:szCs w:val="20"/>
          <w:color w:val="auto"/>
        </w:rPr>
      </w:pPr>
      <w:r>
        <w:rPr>
          <w:rFonts w:ascii="Arial" w:cs="Arial" w:eastAsia="Arial" w:hAnsi="Arial"/>
          <w:sz w:val="21"/>
          <w:szCs w:val="21"/>
          <w:color w:val="auto"/>
        </w:rPr>
        <w:t>BANK OF AMERICA, N.A., individually as a Lender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68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-5715</wp:posOffset>
            </wp:positionV>
            <wp:extent cx="1346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ind w:left="2680"/>
        <w:spacing w:after="0" w:line="210" w:lineRule="auto"/>
        <w:rPr>
          <w:sz w:val="20"/>
          <w:szCs w:val="20"/>
          <w:color w:val="auto"/>
        </w:rPr>
      </w:pPr>
      <w:r>
        <w:rPr>
          <w:rFonts w:ascii="Arial" w:cs="Arial" w:eastAsia="Arial" w:hAnsi="Arial"/>
          <w:sz w:val="21"/>
          <w:szCs w:val="21"/>
          <w:color w:val="auto"/>
        </w:rPr>
        <w:t>Name:</w:t>
      </w:r>
    </w:p>
    <w:p>
      <w:pPr>
        <w:spacing w:after="0" w:line="1" w:lineRule="exact"/>
        <w:rPr>
          <w:sz w:val="20"/>
          <w:szCs w:val="20"/>
          <w:color w:val="auto"/>
        </w:rPr>
      </w:pPr>
    </w:p>
    <w:p>
      <w:pPr>
        <w:ind w:left="2680"/>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 Page to Revolving Credit and Guaranty Agreement</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Incyte Corporation</w:t>
      </w:r>
    </w:p>
    <w:p>
      <w:pPr>
        <w:sectPr>
          <w:pgSz w:w="11900" w:h="16838" w:orient="portrait"/>
          <w:cols w:equalWidth="0" w:num="1">
            <w:col w:w="9019"/>
          </w:cols>
          <w:pgMar w:left="1440" w:top="1377" w:right="1440" w:bottom="1440" w:gutter="0" w:footer="0" w:header="0"/>
        </w:sectPr>
      </w:pPr>
    </w:p>
    <w:bookmarkStart w:id="287" w:name="page288"/>
    <w:bookmarkEnd w:id="287"/>
    <w:p>
      <w:pPr>
        <w:jc w:val="right"/>
        <w:ind w:right="1959"/>
        <w:spacing w:after="0"/>
        <w:rPr>
          <w:sz w:val="20"/>
          <w:szCs w:val="20"/>
          <w:color w:val="auto"/>
        </w:rPr>
      </w:pPr>
      <w:r>
        <w:rPr>
          <w:rFonts w:ascii="Arial" w:cs="Arial" w:eastAsia="Arial" w:hAnsi="Arial"/>
          <w:sz w:val="21"/>
          <w:szCs w:val="21"/>
          <w:color w:val="auto"/>
        </w:rPr>
        <w:t>BARCLAYS BANK PLC, individually as a Lender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68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-5715</wp:posOffset>
            </wp:positionV>
            <wp:extent cx="1346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ind w:left="2680"/>
        <w:spacing w:after="0" w:line="210" w:lineRule="auto"/>
        <w:rPr>
          <w:sz w:val="20"/>
          <w:szCs w:val="20"/>
          <w:color w:val="auto"/>
        </w:rPr>
      </w:pPr>
      <w:r>
        <w:rPr>
          <w:rFonts w:ascii="Arial" w:cs="Arial" w:eastAsia="Arial" w:hAnsi="Arial"/>
          <w:sz w:val="21"/>
          <w:szCs w:val="21"/>
          <w:color w:val="auto"/>
        </w:rPr>
        <w:t>Name:</w:t>
      </w:r>
    </w:p>
    <w:p>
      <w:pPr>
        <w:spacing w:after="0" w:line="1" w:lineRule="exact"/>
        <w:rPr>
          <w:sz w:val="20"/>
          <w:szCs w:val="20"/>
          <w:color w:val="auto"/>
        </w:rPr>
      </w:pPr>
    </w:p>
    <w:p>
      <w:pPr>
        <w:ind w:left="2680"/>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 Page to Revolving Credit and Guaranty Agreement</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Incyte Corporation</w:t>
      </w:r>
    </w:p>
    <w:p>
      <w:pPr>
        <w:sectPr>
          <w:pgSz w:w="11900" w:h="16838" w:orient="portrait"/>
          <w:cols w:equalWidth="0" w:num="1">
            <w:col w:w="9019"/>
          </w:cols>
          <w:pgMar w:left="1440" w:top="1377" w:right="1440" w:bottom="1440" w:gutter="0" w:footer="0" w:header="0"/>
        </w:sectPr>
      </w:pPr>
    </w:p>
    <w:bookmarkStart w:id="288" w:name="page289"/>
    <w:bookmarkEnd w:id="288"/>
    <w:p>
      <w:pPr>
        <w:jc w:val="right"/>
        <w:ind w:right="2059"/>
        <w:spacing w:after="0"/>
        <w:rPr>
          <w:sz w:val="20"/>
          <w:szCs w:val="20"/>
          <w:color w:val="auto"/>
        </w:rPr>
      </w:pPr>
      <w:r>
        <w:rPr>
          <w:rFonts w:ascii="Arial" w:cs="Arial" w:eastAsia="Arial" w:hAnsi="Arial"/>
          <w:sz w:val="21"/>
          <w:szCs w:val="21"/>
          <w:color w:val="auto"/>
        </w:rPr>
        <w:t>CITIZENS BANK, N.A., individually as a Lender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68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-5715</wp:posOffset>
            </wp:positionV>
            <wp:extent cx="1346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ind w:left="2680"/>
        <w:spacing w:after="0" w:line="210" w:lineRule="auto"/>
        <w:rPr>
          <w:sz w:val="20"/>
          <w:szCs w:val="20"/>
          <w:color w:val="auto"/>
        </w:rPr>
      </w:pPr>
      <w:r>
        <w:rPr>
          <w:rFonts w:ascii="Arial" w:cs="Arial" w:eastAsia="Arial" w:hAnsi="Arial"/>
          <w:sz w:val="21"/>
          <w:szCs w:val="21"/>
          <w:color w:val="auto"/>
        </w:rPr>
        <w:t>Name:</w:t>
      </w:r>
    </w:p>
    <w:p>
      <w:pPr>
        <w:spacing w:after="0" w:line="1" w:lineRule="exact"/>
        <w:rPr>
          <w:sz w:val="20"/>
          <w:szCs w:val="20"/>
          <w:color w:val="auto"/>
        </w:rPr>
      </w:pPr>
    </w:p>
    <w:p>
      <w:pPr>
        <w:ind w:left="2680"/>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 Page to Revolving Credit and Guaranty Agreement</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Incyte Corporation</w:t>
      </w:r>
    </w:p>
    <w:p>
      <w:pPr>
        <w:sectPr>
          <w:pgSz w:w="11900" w:h="16838" w:orient="portrait"/>
          <w:cols w:equalWidth="0" w:num="1">
            <w:col w:w="9019"/>
          </w:cols>
          <w:pgMar w:left="1440" w:top="1377" w:right="1440" w:bottom="1440" w:gutter="0" w:footer="0" w:header="0"/>
        </w:sectPr>
      </w:pPr>
    </w:p>
    <w:bookmarkStart w:id="289" w:name="page290"/>
    <w:bookmarkEnd w:id="289"/>
    <w:p>
      <w:pPr>
        <w:ind w:left="2680"/>
        <w:spacing w:after="0"/>
        <w:rPr>
          <w:sz w:val="20"/>
          <w:szCs w:val="20"/>
          <w:color w:val="auto"/>
        </w:rPr>
      </w:pPr>
      <w:r>
        <w:rPr>
          <w:rFonts w:ascii="Arial" w:cs="Arial" w:eastAsia="Arial" w:hAnsi="Arial"/>
          <w:sz w:val="20"/>
          <w:szCs w:val="20"/>
          <w:color w:val="auto"/>
        </w:rPr>
        <w:t>GOLDMAN SACHS LENDING PARTNERS LLC, individually as a Lender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68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-5715</wp:posOffset>
            </wp:positionV>
            <wp:extent cx="1346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ind w:left="2680"/>
        <w:spacing w:after="0" w:line="210" w:lineRule="auto"/>
        <w:rPr>
          <w:sz w:val="20"/>
          <w:szCs w:val="20"/>
          <w:color w:val="auto"/>
        </w:rPr>
      </w:pPr>
      <w:r>
        <w:rPr>
          <w:rFonts w:ascii="Arial" w:cs="Arial" w:eastAsia="Arial" w:hAnsi="Arial"/>
          <w:sz w:val="21"/>
          <w:szCs w:val="21"/>
          <w:color w:val="auto"/>
        </w:rPr>
        <w:t>Name:</w:t>
      </w:r>
    </w:p>
    <w:p>
      <w:pPr>
        <w:spacing w:after="0" w:line="1" w:lineRule="exact"/>
        <w:rPr>
          <w:sz w:val="20"/>
          <w:szCs w:val="20"/>
          <w:color w:val="auto"/>
        </w:rPr>
      </w:pPr>
    </w:p>
    <w:p>
      <w:pPr>
        <w:ind w:left="2680"/>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Signature Page to Revolving Credit and Guaranty Agreement</w:t>
      </w:r>
    </w:p>
    <w:p>
      <w:pPr>
        <w:spacing w:after="0" w:line="6" w:lineRule="exact"/>
        <w:rPr>
          <w:sz w:val="20"/>
          <w:szCs w:val="20"/>
          <w:color w:val="auto"/>
        </w:rPr>
      </w:pPr>
    </w:p>
    <w:p>
      <w:pPr>
        <w:jc w:val="center"/>
        <w:ind w:right="220"/>
        <w:spacing w:after="0"/>
        <w:rPr>
          <w:sz w:val="20"/>
          <w:szCs w:val="20"/>
          <w:color w:val="auto"/>
        </w:rPr>
      </w:pPr>
      <w:r>
        <w:rPr>
          <w:rFonts w:ascii="Arial" w:cs="Arial" w:eastAsia="Arial" w:hAnsi="Arial"/>
          <w:sz w:val="19"/>
          <w:szCs w:val="19"/>
          <w:color w:val="auto"/>
        </w:rPr>
        <w:t>Incyte Corporation</w:t>
      </w:r>
    </w:p>
    <w:p>
      <w:pPr>
        <w:sectPr>
          <w:pgSz w:w="11900" w:h="16838" w:orient="portrait"/>
          <w:cols w:equalWidth="0" w:num="1">
            <w:col w:w="9220"/>
          </w:cols>
          <w:pgMar w:left="1440" w:top="1377" w:right="1239" w:bottom="1440" w:gutter="0" w:footer="0" w:header="0"/>
        </w:sectPr>
      </w:pPr>
    </w:p>
    <w:bookmarkStart w:id="290" w:name="page291"/>
    <w:bookmarkEnd w:id="290"/>
    <w:p>
      <w:pPr>
        <w:jc w:val="right"/>
        <w:ind w:right="1959"/>
        <w:spacing w:after="0"/>
        <w:rPr>
          <w:sz w:val="20"/>
          <w:szCs w:val="20"/>
          <w:color w:val="auto"/>
        </w:rPr>
      </w:pPr>
      <w:r>
        <w:rPr>
          <w:rFonts w:ascii="Arial" w:cs="Arial" w:eastAsia="Arial" w:hAnsi="Arial"/>
          <w:sz w:val="21"/>
          <w:szCs w:val="21"/>
          <w:color w:val="auto"/>
        </w:rPr>
        <w:t>HSBC BANK USA, N.A., individually as a Lender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68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-5715</wp:posOffset>
            </wp:positionV>
            <wp:extent cx="1346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ind w:left="2680"/>
        <w:spacing w:after="0" w:line="210" w:lineRule="auto"/>
        <w:rPr>
          <w:sz w:val="20"/>
          <w:szCs w:val="20"/>
          <w:color w:val="auto"/>
        </w:rPr>
      </w:pPr>
      <w:r>
        <w:rPr>
          <w:rFonts w:ascii="Arial" w:cs="Arial" w:eastAsia="Arial" w:hAnsi="Arial"/>
          <w:sz w:val="21"/>
          <w:szCs w:val="21"/>
          <w:color w:val="auto"/>
        </w:rPr>
        <w:t>Name:</w:t>
      </w:r>
    </w:p>
    <w:p>
      <w:pPr>
        <w:spacing w:after="0" w:line="1" w:lineRule="exact"/>
        <w:rPr>
          <w:sz w:val="20"/>
          <w:szCs w:val="20"/>
          <w:color w:val="auto"/>
        </w:rPr>
      </w:pPr>
    </w:p>
    <w:p>
      <w:pPr>
        <w:ind w:left="2680"/>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 Page to Revolving Credit and Guaranty Agreement</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Incyte Corporation</w:t>
      </w:r>
    </w:p>
    <w:p>
      <w:pPr>
        <w:sectPr>
          <w:pgSz w:w="11900" w:h="16838" w:orient="portrait"/>
          <w:cols w:equalWidth="0" w:num="1">
            <w:col w:w="9019"/>
          </w:cols>
          <w:pgMar w:left="1440" w:top="1377" w:right="1440" w:bottom="1440" w:gutter="0" w:footer="0" w:header="0"/>
        </w:sectPr>
      </w:pPr>
    </w:p>
    <w:bookmarkStart w:id="291" w:name="page292"/>
    <w:bookmarkEnd w:id="291"/>
    <w:p>
      <w:pPr>
        <w:jc w:val="right"/>
        <w:ind w:right="2119"/>
        <w:spacing w:after="0"/>
        <w:rPr>
          <w:sz w:val="20"/>
          <w:szCs w:val="20"/>
          <w:color w:val="auto"/>
        </w:rPr>
      </w:pPr>
      <w:r>
        <w:rPr>
          <w:rFonts w:ascii="Arial" w:cs="Arial" w:eastAsia="Arial" w:hAnsi="Arial"/>
          <w:sz w:val="21"/>
          <w:szCs w:val="21"/>
          <w:color w:val="auto"/>
        </w:rPr>
        <w:t>MIZUHO BANK, LTD., individually as a Lender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68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-5715</wp:posOffset>
            </wp:positionV>
            <wp:extent cx="1346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ind w:left="2680"/>
        <w:spacing w:after="0" w:line="210" w:lineRule="auto"/>
        <w:rPr>
          <w:sz w:val="20"/>
          <w:szCs w:val="20"/>
          <w:color w:val="auto"/>
        </w:rPr>
      </w:pPr>
      <w:r>
        <w:rPr>
          <w:rFonts w:ascii="Arial" w:cs="Arial" w:eastAsia="Arial" w:hAnsi="Arial"/>
          <w:sz w:val="21"/>
          <w:szCs w:val="21"/>
          <w:color w:val="auto"/>
        </w:rPr>
        <w:t>Name:</w:t>
      </w:r>
    </w:p>
    <w:p>
      <w:pPr>
        <w:spacing w:after="0" w:line="1" w:lineRule="exact"/>
        <w:rPr>
          <w:sz w:val="20"/>
          <w:szCs w:val="20"/>
          <w:color w:val="auto"/>
        </w:rPr>
      </w:pPr>
    </w:p>
    <w:p>
      <w:pPr>
        <w:ind w:left="2680"/>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 Page to Revolving Credit and Guaranty Agreement</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Incyte Corporation</w:t>
      </w:r>
    </w:p>
    <w:p>
      <w:pPr>
        <w:sectPr>
          <w:pgSz w:w="11900" w:h="16838" w:orient="portrait"/>
          <w:cols w:equalWidth="0" w:num="1">
            <w:col w:w="9019"/>
          </w:cols>
          <w:pgMar w:left="1440" w:top="1377" w:right="1440" w:bottom="1440" w:gutter="0" w:footer="0" w:header="0"/>
        </w:sectPr>
      </w:pPr>
    </w:p>
    <w:bookmarkStart w:id="292" w:name="page293"/>
    <w:bookmarkEnd w:id="292"/>
    <w:p>
      <w:pPr>
        <w:ind w:left="2680"/>
        <w:spacing w:after="0"/>
        <w:rPr>
          <w:sz w:val="20"/>
          <w:szCs w:val="20"/>
          <w:color w:val="auto"/>
        </w:rPr>
      </w:pPr>
      <w:r>
        <w:rPr>
          <w:rFonts w:ascii="Arial" w:cs="Arial" w:eastAsia="Arial" w:hAnsi="Arial"/>
          <w:sz w:val="20"/>
          <w:szCs w:val="20"/>
          <w:color w:val="auto"/>
        </w:rPr>
        <w:t>MORGAN STANLEY BANK, N.A., individually as a Lender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68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-5715</wp:posOffset>
            </wp:positionV>
            <wp:extent cx="1346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ind w:left="2680"/>
        <w:spacing w:after="0" w:line="210" w:lineRule="auto"/>
        <w:rPr>
          <w:sz w:val="20"/>
          <w:szCs w:val="20"/>
          <w:color w:val="auto"/>
        </w:rPr>
      </w:pPr>
      <w:r>
        <w:rPr>
          <w:rFonts w:ascii="Arial" w:cs="Arial" w:eastAsia="Arial" w:hAnsi="Arial"/>
          <w:sz w:val="21"/>
          <w:szCs w:val="21"/>
          <w:color w:val="auto"/>
        </w:rPr>
        <w:t>Name:</w:t>
      </w:r>
    </w:p>
    <w:p>
      <w:pPr>
        <w:spacing w:after="0" w:line="1" w:lineRule="exact"/>
        <w:rPr>
          <w:sz w:val="20"/>
          <w:szCs w:val="20"/>
          <w:color w:val="auto"/>
        </w:rPr>
      </w:pPr>
    </w:p>
    <w:p>
      <w:pPr>
        <w:ind w:left="2680"/>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 Page to Revolving Credit and Guaranty Agreement</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Incyte Corporation</w:t>
      </w:r>
    </w:p>
    <w:p>
      <w:pPr>
        <w:sectPr>
          <w:pgSz w:w="11900" w:h="16838" w:orient="portrait"/>
          <w:cols w:equalWidth="0" w:num="1">
            <w:col w:w="9019"/>
          </w:cols>
          <w:pgMar w:left="1440" w:top="1377" w:right="1440" w:bottom="1440" w:gutter="0" w:footer="0" w:header="0"/>
        </w:sectPr>
      </w:pPr>
    </w:p>
    <w:bookmarkStart w:id="293" w:name="page294"/>
    <w:bookmarkEnd w:id="293"/>
    <w:p>
      <w:pPr>
        <w:ind w:left="2680"/>
        <w:spacing w:after="0"/>
        <w:rPr>
          <w:sz w:val="20"/>
          <w:szCs w:val="20"/>
          <w:color w:val="auto"/>
        </w:rPr>
      </w:pPr>
      <w:r>
        <w:rPr>
          <w:rFonts w:ascii="Arial" w:cs="Arial" w:eastAsia="Arial" w:hAnsi="Arial"/>
          <w:sz w:val="20"/>
          <w:szCs w:val="20"/>
          <w:color w:val="auto"/>
        </w:rPr>
        <w:t>SUMITOMO MITSUI BANKING CORPORATION, individually as a Lender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68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-5715</wp:posOffset>
            </wp:positionV>
            <wp:extent cx="1346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ind w:left="2680"/>
        <w:spacing w:after="0" w:line="210" w:lineRule="auto"/>
        <w:rPr>
          <w:sz w:val="20"/>
          <w:szCs w:val="20"/>
          <w:color w:val="auto"/>
        </w:rPr>
      </w:pPr>
      <w:r>
        <w:rPr>
          <w:rFonts w:ascii="Arial" w:cs="Arial" w:eastAsia="Arial" w:hAnsi="Arial"/>
          <w:sz w:val="21"/>
          <w:szCs w:val="21"/>
          <w:color w:val="auto"/>
        </w:rPr>
        <w:t>Name:</w:t>
      </w:r>
    </w:p>
    <w:p>
      <w:pPr>
        <w:spacing w:after="0" w:line="1" w:lineRule="exact"/>
        <w:rPr>
          <w:sz w:val="20"/>
          <w:szCs w:val="20"/>
          <w:color w:val="auto"/>
        </w:rPr>
      </w:pPr>
    </w:p>
    <w:p>
      <w:pPr>
        <w:ind w:left="2680"/>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Signature Page to Revolving Credit and Guaranty Agreement</w:t>
      </w:r>
    </w:p>
    <w:p>
      <w:pPr>
        <w:spacing w:after="0" w:line="6" w:lineRule="exact"/>
        <w:rPr>
          <w:sz w:val="20"/>
          <w:szCs w:val="20"/>
          <w:color w:val="auto"/>
        </w:rPr>
      </w:pPr>
    </w:p>
    <w:p>
      <w:pPr>
        <w:jc w:val="center"/>
        <w:ind w:right="360"/>
        <w:spacing w:after="0"/>
        <w:rPr>
          <w:sz w:val="20"/>
          <w:szCs w:val="20"/>
          <w:color w:val="auto"/>
        </w:rPr>
      </w:pPr>
      <w:r>
        <w:rPr>
          <w:rFonts w:ascii="Arial" w:cs="Arial" w:eastAsia="Arial" w:hAnsi="Arial"/>
          <w:sz w:val="19"/>
          <w:szCs w:val="19"/>
          <w:color w:val="auto"/>
        </w:rPr>
        <w:t>Incyte Corporation</w:t>
      </w:r>
    </w:p>
    <w:p>
      <w:pPr>
        <w:sectPr>
          <w:pgSz w:w="11900" w:h="16838" w:orient="portrait"/>
          <w:cols w:equalWidth="0" w:num="1">
            <w:col w:w="9360"/>
          </w:cols>
          <w:pgMar w:left="1440" w:top="1377" w:right="1099" w:bottom="1440" w:gutter="0" w:footer="0" w:header="0"/>
        </w:sectPr>
      </w:pPr>
    </w:p>
    <w:bookmarkStart w:id="294" w:name="page295"/>
    <w:bookmarkEnd w:id="294"/>
    <w:p>
      <w:pPr>
        <w:ind w:left="2680"/>
        <w:spacing w:after="0"/>
        <w:rPr>
          <w:sz w:val="20"/>
          <w:szCs w:val="20"/>
          <w:color w:val="auto"/>
        </w:rPr>
      </w:pPr>
      <w:r>
        <w:rPr>
          <w:rFonts w:ascii="Arial" w:cs="Arial" w:eastAsia="Arial" w:hAnsi="Arial"/>
          <w:sz w:val="20"/>
          <w:szCs w:val="20"/>
          <w:color w:val="auto"/>
        </w:rPr>
        <w:t>U.S. BANK NATIONAL ASSOCIATION, individually as a Lender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68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-5715</wp:posOffset>
            </wp:positionV>
            <wp:extent cx="1346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ind w:left="2680"/>
        <w:spacing w:after="0" w:line="210" w:lineRule="auto"/>
        <w:rPr>
          <w:sz w:val="20"/>
          <w:szCs w:val="20"/>
          <w:color w:val="auto"/>
        </w:rPr>
      </w:pPr>
      <w:r>
        <w:rPr>
          <w:rFonts w:ascii="Arial" w:cs="Arial" w:eastAsia="Arial" w:hAnsi="Arial"/>
          <w:sz w:val="21"/>
          <w:szCs w:val="21"/>
          <w:color w:val="auto"/>
        </w:rPr>
        <w:t>Name:</w:t>
      </w:r>
    </w:p>
    <w:p>
      <w:pPr>
        <w:spacing w:after="0" w:line="1" w:lineRule="exact"/>
        <w:rPr>
          <w:sz w:val="20"/>
          <w:szCs w:val="20"/>
          <w:color w:val="auto"/>
        </w:rPr>
      </w:pPr>
    </w:p>
    <w:p>
      <w:pPr>
        <w:ind w:left="2680"/>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 Page to Revolving Credit and Guaranty Agreement</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Incyte Corporation</w:t>
      </w:r>
    </w:p>
    <w:p>
      <w:pPr>
        <w:sectPr>
          <w:pgSz w:w="11900" w:h="16838" w:orient="portrait"/>
          <w:cols w:equalWidth="0" w:num="1">
            <w:col w:w="9019"/>
          </w:cols>
          <w:pgMar w:left="1440" w:top="1377" w:right="1440" w:bottom="1440" w:gutter="0" w:footer="0" w:header="0"/>
        </w:sectPr>
      </w:pPr>
    </w:p>
    <w:bookmarkStart w:id="295" w:name="page296"/>
    <w:bookmarkEnd w:id="295"/>
    <w:p>
      <w:pPr>
        <w:jc w:val="right"/>
        <w:spacing w:after="0"/>
        <w:rPr>
          <w:sz w:val="20"/>
          <w:szCs w:val="20"/>
          <w:color w:val="auto"/>
        </w:rPr>
      </w:pPr>
      <w:r>
        <w:rPr>
          <w:rFonts w:ascii="Arial" w:cs="Arial" w:eastAsia="Arial" w:hAnsi="Arial"/>
          <w:sz w:val="18"/>
          <w:szCs w:val="18"/>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Hervé Hoppenot, certify that:</w:t>
      </w:r>
    </w:p>
    <w:p>
      <w:pPr>
        <w:spacing w:after="0" w:line="217" w:lineRule="exact"/>
        <w:rPr>
          <w:sz w:val="20"/>
          <w:szCs w:val="20"/>
          <w:color w:val="auto"/>
        </w:rPr>
      </w:pPr>
    </w:p>
    <w:p>
      <w:pPr>
        <w:ind w:left="640" w:hanging="634"/>
        <w:spacing w:after="0"/>
        <w:tabs>
          <w:tab w:leader="none" w:pos="64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Incyte Corporation;</w:t>
      </w:r>
    </w:p>
    <w:p>
      <w:pPr>
        <w:spacing w:after="0" w:line="217" w:lineRule="exact"/>
        <w:rPr>
          <w:rFonts w:ascii="Arial" w:cs="Arial" w:eastAsia="Arial" w:hAnsi="Arial"/>
          <w:sz w:val="18"/>
          <w:szCs w:val="18"/>
          <w:color w:val="auto"/>
        </w:rPr>
      </w:pPr>
    </w:p>
    <w:p>
      <w:pPr>
        <w:jc w:val="both"/>
        <w:ind w:left="640" w:right="320" w:hanging="634"/>
        <w:spacing w:after="0" w:line="255" w:lineRule="auto"/>
        <w:tabs>
          <w:tab w:leader="none" w:pos="64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8"/>
          <w:szCs w:val="18"/>
          <w:color w:val="auto"/>
        </w:rPr>
      </w:pPr>
    </w:p>
    <w:p>
      <w:pPr>
        <w:ind w:left="640" w:right="280" w:hanging="634"/>
        <w:spacing w:after="0" w:line="294" w:lineRule="auto"/>
        <w:tabs>
          <w:tab w:leader="none" w:pos="640" w:val="left"/>
        </w:tabs>
        <w:numPr>
          <w:ilvl w:val="0"/>
          <w:numId w:val="27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Arial" w:cs="Arial" w:eastAsia="Arial" w:hAnsi="Arial"/>
          <w:sz w:val="17"/>
          <w:szCs w:val="17"/>
          <w:color w:val="auto"/>
        </w:rPr>
      </w:pPr>
    </w:p>
    <w:p>
      <w:pPr>
        <w:jc w:val="both"/>
        <w:ind w:left="640" w:right="320" w:hanging="634"/>
        <w:spacing w:after="0" w:line="255" w:lineRule="auto"/>
        <w:tabs>
          <w:tab w:leader="none" w:pos="64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Arial" w:cs="Arial" w:eastAsia="Arial" w:hAnsi="Arial"/>
          <w:sz w:val="18"/>
          <w:szCs w:val="18"/>
          <w:color w:val="auto"/>
        </w:rPr>
      </w:pPr>
    </w:p>
    <w:p>
      <w:pPr>
        <w:ind w:left="1280" w:right="120" w:hanging="638"/>
        <w:spacing w:after="0" w:line="255" w:lineRule="auto"/>
        <w:tabs>
          <w:tab w:leader="none" w:pos="128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ind w:left="1280" w:right="260" w:hanging="638"/>
        <w:spacing w:after="0" w:line="255" w:lineRule="auto"/>
        <w:tabs>
          <w:tab w:leader="none" w:pos="128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jc w:val="both"/>
        <w:ind w:left="1280" w:right="420" w:hanging="638"/>
        <w:spacing w:after="0" w:line="365" w:lineRule="auto"/>
        <w:tabs>
          <w:tab w:leader="none" w:pos="1280" w:val="left"/>
        </w:tabs>
        <w:numPr>
          <w:ilvl w:val="1"/>
          <w:numId w:val="27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Arial" w:cs="Arial" w:eastAsia="Arial" w:hAnsi="Arial"/>
          <w:sz w:val="15"/>
          <w:szCs w:val="15"/>
          <w:color w:val="auto"/>
        </w:rPr>
      </w:pPr>
    </w:p>
    <w:p>
      <w:pPr>
        <w:ind w:left="1280" w:right="120" w:hanging="638"/>
        <w:spacing w:after="0" w:line="255" w:lineRule="auto"/>
        <w:tabs>
          <w:tab w:leader="none" w:pos="128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8"/>
          <w:szCs w:val="18"/>
          <w:color w:val="auto"/>
        </w:rPr>
      </w:pPr>
    </w:p>
    <w:p>
      <w:pPr>
        <w:ind w:left="640" w:right="20" w:hanging="634"/>
        <w:spacing w:after="0" w:line="365" w:lineRule="auto"/>
        <w:tabs>
          <w:tab w:leader="none" w:pos="640" w:val="left"/>
        </w:tabs>
        <w:numPr>
          <w:ilvl w:val="0"/>
          <w:numId w:val="275"/>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Arial" w:cs="Arial" w:eastAsia="Arial" w:hAnsi="Arial"/>
          <w:sz w:val="15"/>
          <w:szCs w:val="15"/>
          <w:color w:val="auto"/>
        </w:rPr>
      </w:pPr>
    </w:p>
    <w:p>
      <w:pPr>
        <w:ind w:left="1280" w:right="660" w:hanging="638"/>
        <w:spacing w:after="0" w:line="365" w:lineRule="auto"/>
        <w:tabs>
          <w:tab w:leader="none" w:pos="1280" w:val="left"/>
        </w:tabs>
        <w:numPr>
          <w:ilvl w:val="1"/>
          <w:numId w:val="275"/>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Arial" w:cs="Arial" w:eastAsia="Arial" w:hAnsi="Arial"/>
          <w:sz w:val="15"/>
          <w:szCs w:val="15"/>
          <w:color w:val="auto"/>
        </w:rPr>
      </w:pPr>
    </w:p>
    <w:p>
      <w:pPr>
        <w:ind w:left="1280" w:right="360" w:hanging="638"/>
        <w:spacing w:after="0" w:line="264" w:lineRule="auto"/>
        <w:tabs>
          <w:tab w:leader="none" w:pos="128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HERVÉ HOPPENOT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356743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spacing w:after="0" w:line="27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Hervé Hoppenot</w:t>
      </w:r>
    </w:p>
    <w:p>
      <w:pPr>
        <w:spacing w:after="0" w:line="1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pacing w:after="0" w:line="24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August 1, 2023</w:t>
      </w:r>
    </w:p>
    <w:p>
      <w:pPr>
        <w:sectPr>
          <w:pgSz w:w="11900" w:h="16838" w:orient="portrait"/>
          <w:cols w:equalWidth="0" w:num="1">
            <w:col w:w="11240"/>
          </w:cols>
          <w:pgMar w:left="320" w:top="1128" w:right="339" w:bottom="1440" w:gutter="0" w:footer="0" w:header="0"/>
        </w:sectPr>
      </w:pPr>
    </w:p>
    <w:bookmarkStart w:id="296" w:name="page297"/>
    <w:bookmarkEnd w:id="296"/>
    <w:p>
      <w:pPr>
        <w:jc w:val="right"/>
        <w:spacing w:after="0"/>
        <w:rPr>
          <w:sz w:val="20"/>
          <w:szCs w:val="20"/>
          <w:color w:val="auto"/>
        </w:rPr>
      </w:pPr>
      <w:r>
        <w:rPr>
          <w:rFonts w:ascii="Arial" w:cs="Arial" w:eastAsia="Arial" w:hAnsi="Arial"/>
          <w:sz w:val="18"/>
          <w:szCs w:val="18"/>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Christiana Stamoulis, certify that:</w:t>
      </w:r>
    </w:p>
    <w:p>
      <w:pPr>
        <w:spacing w:after="0" w:line="217" w:lineRule="exact"/>
        <w:rPr>
          <w:sz w:val="20"/>
          <w:szCs w:val="20"/>
          <w:color w:val="auto"/>
        </w:rPr>
      </w:pPr>
    </w:p>
    <w:p>
      <w:pPr>
        <w:ind w:left="640" w:hanging="634"/>
        <w:spacing w:after="0"/>
        <w:tabs>
          <w:tab w:leader="none" w:pos="64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Incyte Corporation;</w:t>
      </w:r>
    </w:p>
    <w:p>
      <w:pPr>
        <w:spacing w:after="0" w:line="217" w:lineRule="exact"/>
        <w:rPr>
          <w:rFonts w:ascii="Arial" w:cs="Arial" w:eastAsia="Arial" w:hAnsi="Arial"/>
          <w:sz w:val="18"/>
          <w:szCs w:val="18"/>
          <w:color w:val="auto"/>
        </w:rPr>
      </w:pPr>
    </w:p>
    <w:p>
      <w:pPr>
        <w:jc w:val="both"/>
        <w:ind w:left="640" w:right="320" w:hanging="634"/>
        <w:spacing w:after="0" w:line="255" w:lineRule="auto"/>
        <w:tabs>
          <w:tab w:leader="none" w:pos="64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8"/>
          <w:szCs w:val="18"/>
          <w:color w:val="auto"/>
        </w:rPr>
      </w:pPr>
    </w:p>
    <w:p>
      <w:pPr>
        <w:ind w:left="640" w:right="280" w:hanging="634"/>
        <w:spacing w:after="0" w:line="294" w:lineRule="auto"/>
        <w:tabs>
          <w:tab w:leader="none" w:pos="64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Arial" w:cs="Arial" w:eastAsia="Arial" w:hAnsi="Arial"/>
          <w:sz w:val="17"/>
          <w:szCs w:val="17"/>
          <w:color w:val="auto"/>
        </w:rPr>
      </w:pPr>
    </w:p>
    <w:p>
      <w:pPr>
        <w:jc w:val="both"/>
        <w:ind w:left="640" w:right="320" w:hanging="634"/>
        <w:spacing w:after="0" w:line="255" w:lineRule="auto"/>
        <w:tabs>
          <w:tab w:leader="none" w:pos="64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Arial" w:cs="Arial" w:eastAsia="Arial" w:hAnsi="Arial"/>
          <w:sz w:val="18"/>
          <w:szCs w:val="18"/>
          <w:color w:val="auto"/>
        </w:rPr>
      </w:pPr>
    </w:p>
    <w:p>
      <w:pPr>
        <w:ind w:left="1280" w:right="120" w:hanging="638"/>
        <w:spacing w:after="0" w:line="255" w:lineRule="auto"/>
        <w:tabs>
          <w:tab w:leader="none" w:pos="128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ind w:left="1280" w:right="260" w:hanging="638"/>
        <w:spacing w:after="0" w:line="255" w:lineRule="auto"/>
        <w:tabs>
          <w:tab w:leader="none" w:pos="128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jc w:val="both"/>
        <w:ind w:left="1280" w:right="420" w:hanging="638"/>
        <w:spacing w:after="0" w:line="365" w:lineRule="auto"/>
        <w:tabs>
          <w:tab w:leader="none" w:pos="1280" w:val="left"/>
        </w:tabs>
        <w:numPr>
          <w:ilvl w:val="1"/>
          <w:numId w:val="27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Arial" w:cs="Arial" w:eastAsia="Arial" w:hAnsi="Arial"/>
          <w:sz w:val="15"/>
          <w:szCs w:val="15"/>
          <w:color w:val="auto"/>
        </w:rPr>
      </w:pPr>
    </w:p>
    <w:p>
      <w:pPr>
        <w:ind w:left="1280" w:right="120" w:hanging="638"/>
        <w:spacing w:after="0" w:line="255" w:lineRule="auto"/>
        <w:tabs>
          <w:tab w:leader="none" w:pos="128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8"/>
          <w:szCs w:val="18"/>
          <w:color w:val="auto"/>
        </w:rPr>
      </w:pPr>
    </w:p>
    <w:p>
      <w:pPr>
        <w:ind w:left="640" w:right="20" w:hanging="634"/>
        <w:spacing w:after="0" w:line="365" w:lineRule="auto"/>
        <w:tabs>
          <w:tab w:leader="none" w:pos="640" w:val="left"/>
        </w:tabs>
        <w:numPr>
          <w:ilvl w:val="0"/>
          <w:numId w:val="276"/>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Arial" w:cs="Arial" w:eastAsia="Arial" w:hAnsi="Arial"/>
          <w:sz w:val="15"/>
          <w:szCs w:val="15"/>
          <w:color w:val="auto"/>
        </w:rPr>
      </w:pPr>
    </w:p>
    <w:p>
      <w:pPr>
        <w:ind w:left="1280" w:right="660" w:hanging="638"/>
        <w:spacing w:after="0" w:line="365" w:lineRule="auto"/>
        <w:tabs>
          <w:tab w:leader="none" w:pos="1280" w:val="left"/>
        </w:tabs>
        <w:numPr>
          <w:ilvl w:val="1"/>
          <w:numId w:val="276"/>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Arial" w:cs="Arial" w:eastAsia="Arial" w:hAnsi="Arial"/>
          <w:sz w:val="15"/>
          <w:szCs w:val="15"/>
          <w:color w:val="auto"/>
        </w:rPr>
      </w:pPr>
    </w:p>
    <w:p>
      <w:pPr>
        <w:ind w:left="1280" w:right="360" w:hanging="638"/>
        <w:spacing w:after="0" w:line="264" w:lineRule="auto"/>
        <w:tabs>
          <w:tab w:leader="none" w:pos="128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CHRISTIANA STAMOULIS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33655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00" cy="8255"/>
                    </a:xfrm>
                    <a:prstGeom prst="rect">
                      <a:avLst/>
                    </a:prstGeom>
                    <a:noFill/>
                  </pic:spPr>
                </pic:pic>
              </a:graphicData>
            </a:graphic>
          </wp:anchor>
        </w:drawing>
      </w:r>
    </w:p>
    <w:p>
      <w:pPr>
        <w:spacing w:after="0" w:line="27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Christiana Stamoulis</w:t>
      </w:r>
    </w:p>
    <w:p>
      <w:pPr>
        <w:spacing w:after="0" w:line="1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August 1, 2023</w:t>
      </w:r>
    </w:p>
    <w:p>
      <w:pPr>
        <w:sectPr>
          <w:pgSz w:w="11900" w:h="16838" w:orient="portrait"/>
          <w:cols w:equalWidth="0" w:num="1">
            <w:col w:w="11240"/>
          </w:cols>
          <w:pgMar w:left="320" w:top="1128" w:right="339" w:bottom="1440" w:gutter="0" w:footer="0" w:header="0"/>
        </w:sectPr>
      </w:pPr>
    </w:p>
    <w:bookmarkStart w:id="297" w:name="page298"/>
    <w:bookmarkEnd w:id="297"/>
    <w:p>
      <w:pPr>
        <w:jc w:val="right"/>
        <w:spacing w:after="0"/>
        <w:rPr>
          <w:sz w:val="20"/>
          <w:szCs w:val="20"/>
          <w:color w:val="auto"/>
        </w:rPr>
      </w:pPr>
      <w:r>
        <w:rPr>
          <w:rFonts w:ascii="Arial" w:cs="Arial" w:eastAsia="Arial" w:hAnsi="Arial"/>
          <w:sz w:val="18"/>
          <w:szCs w:val="18"/>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06" w:lineRule="exact"/>
        <w:rPr>
          <w:sz w:val="20"/>
          <w:szCs w:val="20"/>
          <w:color w:val="auto"/>
        </w:rPr>
      </w:pPr>
    </w:p>
    <w:p>
      <w:pPr>
        <w:ind w:right="60" w:firstLine="636"/>
        <w:spacing w:after="0" w:line="277" w:lineRule="auto"/>
        <w:rPr>
          <w:sz w:val="20"/>
          <w:szCs w:val="20"/>
          <w:color w:val="auto"/>
        </w:rPr>
      </w:pPr>
      <w:r>
        <w:rPr>
          <w:rFonts w:ascii="Arial" w:cs="Arial" w:eastAsia="Arial" w:hAnsi="Arial"/>
          <w:sz w:val="17"/>
          <w:szCs w:val="17"/>
          <w:color w:val="auto"/>
        </w:rPr>
        <w:t>With reference to the Quarterly Report of Incyte Corporation (the “Company”) on Form 10-Q for the quarter ended June 30, 2023, as filed with the Securities and Exchange Commission on the date hereof (the “Report”), I, Hervé Hoppenot, Chief Executive Officer of the Company, certify, for the purposes of 18 U.S.C. § 1350, as adopted pursuant to § 906 of the Sarbanes-Oxley Act of 2002, that, to my knowledge:</w:t>
      </w:r>
    </w:p>
    <w:p>
      <w:pPr>
        <w:spacing w:after="0" w:line="171" w:lineRule="exact"/>
        <w:rPr>
          <w:sz w:val="20"/>
          <w:szCs w:val="20"/>
          <w:color w:val="auto"/>
        </w:rPr>
      </w:pPr>
    </w:p>
    <w:p>
      <w:pPr>
        <w:ind w:left="320" w:hanging="314"/>
        <w:spacing w:after="0"/>
        <w:tabs>
          <w:tab w:leader="none" w:pos="32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7" w:lineRule="exact"/>
        <w:rPr>
          <w:rFonts w:ascii="Arial" w:cs="Arial" w:eastAsia="Arial" w:hAnsi="Arial"/>
          <w:sz w:val="18"/>
          <w:szCs w:val="18"/>
          <w:color w:val="auto"/>
        </w:rPr>
      </w:pPr>
    </w:p>
    <w:p>
      <w:pPr>
        <w:ind w:left="5640" w:right="720" w:hanging="5634"/>
        <w:spacing w:after="0" w:line="572" w:lineRule="auto"/>
        <w:tabs>
          <w:tab w:leader="none" w:pos="324"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/s/ HERVÉ HOPPENOT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-163830</wp:posOffset>
            </wp:positionV>
            <wp:extent cx="356743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8"/>
          <w:szCs w:val="18"/>
          <w:color w:val="auto"/>
        </w:rPr>
        <w:t>Hervé Hoppenot</w:t>
      </w:r>
    </w:p>
    <w:p>
      <w:pPr>
        <w:spacing w:after="0" w:line="5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pacing w:after="0" w:line="5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August 1, 2023</w:t>
      </w:r>
    </w:p>
    <w:p>
      <w:pPr>
        <w:sectPr>
          <w:pgSz w:w="11900" w:h="16838" w:orient="portrait"/>
          <w:cols w:equalWidth="0" w:num="1">
            <w:col w:w="11240"/>
          </w:cols>
          <w:pgMar w:left="320" w:top="1128" w:right="339" w:bottom="1440" w:gutter="0" w:footer="0" w:header="0"/>
        </w:sectPr>
      </w:pPr>
    </w:p>
    <w:bookmarkStart w:id="298" w:name="page299"/>
    <w:bookmarkEnd w:id="298"/>
    <w:p>
      <w:pPr>
        <w:jc w:val="right"/>
        <w:spacing w:after="0"/>
        <w:rPr>
          <w:sz w:val="20"/>
          <w:szCs w:val="20"/>
          <w:color w:val="auto"/>
        </w:rPr>
      </w:pPr>
      <w:r>
        <w:rPr>
          <w:rFonts w:ascii="Arial" w:cs="Arial" w:eastAsia="Arial" w:hAnsi="Arial"/>
          <w:sz w:val="18"/>
          <w:szCs w:val="18"/>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06" w:lineRule="exact"/>
        <w:rPr>
          <w:sz w:val="20"/>
          <w:szCs w:val="20"/>
          <w:color w:val="auto"/>
        </w:rPr>
      </w:pPr>
    </w:p>
    <w:p>
      <w:pPr>
        <w:ind w:right="200" w:firstLine="636"/>
        <w:spacing w:after="0" w:line="277" w:lineRule="auto"/>
        <w:rPr>
          <w:sz w:val="20"/>
          <w:szCs w:val="20"/>
          <w:color w:val="auto"/>
        </w:rPr>
      </w:pPr>
      <w:r>
        <w:rPr>
          <w:rFonts w:ascii="Arial" w:cs="Arial" w:eastAsia="Arial" w:hAnsi="Arial"/>
          <w:sz w:val="17"/>
          <w:szCs w:val="17"/>
          <w:color w:val="auto"/>
        </w:rPr>
        <w:t>With reference to the Quarterly Report of Incyte Corporation (the “Company”) on Form 10-Q for the quarter ended June 30, 2023, as filed with the Securities and Exchange Commission on the date hereof (the “Report”), I, Christiana Stamoulis, Chief Financial Officer of the Company, certify, for the purposes of 18 U.S.C. § 1350, as adopted pursuant to § 906 of the Sarbanes-Oxley Act of 2002, that, to my knowledge:</w:t>
      </w:r>
    </w:p>
    <w:p>
      <w:pPr>
        <w:spacing w:after="0" w:line="171" w:lineRule="exact"/>
        <w:rPr>
          <w:sz w:val="20"/>
          <w:szCs w:val="20"/>
          <w:color w:val="auto"/>
        </w:rPr>
      </w:pPr>
    </w:p>
    <w:p>
      <w:pPr>
        <w:ind w:left="320" w:hanging="314"/>
        <w:spacing w:after="0"/>
        <w:tabs>
          <w:tab w:leader="none" w:pos="32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7" w:lineRule="exact"/>
        <w:rPr>
          <w:rFonts w:ascii="Arial" w:cs="Arial" w:eastAsia="Arial" w:hAnsi="Arial"/>
          <w:sz w:val="18"/>
          <w:szCs w:val="18"/>
          <w:color w:val="auto"/>
        </w:rPr>
      </w:pPr>
    </w:p>
    <w:p>
      <w:pPr>
        <w:ind w:left="5640" w:right="720" w:hanging="5634"/>
        <w:spacing w:after="0" w:line="572" w:lineRule="auto"/>
        <w:tabs>
          <w:tab w:leader="none" w:pos="325"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/s/ CHRISTIANA STAMOULIS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-163830</wp:posOffset>
            </wp:positionV>
            <wp:extent cx="356743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8"/>
          <w:szCs w:val="18"/>
          <w:color w:val="auto"/>
        </w:rPr>
        <w:t>Christiana Stamoulis</w:t>
      </w:r>
    </w:p>
    <w:p>
      <w:pPr>
        <w:spacing w:after="0" w:line="5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5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August 1, 2023</w:t>
      </w:r>
    </w:p>
    <w:sectPr>
      <w:pgSz w:w="11900" w:h="16838" w:orient="portrait"/>
      <w:cols w:equalWidth="0" w:num="1">
        <w:col w:w="11240"/>
      </w:cols>
      <w:pgMar w:left="320" w:top="112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31B62D"/>
    <w:multiLevelType w:val="hybridMultilevel"/>
    <w:lvl w:ilvl="0">
      <w:lvlJc w:val="left"/>
      <w:lvlText w:val="x"/>
      <w:numFmt w:val="bullet"/>
      <w:start w:val="1"/>
    </w:lvl>
  </w:abstractNum>
  <w:abstractNum w:abstractNumId="1">
    <w:nsid w:val="1849C29B"/>
    <w:multiLevelType w:val="hybridMultilevel"/>
    <w:lvl w:ilvl="0">
      <w:lvlJc w:val="left"/>
      <w:lvlText w:val="o"/>
      <w:numFmt w:val="bullet"/>
      <w:start w:val="1"/>
    </w:lvl>
  </w:abstractNum>
  <w:abstractNum w:abstractNumId="2">
    <w:nsid w:val="7DFF9D09"/>
    <w:multiLevelType w:val="hybridMultilevel"/>
    <w:lvl w:ilvl="0">
      <w:lvlJc w:val="left"/>
      <w:lvlText w:val="*"/>
      <w:numFmt w:val="bullet"/>
      <w:start w:val="1"/>
    </w:lvl>
  </w:abstractNum>
  <w:abstractNum w:abstractNumId="3">
    <w:nsid w:val="754342"/>
    <w:multiLevelType w:val="hybridMultilevel"/>
    <w:lvl w:ilvl="0">
      <w:lvlJc w:val="left"/>
      <w:lvlText w:val="•"/>
      <w:numFmt w:val="bullet"/>
      <w:start w:val="1"/>
    </w:lvl>
  </w:abstractNum>
  <w:abstractNum w:abstractNumId="4">
    <w:nsid w:val="69E7F3E5"/>
    <w:multiLevelType w:val="hybridMultilevel"/>
    <w:lvl w:ilvl="0">
      <w:lvlJc w:val="left"/>
      <w:lvlText w:val="•"/>
      <w:numFmt w:val="bullet"/>
      <w:start w:val="1"/>
    </w:lvl>
  </w:abstractNum>
  <w:abstractNum w:abstractNumId="5">
    <w:nsid w:val="2A6DE806"/>
    <w:multiLevelType w:val="hybridMultilevel"/>
    <w:lvl w:ilvl="0">
      <w:lvlJc w:val="left"/>
      <w:lvlText w:val="•"/>
      <w:numFmt w:val="bullet"/>
      <w:start w:val="1"/>
    </w:lvl>
  </w:abstractNum>
  <w:abstractNum w:abstractNumId="6">
    <w:nsid w:val="1816F8C4"/>
    <w:multiLevelType w:val="hybridMultilevel"/>
    <w:lvl w:ilvl="0">
      <w:lvlJc w:val="left"/>
      <w:lvlText w:val="•"/>
      <w:numFmt w:val="bullet"/>
      <w:start w:val="1"/>
    </w:lvl>
  </w:abstractNum>
  <w:abstractNum w:abstractNumId="7">
    <w:nsid w:val="37DF2233"/>
    <w:multiLevelType w:val="hybridMultilevel"/>
    <w:lvl w:ilvl="0">
      <w:lvlJc w:val="left"/>
      <w:lvlText w:val="•"/>
      <w:numFmt w:val="bullet"/>
      <w:start w:val="1"/>
    </w:lvl>
  </w:abstractNum>
  <w:abstractNum w:abstractNumId="8">
    <w:nsid w:val="7AB49DAF"/>
    <w:multiLevelType w:val="hybridMultilevel"/>
    <w:lvl w:ilvl="0">
      <w:lvlJc w:val="left"/>
      <w:lvlText w:val="•"/>
      <w:numFmt w:val="bullet"/>
      <w:start w:val="1"/>
    </w:lvl>
  </w:abstractNum>
  <w:abstractNum w:abstractNumId="9">
    <w:nsid w:val="759F82CD"/>
    <w:multiLevelType w:val="hybridMultilevel"/>
    <w:lvl w:ilvl="0">
      <w:lvlJc w:val="left"/>
      <w:lvlText w:val="%1."/>
      <w:numFmt w:val="decimal"/>
      <w:start w:val="1"/>
    </w:lvl>
  </w:abstractNum>
  <w:abstractNum w:abstractNumId="10">
    <w:nsid w:val="61E74EA3"/>
    <w:multiLevelType w:val="hybridMultilevel"/>
    <w:lvl w:ilvl="0">
      <w:lvlJc w:val="left"/>
      <w:lvlText w:val="%1."/>
      <w:numFmt w:val="decimal"/>
      <w:start w:val="2"/>
    </w:lvl>
  </w:abstractNum>
  <w:abstractNum w:abstractNumId="11">
    <w:nsid w:val="597B4D84"/>
    <w:multiLevelType w:val="hybridMultilevel"/>
    <w:lvl w:ilvl="0">
      <w:lvlJc w:val="left"/>
      <w:lvlText w:val="%1)"/>
      <w:numFmt w:val="decimal"/>
      <w:start w:val="2"/>
    </w:lvl>
  </w:abstractNum>
  <w:abstractNum w:abstractNumId="12">
    <w:nsid w:val="F819E7F"/>
    <w:multiLevelType w:val="hybridMultilevel"/>
    <w:lvl w:ilvl="0">
      <w:lvlJc w:val="left"/>
      <w:lvlText w:val="%1."/>
      <w:numFmt w:val="decimal"/>
      <w:start w:val="1"/>
    </w:lvl>
  </w:abstractNum>
  <w:abstractNum w:abstractNumId="13">
    <w:nsid w:val="57C7D42D"/>
    <w:multiLevelType w:val="hybridMultilevel"/>
    <w:lvl w:ilvl="0">
      <w:lvlJc w:val="left"/>
      <w:lvlText w:val="%1."/>
      <w:numFmt w:val="decimal"/>
      <w:start w:val="1"/>
    </w:lvl>
  </w:abstractNum>
  <w:abstractNum w:abstractNumId="14">
    <w:nsid w:val="312167AD"/>
    <w:multiLevelType w:val="hybridMultilevel"/>
    <w:lvl w:ilvl="0">
      <w:lvlJc w:val="left"/>
      <w:lvlText w:val="•"/>
      <w:numFmt w:val="bullet"/>
      <w:start w:val="1"/>
    </w:lvl>
  </w:abstractNum>
  <w:abstractNum w:abstractNumId="15">
    <w:nsid w:val="631B64D4"/>
    <w:multiLevelType w:val="hybridMultilevel"/>
    <w:lvl w:ilvl="0">
      <w:lvlJc w:val="left"/>
      <w:lvlText w:val="•"/>
      <w:numFmt w:val="bullet"/>
      <w:start w:val="1"/>
    </w:lvl>
  </w:abstractNum>
  <w:abstractNum w:abstractNumId="16">
    <w:nsid w:val="78B5E776"/>
    <w:multiLevelType w:val="hybridMultilevel"/>
    <w:lvl w:ilvl="0">
      <w:lvlJc w:val="left"/>
      <w:lvlText w:val="•"/>
      <w:numFmt w:val="bullet"/>
      <w:start w:val="1"/>
    </w:lvl>
  </w:abstractNum>
  <w:abstractNum w:abstractNumId="17">
    <w:nsid w:val="75486E47"/>
    <w:multiLevelType w:val="hybridMultilevel"/>
    <w:lvl w:ilvl="0">
      <w:lvlJc w:val="left"/>
      <w:lvlText w:val="•"/>
      <w:numFmt w:val="bullet"/>
      <w:start w:val="1"/>
    </w:lvl>
  </w:abstractNum>
  <w:abstractNum w:abstractNumId="18">
    <w:nsid w:val="6E534CDE"/>
    <w:multiLevelType w:val="hybridMultilevel"/>
    <w:lvl w:ilvl="0">
      <w:lvlJc w:val="left"/>
      <w:lvlText w:val="•"/>
      <w:numFmt w:val="bullet"/>
      <w:start w:val="1"/>
    </w:lvl>
  </w:abstractNum>
  <w:abstractNum w:abstractNumId="19">
    <w:nsid w:val="1A0DDE32"/>
    <w:multiLevelType w:val="hybridMultilevel"/>
    <w:lvl w:ilvl="0">
      <w:lvlJc w:val="left"/>
      <w:lvlText w:val="•"/>
      <w:numFmt w:val="bullet"/>
      <w:start w:val="1"/>
    </w:lvl>
  </w:abstractNum>
  <w:abstractNum w:abstractNumId="20">
    <w:nsid w:val="65968C1C"/>
    <w:multiLevelType w:val="hybridMultilevel"/>
    <w:lvl w:ilvl="0">
      <w:lvlJc w:val="left"/>
      <w:lvlText w:val="•"/>
      <w:numFmt w:val="bullet"/>
      <w:start w:val="1"/>
    </w:lvl>
  </w:abstractNum>
  <w:abstractNum w:abstractNumId="21">
    <w:nsid w:val="46263DEC"/>
    <w:multiLevelType w:val="hybridMultilevel"/>
    <w:lvl w:ilvl="0">
      <w:lvlJc w:val="left"/>
      <w:lvlText w:val="•"/>
      <w:numFmt w:val="bullet"/>
      <w:start w:val="1"/>
    </w:lvl>
  </w:abstractNum>
  <w:abstractNum w:abstractNumId="22">
    <w:nsid w:val="260D8C4A"/>
    <w:multiLevelType w:val="hybridMultilevel"/>
    <w:lvl w:ilvl="0">
      <w:lvlJc w:val="left"/>
      <w:lvlText w:val="•"/>
      <w:numFmt w:val="bullet"/>
      <w:start w:val="1"/>
    </w:lvl>
  </w:abstractNum>
  <w:abstractNum w:abstractNumId="23">
    <w:nsid w:val="73D4D3C4"/>
    <w:multiLevelType w:val="hybridMultilevel"/>
    <w:lvl w:ilvl="0">
      <w:lvlJc w:val="left"/>
      <w:lvlText w:val="•"/>
      <w:numFmt w:val="bullet"/>
      <w:start w:val="1"/>
    </w:lvl>
  </w:abstractNum>
  <w:abstractNum w:abstractNumId="24">
    <w:nsid w:val="746F2E30"/>
    <w:multiLevelType w:val="hybridMultilevel"/>
    <w:lvl w:ilvl="0">
      <w:lvlJc w:val="left"/>
      <w:lvlText w:val="•"/>
      <w:numFmt w:val="bullet"/>
      <w:start w:val="1"/>
    </w:lvl>
  </w:abstractNum>
  <w:abstractNum w:abstractNumId="25">
    <w:nsid w:val="6FDE8AF6"/>
    <w:multiLevelType w:val="hybridMultilevel"/>
    <w:lvl w:ilvl="0">
      <w:lvlJc w:val="left"/>
      <w:lvlText w:val="•"/>
      <w:numFmt w:val="bullet"/>
      <w:start w:val="1"/>
    </w:lvl>
  </w:abstractNum>
  <w:abstractNum w:abstractNumId="26">
    <w:nsid w:val="3FC32E20"/>
    <w:multiLevelType w:val="hybridMultilevel"/>
    <w:lvl w:ilvl="0">
      <w:lvlJc w:val="left"/>
      <w:lvlText w:val="•"/>
      <w:numFmt w:val="bullet"/>
      <w:start w:val="1"/>
    </w:lvl>
  </w:abstractNum>
  <w:abstractNum w:abstractNumId="27">
    <w:nsid w:val="49C0E823"/>
    <w:multiLevelType w:val="hybridMultilevel"/>
    <w:lvl w:ilvl="0">
      <w:lvlJc w:val="left"/>
      <w:lvlText w:val="•"/>
      <w:numFmt w:val="bullet"/>
      <w:start w:val="1"/>
    </w:lvl>
  </w:abstractNum>
  <w:abstractNum w:abstractNumId="28">
    <w:nsid w:val="14D53685"/>
    <w:multiLevelType w:val="hybridMultilevel"/>
    <w:lvl w:ilvl="0">
      <w:lvlJc w:val="left"/>
      <w:lvlText w:val="•"/>
      <w:numFmt w:val="bullet"/>
      <w:start w:val="1"/>
    </w:lvl>
  </w:abstractNum>
  <w:abstractNum w:abstractNumId="29">
    <w:nsid w:val="230F856C"/>
    <w:multiLevelType w:val="hybridMultilevel"/>
    <w:lvl w:ilvl="0">
      <w:lvlJc w:val="left"/>
      <w:lvlText w:val="•"/>
      <w:numFmt w:val="bullet"/>
      <w:start w:val="1"/>
    </w:lvl>
  </w:abstractNum>
  <w:abstractNum w:abstractNumId="30">
    <w:nsid w:val="6EAA85FB"/>
    <w:multiLevelType w:val="hybridMultilevel"/>
    <w:lvl w:ilvl="0">
      <w:lvlJc w:val="left"/>
      <w:lvlText w:val="(%1)"/>
      <w:numFmt w:val="lowerLetter"/>
      <w:start w:val="1"/>
    </w:lvl>
  </w:abstractNum>
  <w:abstractNum w:abstractNumId="31">
    <w:nsid w:val="3F06ECB2"/>
    <w:multiLevelType w:val="hybridMultilevel"/>
    <w:lvl w:ilvl="0">
      <w:lvlJc w:val="left"/>
      <w:lvlText w:val="•"/>
      <w:numFmt w:val="bullet"/>
      <w:start w:val="1"/>
    </w:lvl>
  </w:abstractNum>
  <w:abstractNum w:abstractNumId="32">
    <w:nsid w:val="3B594807"/>
    <w:multiLevelType w:val="hybridMultilevel"/>
    <w:lvl w:ilvl="0">
      <w:lvlJc w:val="left"/>
      <w:lvlText w:val="(%1)"/>
      <w:numFmt w:val="lowerLetter"/>
      <w:start w:val="3"/>
    </w:lvl>
  </w:abstractNum>
  <w:abstractNum w:abstractNumId="33">
    <w:nsid w:val="6CAA2304"/>
    <w:multiLevelType w:val="hybridMultilevel"/>
    <w:lvl w:ilvl="0">
      <w:lvlJc w:val="left"/>
      <w:lvlText w:val="*"/>
      <w:numFmt w:val="bullet"/>
      <w:start w:val="1"/>
    </w:lvl>
    <w:lvl w:ilvl="1">
      <w:lvlJc w:val="left"/>
      <w:lvlText w:val="%2"/>
      <w:numFmt w:val="decimal"/>
      <w:start w:val="104"/>
    </w:lvl>
  </w:abstractNum>
  <w:abstractNum w:abstractNumId="34">
    <w:nsid w:val="3F7C2FF4"/>
    <w:multiLevelType w:val="hybridMultilevel"/>
    <w:lvl w:ilvl="0">
      <w:lvlJc w:val="left"/>
      <w:lvlText w:val="**"/>
      <w:numFmt w:val="bullet"/>
      <w:start w:val="1"/>
    </w:lvl>
    <w:lvl w:ilvl="1">
      <w:lvlJc w:val="left"/>
      <w:lvlText w:val="%2"/>
      <w:numFmt w:val="decimal"/>
      <w:start w:val="1"/>
    </w:lvl>
  </w:abstractNum>
  <w:abstractNum w:abstractNumId="35">
    <w:nsid w:val="25413BEC"/>
    <w:multiLevelType w:val="hybridMultilevel"/>
    <w:lvl w:ilvl="0">
      <w:lvlJc w:val="left"/>
      <w:lvlText w:val="(%1)"/>
      <w:numFmt w:val="lowerLetter"/>
      <w:start w:val="1"/>
    </w:lvl>
  </w:abstractNum>
  <w:abstractNum w:abstractNumId="36">
    <w:nsid w:val="17180B0B"/>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37">
    <w:nsid w:val="579328B9"/>
    <w:multiLevelType w:val="hybridMultilevel"/>
    <w:lvl w:ilvl="0">
      <w:lvlJc w:val="left"/>
      <w:lvlText w:val="%1"/>
      <w:numFmt w:val="lowerRoman"/>
      <w:start w:val="1"/>
    </w:lvl>
    <w:lvl w:ilvl="1">
      <w:lvlJc w:val="left"/>
      <w:lvlText w:val="(%2)"/>
      <w:numFmt w:val="upperLetter"/>
      <w:start w:val="8"/>
    </w:lvl>
  </w:abstractNum>
  <w:abstractNum w:abstractNumId="38">
    <w:nsid w:val="5D205E20"/>
    <w:multiLevelType w:val="hybridMultilevel"/>
    <w:lvl w:ilvl="0">
      <w:lvlJc w:val="left"/>
      <w:lvlText w:val="(%1)"/>
      <w:numFmt w:val="lowerRoman"/>
      <w:start w:val="2"/>
    </w:lvl>
    <w:lvl w:ilvl="1">
      <w:lvlJc w:val="left"/>
      <w:lvlText w:val="(%2)"/>
      <w:numFmt w:val="upperLetter"/>
      <w:start w:val="1"/>
    </w:lvl>
  </w:abstractNum>
  <w:abstractNum w:abstractNumId="39">
    <w:nsid w:val="11CCA8BA"/>
    <w:multiLevelType w:val="hybridMultilevel"/>
    <w:lvl w:ilvl="0">
      <w:lvlJc w:val="left"/>
      <w:lvlText w:val="(%1)"/>
      <w:numFmt w:val="upperLetter"/>
      <w:start w:val="7"/>
    </w:lvl>
    <w:lvl w:ilvl="1">
      <w:lvlJc w:val="left"/>
      <w:lvlText w:val="(%2)"/>
      <w:numFmt w:val="decimal"/>
      <w:start w:val="1"/>
    </w:lvl>
  </w:abstractNum>
  <w:abstractNum w:abstractNumId="40">
    <w:nsid w:val="4D32AB86"/>
    <w:multiLevelType w:val="hybridMultilevel"/>
    <w:lvl w:ilvl="0">
      <w:lvlJc w:val="left"/>
      <w:lvlText w:val="%1"/>
      <w:numFmt w:val="upperLetter"/>
      <w:start w:val="1"/>
    </w:lvl>
    <w:lvl w:ilvl="1">
      <w:lvlJc w:val="left"/>
      <w:lvlText w:val="(%2)"/>
      <w:numFmt w:val="decimal"/>
      <w:start w:val="6"/>
    </w:lvl>
  </w:abstractNum>
  <w:abstractNum w:abstractNumId="41">
    <w:nsid w:val="3F07ACC3"/>
    <w:multiLevelType w:val="hybridMultilevel"/>
    <w:lvl w:ilvl="0">
      <w:lvlJc w:val="left"/>
      <w:lvlText w:val="(%1)"/>
      <w:numFmt w:val="upperLetter"/>
      <w:start w:val="9"/>
    </w:lvl>
    <w:lvl w:ilvl="1">
      <w:lvlJc w:val="left"/>
      <w:lvlText w:val="%2"/>
      <w:numFmt w:val="decimal"/>
      <w:start w:val="1"/>
    </w:lvl>
  </w:abstractNum>
  <w:abstractNum w:abstractNumId="42">
    <w:nsid w:val="6B47F63E"/>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43">
    <w:nsid w:val="5CB44A05"/>
    <w:multiLevelType w:val="hybridMultilevel"/>
    <w:lvl w:ilvl="0">
      <w:lvlJc w:val="left"/>
      <w:lvlText w:val="(%1)"/>
      <w:numFmt w:val="lowerLetter"/>
      <w:start w:val="5"/>
    </w:lvl>
    <w:lvl w:ilvl="1">
      <w:lvlJc w:val="left"/>
      <w:lvlText w:val="%2"/>
      <w:numFmt w:val="lowerLetter"/>
      <w:start w:val="1"/>
    </w:lvl>
    <w:lvl w:ilvl="2">
      <w:lvlJc w:val="left"/>
      <w:lvlText w:val="%3"/>
      <w:numFmt w:val="upperLetter"/>
      <w:start w:val="1"/>
    </w:lvl>
  </w:abstractNum>
  <w:abstractNum w:abstractNumId="44">
    <w:nsid w:val="16CF80F1"/>
    <w:multiLevelType w:val="hybridMultilevel"/>
    <w:lvl w:ilvl="0">
      <w:lvlJc w:val="left"/>
      <w:lvlText w:val="(%1)"/>
      <w:numFmt w:val="lowerLetter"/>
      <w:start w:val="6"/>
    </w:lvl>
  </w:abstractNum>
  <w:abstractNum w:abstractNumId="45">
    <w:nsid w:val="1C695DEC"/>
    <w:multiLevelType w:val="hybridMultilevel"/>
    <w:lvl w:ilvl="0">
      <w:lvlJc w:val="left"/>
      <w:lvlText w:val="(%1)"/>
      <w:numFmt w:val="lowerLetter"/>
      <w:start w:val="10"/>
    </w:lvl>
    <w:lvl w:ilvl="1">
      <w:lvlJc w:val="left"/>
      <w:lvlText w:val="(%2)"/>
      <w:numFmt w:val="lowerRoman"/>
      <w:start w:val="1"/>
    </w:lvl>
  </w:abstractNum>
  <w:abstractNum w:abstractNumId="46">
    <w:nsid w:val="3FCFAED9"/>
    <w:multiLevelType w:val="hybridMultilevel"/>
    <w:lvl w:ilvl="0">
      <w:lvlJc w:val="left"/>
      <w:lvlText w:val="(%1)"/>
      <w:numFmt w:val="decimal"/>
      <w:start w:val="4"/>
    </w:lvl>
  </w:abstractNum>
  <w:abstractNum w:abstractNumId="47">
    <w:nsid w:val="F856867"/>
    <w:multiLevelType w:val="hybridMultilevel"/>
    <w:lvl w:ilvl="0">
      <w:lvlJc w:val="left"/>
      <w:lvlText w:val="(%1)"/>
      <w:numFmt w:val="lowerLetter"/>
      <w:start w:val="1"/>
    </w:lvl>
    <w:lvl w:ilvl="1">
      <w:lvlJc w:val="left"/>
      <w:lvlText w:val="(%2)"/>
      <w:numFmt w:val="decimal"/>
      <w:start w:val="1"/>
    </w:lvl>
  </w:abstractNum>
  <w:abstractNum w:abstractNumId="48">
    <w:nsid w:val="11B1CC33"/>
    <w:multiLevelType w:val="hybridMultilevel"/>
    <w:lvl w:ilvl="0">
      <w:lvlJc w:val="left"/>
      <w:lvlText w:val="(%1)"/>
      <w:numFmt w:val="lowerLetter"/>
      <w:start w:val="2"/>
    </w:lvl>
    <w:lvl w:ilvl="1">
      <w:lvlJc w:val="left"/>
      <w:lvlText w:val="(%2)"/>
      <w:numFmt w:val="decimal"/>
      <w:start w:val="1"/>
    </w:lvl>
  </w:abstractNum>
  <w:abstractNum w:abstractNumId="49">
    <w:nsid w:val="2E22FBB7"/>
    <w:multiLevelType w:val="hybridMultilevel"/>
    <w:lvl w:ilvl="0">
      <w:lvlJc w:val="left"/>
      <w:lvlText w:val="(%1)"/>
      <w:numFmt w:val="upperLetter"/>
      <w:start w:val="5"/>
    </w:lvl>
    <w:lvl w:ilvl="1">
      <w:lvlJc w:val="left"/>
      <w:lvlText w:val="(%2)"/>
      <w:numFmt w:val="decimal"/>
      <w:start w:val="2"/>
    </w:lvl>
  </w:abstractNum>
  <w:abstractNum w:abstractNumId="50">
    <w:nsid w:val="29934699"/>
    <w:multiLevelType w:val="hybridMultilevel"/>
    <w:lvl w:ilvl="0">
      <w:lvlJc w:val="left"/>
      <w:lvlText w:val="(%1)"/>
      <w:numFmt w:val="lowerLetter"/>
      <w:start w:val="3"/>
    </w:lvl>
    <w:lvl w:ilvl="1">
      <w:lvlJc w:val="left"/>
      <w:lvlText w:val="(%2)"/>
      <w:numFmt w:val="decimal"/>
      <w:start w:val="1"/>
    </w:lvl>
  </w:abstractNum>
  <w:abstractNum w:abstractNumId="51">
    <w:nsid w:val="77485850"/>
    <w:multiLevelType w:val="hybridMultilevel"/>
    <w:lvl w:ilvl="0">
      <w:lvlJc w:val="left"/>
      <w:lvlText w:val="(%1)"/>
      <w:numFmt w:val="decimal"/>
      <w:start w:val="2"/>
    </w:lvl>
    <w:lvl w:ilvl="1">
      <w:lvlJc w:val="left"/>
      <w:lvlText w:val="(%2)"/>
      <w:numFmt w:val="upperLetter"/>
      <w:start w:val="1"/>
    </w:lvl>
  </w:abstractNum>
  <w:abstractNum w:abstractNumId="52">
    <w:nsid w:val="744939A3"/>
    <w:multiLevelType w:val="hybridMultilevel"/>
    <w:lvl w:ilvl="0">
      <w:lvlJc w:val="left"/>
      <w:lvlText w:val="%1"/>
      <w:numFmt w:val="lowerLetter"/>
      <w:start w:val="1"/>
    </w:lvl>
    <w:lvl w:ilvl="1">
      <w:lvlJc w:val="left"/>
      <w:lvlText w:val="(%2)"/>
      <w:numFmt w:val="decimal"/>
      <w:start w:val="5"/>
    </w:lvl>
    <w:lvl w:ilvl="2">
      <w:lvlJc w:val="left"/>
      <w:lvlText w:val="%3"/>
      <w:numFmt w:val="upperLetter"/>
      <w:start w:val="1"/>
    </w:lvl>
  </w:abstractNum>
  <w:abstractNum w:abstractNumId="53">
    <w:nsid w:val="4FA0D2E3"/>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abstractNum>
  <w:abstractNum w:abstractNumId="54">
    <w:nsid w:val="6B1D2C14"/>
    <w:multiLevelType w:val="hybridMultilevel"/>
    <w:lvl w:ilvl="0">
      <w:lvlJc w:val="left"/>
      <w:lvlText w:val="%1"/>
      <w:numFmt w:val="decimal"/>
      <w:start w:val="1"/>
    </w:lvl>
    <w:lvl w:ilvl="1">
      <w:lvlJc w:val="left"/>
      <w:lvlText w:val="(%2)"/>
      <w:numFmt w:val="upperLetter"/>
      <w:start w:val="2"/>
    </w:lvl>
    <w:lvl w:ilvl="2">
      <w:lvlJc w:val="left"/>
      <w:lvlText w:val="(%3)"/>
      <w:numFmt w:val="lowerRoman"/>
      <w:start w:val="1"/>
    </w:lvl>
  </w:abstractNum>
  <w:abstractNum w:abstractNumId="55">
    <w:nsid w:val="68B867D3"/>
    <w:multiLevelType w:val="hybridMultilevel"/>
    <w:lvl w:ilvl="0">
      <w:lvlJc w:val="left"/>
      <w:lvlText w:val="(%1)"/>
      <w:numFmt w:val="decimal"/>
      <w:start w:val="1"/>
    </w:lvl>
    <w:lvl w:ilvl="1">
      <w:lvlJc w:val="left"/>
      <w:lvlText w:val="(%2)"/>
      <w:numFmt w:val="upperLetter"/>
      <w:start w:val="7"/>
    </w:lvl>
    <w:lvl w:ilvl="2">
      <w:lvlJc w:val="left"/>
      <w:lvlText w:val="%3"/>
      <w:numFmt w:val="lowerRoman"/>
      <w:start w:val="1"/>
    </w:lvl>
  </w:abstractNum>
  <w:abstractNum w:abstractNumId="56">
    <w:nsid w:val="3F7F5DD9"/>
    <w:multiLevelType w:val="hybridMultilevel"/>
    <w:lvl w:ilvl="0">
      <w:lvlJc w:val="left"/>
      <w:lvlText w:val="%1"/>
      <w:numFmt w:val="decimal"/>
      <w:start w:val="1"/>
    </w:lvl>
    <w:lvl w:ilvl="1">
      <w:lvlJc w:val="left"/>
      <w:lvlText w:val="(%2)"/>
      <w:numFmt w:val="upperLetter"/>
      <w:start w:val="8"/>
    </w:lvl>
  </w:abstractNum>
  <w:abstractNum w:abstractNumId="57">
    <w:nsid w:val="2AE05A34"/>
    <w:multiLevelType w:val="hybridMultilevel"/>
    <w:lvl w:ilvl="0">
      <w:lvlJc w:val="left"/>
      <w:lvlText w:val="(%1)"/>
      <w:numFmt w:val="decimal"/>
      <w:start w:val="5"/>
    </w:lvl>
    <w:lvl w:ilvl="1">
      <w:lvlJc w:val="left"/>
      <w:lvlText w:val="(%2)"/>
      <w:numFmt w:val="upperLetter"/>
      <w:start w:val="1"/>
    </w:lvl>
  </w:abstractNum>
  <w:abstractNum w:abstractNumId="58">
    <w:nsid w:val="32794FF7"/>
    <w:multiLevelType w:val="hybridMultilevel"/>
    <w:lvl w:ilvl="0">
      <w:lvlJc w:val="left"/>
      <w:lvlText w:val="(%1)"/>
      <w:numFmt w:val="decimal"/>
      <w:start w:val="1"/>
    </w:lvl>
    <w:lvl w:ilvl="1">
      <w:lvlJc w:val="left"/>
      <w:lvlText w:val="%2"/>
      <w:numFmt w:val="upperLetter"/>
      <w:start w:val="1"/>
    </w:lvl>
  </w:abstractNum>
  <w:abstractNum w:abstractNumId="59">
    <w:nsid w:val="5454945E"/>
    <w:multiLevelType w:val="hybridMultilevel"/>
    <w:lvl w:ilvl="0">
      <w:lvlJc w:val="left"/>
      <w:lvlText w:val="(%1)"/>
      <w:numFmt w:val="upperLetter"/>
      <w:start w:val="5"/>
    </w:lvl>
  </w:abstractNum>
  <w:abstractNum w:abstractNumId="60">
    <w:nsid w:val="4DEFDFA0"/>
    <w:multiLevelType w:val="hybridMultilevel"/>
    <w:lvl w:ilvl="0">
      <w:lvlJc w:val="left"/>
      <w:lvlText w:val="(%1)"/>
      <w:numFmt w:val="lowerRoman"/>
      <w:start w:val="1"/>
    </w:lvl>
  </w:abstractNum>
  <w:abstractNum w:abstractNumId="61">
    <w:nsid w:val="2123D5F2"/>
    <w:multiLevelType w:val="hybridMultilevel"/>
    <w:lvl w:ilvl="0">
      <w:lvlJc w:val="left"/>
      <w:lvlText w:val="(%1)"/>
      <w:numFmt w:val="lowerLetter"/>
      <w:start w:val="5"/>
    </w:lvl>
    <w:lvl w:ilvl="1">
      <w:lvlJc w:val="left"/>
      <w:lvlText w:val="(%2)"/>
      <w:numFmt w:val="decimal"/>
      <w:start w:val="1"/>
    </w:lvl>
  </w:abstractNum>
  <w:abstractNum w:abstractNumId="62">
    <w:nsid w:val="135B8110"/>
    <w:multiLevelType w:val="hybridMultilevel"/>
    <w:lvl w:ilvl="0">
      <w:lvlJc w:val="left"/>
      <w:lvlText w:val="%1"/>
      <w:numFmt w:val="decimal"/>
      <w:start w:val="1"/>
    </w:lvl>
    <w:lvl w:ilvl="1">
      <w:lvlJc w:val="left"/>
      <w:lvlText w:val="(%2)"/>
      <w:numFmt w:val="upperLetter"/>
      <w:start w:val="1"/>
    </w:lvl>
  </w:abstractNum>
  <w:abstractNum w:abstractNumId="63">
    <w:nsid w:val="94927A8"/>
    <w:multiLevelType w:val="hybridMultilevel"/>
    <w:lvl w:ilvl="0">
      <w:lvlJc w:val="left"/>
      <w:lvlText w:val="(%1)"/>
      <w:numFmt w:val="decimal"/>
      <w:start w:val="2"/>
    </w:lvl>
    <w:lvl w:ilvl="1">
      <w:lvlJc w:val="left"/>
      <w:lvlText w:val="%2"/>
      <w:numFmt w:val="upperLetter"/>
      <w:start w:val="1"/>
    </w:lvl>
  </w:abstractNum>
  <w:abstractNum w:abstractNumId="64">
    <w:nsid w:val="DCDF8F6"/>
    <w:multiLevelType w:val="hybridMultilevel"/>
    <w:lvl w:ilvl="0">
      <w:lvlJc w:val="left"/>
      <w:lvlText w:val="(%1)"/>
      <w:numFmt w:val="upperLetter"/>
      <w:start w:val="1"/>
    </w:lvl>
  </w:abstractNum>
  <w:abstractNum w:abstractNumId="65">
    <w:nsid w:val="52D7B105"/>
    <w:multiLevelType w:val="hybridMultilevel"/>
    <w:lvl w:ilvl="0">
      <w:lvlJc w:val="left"/>
      <w:lvlText w:val="(%1)"/>
      <w:numFmt w:val="lowerLetter"/>
      <w:start w:val="1"/>
    </w:lvl>
  </w:abstractNum>
  <w:abstractNum w:abstractNumId="66">
    <w:nsid w:val="2E8A6394"/>
    <w:multiLevelType w:val="hybridMultilevel"/>
    <w:lvl w:ilvl="0">
      <w:lvlJc w:val="left"/>
      <w:lvlText w:val="(%1)"/>
      <w:numFmt w:val="upperLetter"/>
      <w:start w:val="1"/>
    </w:lvl>
  </w:abstractNum>
  <w:abstractNum w:abstractNumId="67">
    <w:nsid w:val="24E60401"/>
    <w:multiLevelType w:val="hybridMultilevel"/>
    <w:lvl w:ilvl="0">
      <w:lvlJc w:val="left"/>
      <w:lvlText w:val="(%1)"/>
      <w:numFmt w:val="lowerLetter"/>
      <w:start w:val="1"/>
    </w:lvl>
  </w:abstractNum>
  <w:abstractNum w:abstractNumId="68">
    <w:nsid w:val="2A6AD9BE"/>
    <w:multiLevelType w:val="hybridMultilevel"/>
    <w:lvl w:ilvl="0">
      <w:lvlJc w:val="left"/>
      <w:lvlText w:val="(%1)"/>
      <w:numFmt w:val="lowerLetter"/>
      <w:start w:val="3"/>
    </w:lvl>
  </w:abstractNum>
  <w:abstractNum w:abstractNumId="69">
    <w:nsid w:val="BAAC1B4"/>
    <w:multiLevelType w:val="hybridMultilevel"/>
    <w:lvl w:ilvl="0">
      <w:lvlJc w:val="left"/>
      <w:lvlText w:val="(%1)"/>
      <w:numFmt w:val="lowerLetter"/>
      <w:start w:val="1"/>
    </w:lvl>
  </w:abstractNum>
  <w:abstractNum w:abstractNumId="70">
    <w:nsid w:val="36B2ACBC"/>
    <w:multiLevelType w:val="hybridMultilevel"/>
    <w:lvl w:ilvl="0">
      <w:lvlJc w:val="left"/>
      <w:lvlText w:val="(%1)"/>
      <w:numFmt w:val="lowerLetter"/>
      <w:start w:val="3"/>
    </w:lvl>
  </w:abstractNum>
  <w:abstractNum w:abstractNumId="71">
    <w:nsid w:val="779D8544"/>
    <w:multiLevelType w:val="hybridMultilevel"/>
    <w:lvl w:ilvl="0">
      <w:lvlJc w:val="left"/>
      <w:lvlText w:val="(%1)"/>
      <w:numFmt w:val="lowerLetter"/>
      <w:start w:val="1"/>
    </w:lvl>
  </w:abstractNum>
  <w:abstractNum w:abstractNumId="72">
    <w:nsid w:val="4AB26E78"/>
    <w:multiLevelType w:val="hybridMultilevel"/>
    <w:lvl w:ilvl="0">
      <w:lvlJc w:val="left"/>
      <w:lvlText w:val="(%1)"/>
      <w:numFmt w:val="lowerLetter"/>
      <w:start w:val="2"/>
    </w:lvl>
  </w:abstractNum>
  <w:abstractNum w:abstractNumId="73">
    <w:nsid w:val="21FAA2FA"/>
    <w:multiLevelType w:val="hybridMultilevel"/>
    <w:lvl w:ilvl="0">
      <w:lvlJc w:val="left"/>
      <w:lvlText w:val="%1."/>
      <w:numFmt w:val="decimal"/>
      <w:start w:val="1"/>
    </w:lvl>
  </w:abstractNum>
  <w:abstractNum w:abstractNumId="74">
    <w:nsid w:val="5451CF49"/>
    <w:multiLevelType w:val="hybridMultilevel"/>
    <w:lvl w:ilvl="0">
      <w:lvlJc w:val="left"/>
      <w:lvlText w:val="%1."/>
      <w:numFmt w:val="decimal"/>
      <w:start w:val="4"/>
    </w:lvl>
  </w:abstractNum>
  <w:abstractNum w:abstractNumId="75">
    <w:nsid w:val="6181EF69"/>
    <w:multiLevelType w:val="hybridMultilevel"/>
    <w:lvl w:ilvl="0">
      <w:lvlJc w:val="left"/>
      <w:lvlText w:val="%1."/>
      <w:numFmt w:val="decimal"/>
      <w:start w:val="8"/>
    </w:lvl>
  </w:abstractNum>
  <w:abstractNum w:abstractNumId="76">
    <w:nsid w:val="3E6400E6"/>
    <w:multiLevelType w:val="hybridMultilevel"/>
    <w:lvl w:ilvl="0">
      <w:lvlJc w:val="left"/>
      <w:lvlText w:val="•"/>
      <w:numFmt w:val="bullet"/>
      <w:start w:val="1"/>
    </w:lvl>
  </w:abstractNum>
  <w:abstractNum w:abstractNumId="77">
    <w:nsid w:val="14217E23"/>
    <w:multiLevelType w:val="hybridMultilevel"/>
    <w:lvl w:ilvl="0">
      <w:lvlJc w:val="left"/>
      <w:lvlText w:val="(%1)"/>
      <w:numFmt w:val="lowerRoman"/>
      <w:start w:val="1"/>
    </w:lvl>
  </w:abstractNum>
  <w:abstractNum w:abstractNumId="78">
    <w:nsid w:val="710757D0"/>
    <w:multiLevelType w:val="hybridMultilevel"/>
    <w:lvl w:ilvl="0">
      <w:lvlJc w:val="left"/>
      <w:lvlText w:val="•"/>
      <w:numFmt w:val="bullet"/>
      <w:start w:val="1"/>
    </w:lvl>
  </w:abstractNum>
  <w:abstractNum w:abstractNumId="79">
    <w:nsid w:val="5015CD1A"/>
    <w:multiLevelType w:val="hybridMultilevel"/>
    <w:lvl w:ilvl="0">
      <w:lvlJc w:val="left"/>
      <w:lvlText w:val="(%1)"/>
      <w:numFmt w:val="lowerRoman"/>
      <w:start w:val="1"/>
    </w:lvl>
  </w:abstractNum>
  <w:abstractNum w:abstractNumId="80">
    <w:nsid w:val="424479DA"/>
    <w:multiLevelType w:val="hybridMultilevel"/>
    <w:lvl w:ilvl="0">
      <w:lvlJc w:val="left"/>
      <w:lvlText w:val="•"/>
      <w:numFmt w:val="bullet"/>
      <w:start w:val="1"/>
    </w:lvl>
  </w:abstractNum>
  <w:abstractNum w:abstractNumId="81">
    <w:nsid w:val="1A9A9E69"/>
    <w:multiLevelType w:val="hybridMultilevel"/>
    <w:lvl w:ilvl="0">
      <w:lvlJc w:val="left"/>
      <w:lvlText w:val="%1."/>
      <w:numFmt w:val="decimal"/>
      <w:start w:val="1"/>
    </w:lvl>
  </w:abstractNum>
  <w:abstractNum w:abstractNumId="82">
    <w:nsid w:val="475E256A"/>
    <w:multiLevelType w:val="hybridMultilevel"/>
    <w:lvl w:ilvl="0">
      <w:lvlJc w:val="left"/>
      <w:lvlText w:val="(%1)"/>
      <w:numFmt w:val="lowerLetter"/>
      <w:start w:val="1"/>
    </w:lvl>
  </w:abstractNum>
  <w:abstractNum w:abstractNumId="83">
    <w:nsid w:val="368DB37E"/>
    <w:multiLevelType w:val="hybridMultilevel"/>
    <w:lvl w:ilvl="0">
      <w:lvlJc w:val="left"/>
      <w:lvlText w:val="%1."/>
      <w:numFmt w:val="decimal"/>
      <w:start w:val="3"/>
    </w:lvl>
  </w:abstractNum>
  <w:abstractNum w:abstractNumId="84">
    <w:nsid w:val="6A3B714C"/>
    <w:multiLevelType w:val="hybridMultilevel"/>
    <w:lvl w:ilvl="0">
      <w:lvlJc w:val="left"/>
      <w:lvlText w:val="%1"/>
      <w:numFmt w:val="lowerLetter"/>
      <w:start w:val="1"/>
    </w:lvl>
    <w:lvl w:ilvl="1">
      <w:lvlJc w:val="left"/>
      <w:lvlText w:val="(%2)"/>
      <w:numFmt w:val="lowerLetter"/>
      <w:start w:val="1"/>
    </w:lvl>
  </w:abstractNum>
  <w:abstractNum w:abstractNumId="85">
    <w:nsid w:val="327B517E"/>
    <w:multiLevelType w:val="hybridMultilevel"/>
    <w:lvl w:ilvl="0">
      <w:lvlJc w:val="left"/>
      <w:lvlText w:val="(%1)"/>
      <w:numFmt w:val="lowerLetter"/>
      <w:start w:val="24"/>
    </w:lvl>
    <w:lvl w:ilvl="1">
      <w:lvlJc w:val="left"/>
      <w:lvlText w:val="%2"/>
      <w:numFmt w:val="lowerLetter"/>
      <w:start w:val="1"/>
    </w:lvl>
  </w:abstractNum>
  <w:abstractNum w:abstractNumId="86">
    <w:nsid w:val="1F461B51"/>
    <w:multiLevelType w:val="hybridMultilevel"/>
    <w:lvl w:ilvl="0">
      <w:lvlJc w:val="left"/>
      <w:lvlText w:val="%1."/>
      <w:numFmt w:val="decimal"/>
      <w:start w:val="4"/>
    </w:lvl>
  </w:abstractNum>
  <w:abstractNum w:abstractNumId="87">
    <w:nsid w:val="29BACF25"/>
    <w:multiLevelType w:val="hybridMultilevel"/>
    <w:lvl w:ilvl="0">
      <w:lvlJc w:val="left"/>
      <w:lvlText w:val="(%1)"/>
      <w:numFmt w:val="lowerLetter"/>
      <w:start w:val="1"/>
    </w:lvl>
  </w:abstractNum>
  <w:abstractNum w:abstractNumId="88">
    <w:nsid w:val="5D5BABB3"/>
    <w:multiLevelType w:val="hybridMultilevel"/>
    <w:lvl w:ilvl="0">
      <w:lvlJc w:val="left"/>
      <w:lvlText w:val="%1."/>
      <w:numFmt w:val="decimal"/>
      <w:start w:val="5"/>
    </w:lvl>
  </w:abstractNum>
  <w:abstractNum w:abstractNumId="89">
    <w:nsid w:val="51BF6B48"/>
    <w:multiLevelType w:val="hybridMultilevel"/>
    <w:lvl w:ilvl="0">
      <w:lvlJc w:val="left"/>
      <w:lvlText w:val="%1."/>
      <w:numFmt w:val="decimal"/>
      <w:start w:val="7"/>
    </w:lvl>
  </w:abstractNum>
  <w:abstractNum w:abstractNumId="90">
    <w:nsid w:val="7E0F6384"/>
    <w:multiLevelType w:val="hybridMultilevel"/>
    <w:lvl w:ilvl="0">
      <w:lvlJc w:val="left"/>
      <w:lvlText w:val="A"/>
      <w:numFmt w:val="bullet"/>
      <w:start w:val="1"/>
    </w:lvl>
  </w:abstractNum>
  <w:abstractNum w:abstractNumId="91">
    <w:nsid w:val="2B4B8B53"/>
    <w:multiLevelType w:val="hybridMultilevel"/>
    <w:lvl w:ilvl="0">
      <w:lvlJc w:val="left"/>
      <w:lvlText w:val="(%1)"/>
      <w:numFmt w:val="lowerLetter"/>
      <w:start w:val="2"/>
    </w:lvl>
  </w:abstractNum>
  <w:abstractNum w:abstractNumId="92">
    <w:nsid w:val="72E3413A"/>
    <w:multiLevelType w:val="hybridMultilevel"/>
    <w:lvl w:ilvl="0">
      <w:lvlJc w:val="left"/>
      <w:lvlText w:val="(%1)"/>
      <w:numFmt w:val="lowerLetter"/>
      <w:start w:val="1"/>
    </w:lvl>
  </w:abstractNum>
  <w:abstractNum w:abstractNumId="93">
    <w:nsid w:val="116AE494"/>
    <w:multiLevelType w:val="hybridMultilevel"/>
    <w:lvl w:ilvl="0">
      <w:lvlJc w:val="left"/>
      <w:lvlText w:val="(%1)"/>
      <w:numFmt w:val="decimal"/>
      <w:start w:val="2"/>
    </w:lvl>
  </w:abstractNum>
  <w:abstractNum w:abstractNumId="94">
    <w:nsid w:val="3494B2FB"/>
    <w:multiLevelType w:val="hybridMultilevel"/>
    <w:lvl w:ilvl="0">
      <w:lvlJc w:val="left"/>
      <w:lvlText w:val="(%1)"/>
      <w:numFmt w:val="decimal"/>
      <w:start w:val="70"/>
    </w:lvl>
  </w:abstractNum>
  <w:abstractNum w:abstractNumId="95">
    <w:nsid w:val="B13A31"/>
    <w:multiLevelType w:val="hybridMultilevel"/>
    <w:lvl w:ilvl="0">
      <w:lvlJc w:val="left"/>
      <w:lvlText w:val="(%1)"/>
      <w:numFmt w:val="lowerRoman"/>
      <w:start w:val="1"/>
    </w:lvl>
  </w:abstractNum>
  <w:abstractNum w:abstractNumId="96">
    <w:nsid w:val="64429599"/>
    <w:multiLevelType w:val="hybridMultilevel"/>
    <w:lvl w:ilvl="0">
      <w:lvlJc w:val="left"/>
      <w:lvlText w:val="%1"/>
      <w:numFmt w:val="lowerRoman"/>
      <w:start w:val="1"/>
    </w:lvl>
    <w:lvl w:ilvl="1">
      <w:lvlJc w:val="left"/>
      <w:lvlText w:val="(%2)"/>
      <w:numFmt w:val="lowerRoman"/>
      <w:start w:val="2"/>
    </w:lvl>
  </w:abstractNum>
  <w:abstractNum w:abstractNumId="97">
    <w:nsid w:val="631F1690"/>
    <w:multiLevelType w:val="hybridMultilevel"/>
    <w:lvl w:ilvl="0">
      <w:lvlJc w:val="left"/>
      <w:lvlText w:val="(%1)"/>
      <w:numFmt w:val="lowerRoman"/>
      <w:start w:val="17"/>
    </w:lvl>
    <w:lvl w:ilvl="1">
      <w:lvlJc w:val="left"/>
      <w:lvlText w:val="(%2)"/>
      <w:numFmt w:val="lowerRoman"/>
      <w:start w:val="3"/>
    </w:lvl>
  </w:abstractNum>
  <w:abstractNum w:abstractNumId="98">
    <w:nsid w:val="25973E32"/>
    <w:multiLevelType w:val="hybridMultilevel"/>
    <w:lvl w:ilvl="0">
      <w:lvlJc w:val="left"/>
      <w:lvlText w:val="(%1)"/>
      <w:numFmt w:val="lowerRoman"/>
      <w:start w:val="8"/>
    </w:lvl>
    <w:lvl w:ilvl="1">
      <w:lvlJc w:val="left"/>
      <w:lvlText w:val="%2"/>
      <w:numFmt w:val="lowerRoman"/>
      <w:start w:val="1"/>
    </w:lvl>
  </w:abstractNum>
  <w:abstractNum w:abstractNumId="99">
    <w:nsid w:val="EAD6F57"/>
    <w:multiLevelType w:val="hybridMultilevel"/>
    <w:lvl w:ilvl="0">
      <w:lvlJc w:val="left"/>
      <w:lvlText w:val="(%1)"/>
      <w:numFmt w:val="lowerRoman"/>
      <w:start w:val="10"/>
    </w:lvl>
    <w:lvl w:ilvl="1">
      <w:lvlJc w:val="left"/>
      <w:lvlText w:val="%2"/>
      <w:numFmt w:val="lowerRoman"/>
      <w:start w:val="1"/>
    </w:lvl>
  </w:abstractNum>
  <w:abstractNum w:abstractNumId="100">
    <w:nsid w:val="6EC9D844"/>
    <w:multiLevelType w:val="hybridMultilevel"/>
    <w:lvl w:ilvl="0">
      <w:lvlJc w:val="left"/>
      <w:lvlText w:val="(%1)"/>
      <w:numFmt w:val="lowerLetter"/>
      <w:start w:val="9"/>
    </w:lvl>
  </w:abstractNum>
  <w:abstractNum w:abstractNumId="101">
    <w:nsid w:val="5C49EAEE"/>
    <w:multiLevelType w:val="hybridMultilevel"/>
    <w:lvl w:ilvl="0">
      <w:lvlJc w:val="left"/>
      <w:lvlText w:val="(%1)"/>
      <w:numFmt w:val="lowerLetter"/>
      <w:start w:val="25"/>
    </w:lvl>
  </w:abstractNum>
  <w:abstractNum w:abstractNumId="102">
    <w:nsid w:val="64AF49B"/>
    <w:multiLevelType w:val="hybridMultilevel"/>
    <w:lvl w:ilvl="0">
      <w:lvlJc w:val="left"/>
      <w:lvlText w:val="(%1)"/>
      <w:numFmt w:val="decimal"/>
      <w:start w:val="1"/>
    </w:lvl>
  </w:abstractNum>
  <w:abstractNum w:abstractNumId="103">
    <w:nsid w:val="397C46BC"/>
    <w:multiLevelType w:val="hybridMultilevel"/>
    <w:lvl w:ilvl="0">
      <w:lvlJc w:val="left"/>
      <w:lvlText w:val="(%1)"/>
      <w:numFmt w:val="lowerLetter"/>
      <w:start w:val="3"/>
    </w:lvl>
  </w:abstractNum>
  <w:abstractNum w:abstractNumId="104">
    <w:nsid w:val="7E448DE9"/>
    <w:multiLevelType w:val="hybridMultilevel"/>
    <w:lvl w:ilvl="0">
      <w:lvlJc w:val="left"/>
      <w:lvlText w:val="(%1)"/>
      <w:numFmt w:val="lowerRoman"/>
      <w:start w:val="1"/>
    </w:lvl>
  </w:abstractNum>
  <w:abstractNum w:abstractNumId="105">
    <w:nsid w:val="5A9CC3E5"/>
    <w:multiLevelType w:val="hybridMultilevel"/>
    <w:lvl w:ilvl="0">
      <w:lvlJc w:val="left"/>
      <w:lvlText w:val="(%1)"/>
      <w:numFmt w:val="decimal"/>
      <w:start w:val="1"/>
    </w:lvl>
  </w:abstractNum>
  <w:abstractNum w:abstractNumId="106">
    <w:nsid w:val="1AFE3625"/>
    <w:multiLevelType w:val="hybridMultilevel"/>
    <w:lvl w:ilvl="0">
      <w:lvlJc w:val="left"/>
      <w:lvlText w:val="(%1)"/>
      <w:numFmt w:val="decimal"/>
      <w:start w:val="3"/>
    </w:lvl>
  </w:abstractNum>
  <w:abstractNum w:abstractNumId="107">
    <w:nsid w:val="3CA88ECF"/>
    <w:multiLevelType w:val="hybridMultilevel"/>
    <w:lvl w:ilvl="0">
      <w:lvlJc w:val="left"/>
      <w:lvlText w:val="(%1)"/>
      <w:numFmt w:val="decimal"/>
      <w:start w:val="4"/>
    </w:lvl>
  </w:abstractNum>
  <w:abstractNum w:abstractNumId="108">
    <w:nsid w:val="6EBE4208"/>
    <w:multiLevelType w:val="hybridMultilevel"/>
    <w:lvl w:ilvl="0">
      <w:lvlJc w:val="left"/>
      <w:lvlText w:val="(%1)"/>
      <w:numFmt w:val="lowerLetter"/>
      <w:start w:val="1"/>
    </w:lvl>
  </w:abstractNum>
  <w:abstractNum w:abstractNumId="109">
    <w:nsid w:val="C058DF5"/>
    <w:multiLevelType w:val="hybridMultilevel"/>
    <w:lvl w:ilvl="0">
      <w:lvlJc w:val="left"/>
      <w:lvlText w:val="(%1)"/>
      <w:numFmt w:val="lowerLetter"/>
      <w:start w:val="9"/>
    </w:lvl>
  </w:abstractNum>
  <w:abstractNum w:abstractNumId="110">
    <w:nsid w:val="CBE5BE9"/>
    <w:multiLevelType w:val="hybridMultilevel"/>
    <w:lvl w:ilvl="0">
      <w:lvlJc w:val="left"/>
      <w:lvlText w:val="(%1)"/>
      <w:numFmt w:val="lowerLetter"/>
      <w:start w:val="1"/>
    </w:lvl>
  </w:abstractNum>
  <w:abstractNum w:abstractNumId="111">
    <w:nsid w:val="3102BBE2"/>
    <w:multiLevelType w:val="hybridMultilevel"/>
    <w:lvl w:ilvl="0">
      <w:lvlJc w:val="left"/>
      <w:lvlText w:val="(%1)"/>
      <w:numFmt w:val="lowerLetter"/>
      <w:start w:val="2"/>
    </w:lvl>
  </w:abstractNum>
  <w:abstractNum w:abstractNumId="112">
    <w:nsid w:val="26A02C5E"/>
    <w:multiLevelType w:val="hybridMultilevel"/>
    <w:lvl w:ilvl="0">
      <w:lvlJc w:val="left"/>
      <w:lvlText w:val="(%1)"/>
      <w:numFmt w:val="lowerLetter"/>
      <w:start w:val="2"/>
    </w:lvl>
  </w:abstractNum>
  <w:abstractNum w:abstractNumId="113">
    <w:nsid w:val="541C8153"/>
    <w:multiLevelType w:val="hybridMultilevel"/>
    <w:lvl w:ilvl="0">
      <w:lvlJc w:val="left"/>
      <w:lvlText w:val="(%1)"/>
      <w:numFmt w:val="lowerLetter"/>
      <w:start w:val="2"/>
    </w:lvl>
  </w:abstractNum>
  <w:abstractNum w:abstractNumId="114">
    <w:nsid w:val="67906F60"/>
    <w:multiLevelType w:val="hybridMultilevel"/>
    <w:lvl w:ilvl="0">
      <w:lvlJc w:val="left"/>
      <w:lvlText w:val="(%1)"/>
      <w:numFmt w:val="decimal"/>
      <w:start w:val="6"/>
    </w:lvl>
  </w:abstractNum>
  <w:abstractNum w:abstractNumId="115">
    <w:nsid w:val="10DB9DAA"/>
    <w:multiLevelType w:val="hybridMultilevel"/>
    <w:lvl w:ilvl="0">
      <w:lvlJc w:val="left"/>
      <w:lvlText w:val="(%1)"/>
      <w:numFmt w:val="lowerLetter"/>
      <w:start w:val="2"/>
    </w:lvl>
  </w:abstractNum>
  <w:abstractNum w:abstractNumId="116">
    <w:nsid w:val="697D2D2"/>
    <w:multiLevelType w:val="hybridMultilevel"/>
    <w:lvl w:ilvl="0">
      <w:lvlJc w:val="left"/>
      <w:lvlText w:val="(%1)"/>
      <w:numFmt w:val="upperLetter"/>
      <w:start w:val="1"/>
    </w:lvl>
    <w:lvl w:ilvl="1">
      <w:lvlJc w:val="left"/>
      <w:lvlText w:val="(%2)"/>
      <w:numFmt w:val="lowerLetter"/>
      <w:start w:val="4"/>
    </w:lvl>
  </w:abstractNum>
  <w:abstractNum w:abstractNumId="117">
    <w:nsid w:val="6D68AB2"/>
    <w:multiLevelType w:val="hybridMultilevel"/>
    <w:lvl w:ilvl="0">
      <w:lvlJc w:val="left"/>
      <w:lvlText w:val="(%1)"/>
      <w:numFmt w:val="lowerLetter"/>
      <w:start w:val="2"/>
    </w:lvl>
  </w:abstractNum>
  <w:abstractNum w:abstractNumId="118">
    <w:nsid w:val="3A966CD0"/>
    <w:multiLevelType w:val="hybridMultilevel"/>
    <w:lvl w:ilvl="0">
      <w:lvlJc w:val="left"/>
      <w:lvlText w:val="%1"/>
      <w:numFmt w:val="lowerLetter"/>
      <w:start w:val="1"/>
    </w:lvl>
    <w:lvl w:ilvl="1">
      <w:lvlJc w:val="left"/>
      <w:lvlText w:val="(%2)"/>
      <w:numFmt w:val="decimal"/>
      <w:start w:val="1"/>
    </w:lvl>
  </w:abstractNum>
  <w:abstractNum w:abstractNumId="119">
    <w:nsid w:val="63F37E85"/>
    <w:multiLevelType w:val="hybridMultilevel"/>
    <w:lvl w:ilvl="0">
      <w:lvlJc w:val="left"/>
      <w:lvlText w:val="(%1)"/>
      <w:numFmt w:val="lowerLetter"/>
      <w:start w:val="4"/>
    </w:lvl>
    <w:lvl w:ilvl="1">
      <w:lvlJc w:val="left"/>
      <w:lvlText w:val="%2"/>
      <w:numFmt w:val="decimal"/>
      <w:start w:val="1"/>
    </w:lvl>
  </w:abstractNum>
  <w:abstractNum w:abstractNumId="120">
    <w:nsid w:val="5895F5FA"/>
    <w:multiLevelType w:val="hybridMultilevel"/>
    <w:lvl w:ilvl="0">
      <w:lvlJc w:val="left"/>
      <w:lvlText w:val="(%1)"/>
      <w:numFmt w:val="lowerLetter"/>
      <w:start w:val="5"/>
    </w:lvl>
    <w:lvl w:ilvl="1">
      <w:lvlJc w:val="left"/>
      <w:lvlText w:val="(%2)"/>
      <w:numFmt w:val="decimal"/>
      <w:start w:val="1"/>
    </w:lvl>
  </w:abstractNum>
  <w:abstractNum w:abstractNumId="121">
    <w:nsid w:val="38A5D054"/>
    <w:multiLevelType w:val="hybridMultilevel"/>
    <w:lvl w:ilvl="0">
      <w:lvlJc w:val="left"/>
      <w:lvlText w:val="(%1)"/>
      <w:numFmt w:val="lowerLetter"/>
      <w:start w:val="10"/>
    </w:lvl>
  </w:abstractNum>
  <w:abstractNum w:abstractNumId="122">
    <w:nsid w:val="F3F09D8"/>
    <w:multiLevelType w:val="hybridMultilevel"/>
    <w:lvl w:ilvl="0">
      <w:lvlJc w:val="left"/>
      <w:lvlText w:val="(%1)"/>
      <w:numFmt w:val="lowerLetter"/>
      <w:start w:val="35"/>
    </w:lvl>
    <w:lvl w:ilvl="1">
      <w:lvlJc w:val="left"/>
      <w:lvlText w:val="(%2)"/>
      <w:numFmt w:val="lowerLetter"/>
      <w:start w:val="1"/>
    </w:lvl>
  </w:abstractNum>
  <w:abstractNum w:abstractNumId="123">
    <w:nsid w:val="4B793735"/>
    <w:multiLevelType w:val="hybridMultilevel"/>
    <w:lvl w:ilvl="0">
      <w:lvlJc w:val="left"/>
      <w:lvlText w:val="%1"/>
      <w:numFmt w:val="lowerLetter"/>
      <w:start w:val="1"/>
    </w:lvl>
    <w:lvl w:ilvl="1">
      <w:lvlJc w:val="left"/>
      <w:lvlText w:val="(%2)"/>
      <w:numFmt w:val="lowerLetter"/>
      <w:start w:val="2"/>
    </w:lvl>
  </w:abstractNum>
  <w:abstractNum w:abstractNumId="124">
    <w:nsid w:val="4A10B4E8"/>
    <w:multiLevelType w:val="hybridMultilevel"/>
    <w:lvl w:ilvl="0">
      <w:lvlJc w:val="left"/>
      <w:lvlText w:val="(%1)"/>
      <w:numFmt w:val="lowerLetter"/>
      <w:start w:val="61"/>
    </w:lvl>
    <w:lvl w:ilvl="1">
      <w:lvlJc w:val="left"/>
      <w:lvlText w:val="(%2)"/>
      <w:numFmt w:val="lowerLetter"/>
      <w:start w:val="1"/>
    </w:lvl>
  </w:abstractNum>
  <w:abstractNum w:abstractNumId="125">
    <w:nsid w:val="43D3BCD4"/>
    <w:multiLevelType w:val="hybridMultilevel"/>
    <w:lvl w:ilvl="0">
      <w:lvlJc w:val="left"/>
      <w:lvlText w:val="(%1)"/>
      <w:numFmt w:val="lowerLetter"/>
      <w:start w:val="4"/>
    </w:lvl>
  </w:abstractNum>
  <w:abstractNum w:abstractNumId="126">
    <w:nsid w:val="4C2A7166"/>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lvl w:ilvl="3">
      <w:lvlJc w:val="left"/>
      <w:lvlText w:val="(%4)"/>
      <w:numFmt w:val="lowerLetter"/>
      <w:start w:val="7"/>
    </w:lvl>
  </w:abstractNum>
  <w:abstractNum w:abstractNumId="127">
    <w:nsid w:val="2E534A82"/>
    <w:multiLevelType w:val="hybridMultilevel"/>
    <w:lvl w:ilvl="0">
      <w:lvlJc w:val="left"/>
      <w:lvlText w:val="%1"/>
      <w:numFmt w:val="lowerLetter"/>
      <w:start w:val="1"/>
    </w:lvl>
    <w:lvl w:ilvl="1">
      <w:lvlJc w:val="left"/>
      <w:lvlText w:val="(%2)"/>
      <w:numFmt w:val="lowerRoman"/>
      <w:start w:val="4"/>
    </w:lvl>
    <w:lvl w:ilvl="2">
      <w:lvlJc w:val="left"/>
      <w:lvlText w:val="(%3)"/>
      <w:numFmt w:val="lowerLetter"/>
      <w:start w:val="2"/>
    </w:lvl>
    <w:lvl w:ilvl="3">
      <w:lvlJc w:val="left"/>
      <w:lvlText w:val="%4"/>
      <w:numFmt w:val="lowerLetter"/>
      <w:start w:val="1"/>
    </w:lvl>
  </w:abstractNum>
  <w:abstractNum w:abstractNumId="128">
    <w:nsid w:val="26F2D364"/>
    <w:multiLevelType w:val="hybridMultilevel"/>
    <w:lvl w:ilvl="0">
      <w:lvlJc w:val="left"/>
      <w:lvlText w:val="(%1)"/>
      <w:numFmt w:val="lowerLetter"/>
      <w:start w:val="9"/>
    </w:lvl>
    <w:lvl w:ilvl="1">
      <w:lvlJc w:val="left"/>
      <w:lvlText w:val="%2"/>
      <w:numFmt w:val="lowerRoman"/>
      <w:start w:val="1"/>
    </w:lvl>
    <w:lvl w:ilvl="2">
      <w:lvlJc w:val="left"/>
      <w:lvlText w:val="%3"/>
      <w:numFmt w:val="lowerLetter"/>
      <w:start w:val="1"/>
    </w:lvl>
    <w:lvl w:ilvl="3">
      <w:lvlJc w:val="left"/>
      <w:lvlText w:val="%4"/>
      <w:numFmt w:val="lowerLetter"/>
      <w:start w:val="1"/>
    </w:lvl>
  </w:abstractNum>
  <w:abstractNum w:abstractNumId="129">
    <w:nsid w:val="71C1AF98"/>
    <w:multiLevelType w:val="hybridMultilevel"/>
    <w:lvl w:ilvl="0">
      <w:lvlJc w:val="left"/>
      <w:lvlText w:val="(%1)"/>
      <w:numFmt w:val="lowerRoman"/>
      <w:start w:val="2"/>
    </w:lvl>
  </w:abstractNum>
  <w:abstractNum w:abstractNumId="130">
    <w:nsid w:val="3D00B9D9"/>
    <w:multiLevelType w:val="hybridMultilevel"/>
    <w:lvl w:ilvl="0">
      <w:lvlJc w:val="left"/>
      <w:lvlText w:val="(%1)"/>
      <w:numFmt w:val="lowerRoman"/>
      <w:start w:val="2"/>
    </w:lvl>
  </w:abstractNum>
  <w:abstractNum w:abstractNumId="131">
    <w:nsid w:val="15BCABA8"/>
    <w:multiLevelType w:val="hybridMultilevel"/>
    <w:lvl w:ilvl="0">
      <w:lvlJc w:val="left"/>
      <w:lvlText w:val="%1"/>
      <w:numFmt w:val="upperLetter"/>
      <w:start w:val="1"/>
    </w:lvl>
    <w:lvl w:ilvl="1">
      <w:lvlJc w:val="left"/>
      <w:lvlText w:val="(%2)"/>
      <w:numFmt w:val="lowerRoman"/>
      <w:start w:val="3"/>
    </w:lvl>
  </w:abstractNum>
  <w:abstractNum w:abstractNumId="132">
    <w:nsid w:val="4E0B9A87"/>
    <w:multiLevelType w:val="hybridMultilevel"/>
    <w:lvl w:ilvl="0">
      <w:lvlJc w:val="left"/>
      <w:lvlText w:val="(%1)"/>
      <w:numFmt w:val="upperLetter"/>
      <w:start w:val="2"/>
    </w:lvl>
    <w:lvl w:ilvl="1">
      <w:lvlJc w:val="left"/>
      <w:lvlText w:val="%2"/>
      <w:numFmt w:val="lowerRoman"/>
      <w:start w:val="1"/>
    </w:lvl>
  </w:abstractNum>
  <w:abstractNum w:abstractNumId="133">
    <w:nsid w:val="434BAE75"/>
    <w:multiLevelType w:val="hybridMultilevel"/>
    <w:lvl w:ilvl="0">
      <w:lvlJc w:val="left"/>
      <w:lvlText w:val="(%1)"/>
      <w:numFmt w:val="lowerRoman"/>
      <w:start w:val="6"/>
    </w:lvl>
    <w:lvl w:ilvl="1">
      <w:lvlJc w:val="left"/>
      <w:lvlText w:val="(%2)"/>
      <w:numFmt w:val="lowerLetter"/>
      <w:start w:val="4"/>
    </w:lvl>
  </w:abstractNum>
  <w:abstractNum w:abstractNumId="134">
    <w:nsid w:val="4F38F265"/>
    <w:multiLevelType w:val="hybridMultilevel"/>
    <w:lvl w:ilvl="0">
      <w:lvlJc w:val="left"/>
      <w:lvlText w:val="%1"/>
      <w:numFmt w:val="lowerRoman"/>
      <w:start w:val="1"/>
    </w:lvl>
    <w:lvl w:ilvl="1">
      <w:lvlJc w:val="left"/>
      <w:lvlText w:val="(%2)"/>
      <w:numFmt w:val="lowerRoman"/>
      <w:start w:val="2"/>
    </w:lvl>
  </w:abstractNum>
  <w:abstractNum w:abstractNumId="135">
    <w:nsid w:val="4C502870"/>
    <w:multiLevelType w:val="hybridMultilevel"/>
    <w:lvl w:ilvl="0">
      <w:lvlJc w:val="left"/>
      <w:lvlText w:val="(%1)"/>
      <w:numFmt w:val="lowerRoman"/>
      <w:start w:val="2"/>
    </w:lvl>
    <w:lvl w:ilvl="1">
      <w:lvlJc w:val="left"/>
      <w:lvlText w:val="%2"/>
      <w:numFmt w:val="lowerRoman"/>
      <w:start w:val="1"/>
    </w:lvl>
  </w:abstractNum>
  <w:abstractNum w:abstractNumId="136">
    <w:nsid w:val="1DE8725A"/>
    <w:multiLevelType w:val="hybridMultilevel"/>
    <w:lvl w:ilvl="0">
      <w:lvlJc w:val="left"/>
      <w:lvlText w:val="(%1)"/>
      <w:numFmt w:val="lowerLetter"/>
      <w:start w:val="5"/>
    </w:lvl>
    <w:lvl w:ilvl="1">
      <w:lvlJc w:val="left"/>
      <w:lvlText w:val="(%2)"/>
      <w:numFmt w:val="decimal"/>
      <w:start w:val="1"/>
    </w:lvl>
  </w:abstractNum>
  <w:abstractNum w:abstractNumId="137">
    <w:nsid w:val="6A37288A"/>
    <w:multiLevelType w:val="hybridMultilevel"/>
    <w:lvl w:ilvl="0">
      <w:lvlJc w:val="left"/>
      <w:lvlText w:val="(%1)"/>
      <w:numFmt w:val="lowerLetter"/>
      <w:start w:val="24"/>
    </w:lvl>
    <w:lvl w:ilvl="1">
      <w:lvlJc w:val="left"/>
      <w:lvlText w:val="(%2)"/>
      <w:numFmt w:val="lowerLetter"/>
      <w:start w:val="7"/>
    </w:lvl>
  </w:abstractNum>
  <w:abstractNum w:abstractNumId="138">
    <w:nsid w:val="8F8B73F"/>
    <w:multiLevelType w:val="hybridMultilevel"/>
    <w:lvl w:ilvl="0">
      <w:lvlJc w:val="left"/>
      <w:lvlText w:val="%1"/>
      <w:numFmt w:val="lowerLetter"/>
      <w:start w:val="1"/>
    </w:lvl>
    <w:lvl w:ilvl="1">
      <w:lvlJc w:val="left"/>
      <w:lvlText w:val="(%2)"/>
      <w:numFmt w:val="lowerLetter"/>
      <w:start w:val="8"/>
    </w:lvl>
  </w:abstractNum>
  <w:abstractNum w:abstractNumId="139">
    <w:nsid w:val="CA6B462"/>
    <w:multiLevelType w:val="hybridMultilevel"/>
    <w:lvl w:ilvl="0">
      <w:lvlJc w:val="left"/>
      <w:lvlText w:val="(%1)"/>
      <w:numFmt w:val="lowerLetter"/>
      <w:start w:val="9"/>
    </w:lvl>
    <w:lvl w:ilvl="1">
      <w:lvlJc w:val="left"/>
      <w:lvlText w:val="%2"/>
      <w:numFmt w:val="lowerLetter"/>
      <w:start w:val="1"/>
    </w:lvl>
  </w:abstractNum>
  <w:abstractNum w:abstractNumId="140">
    <w:nsid w:val="763CB680"/>
    <w:multiLevelType w:val="hybridMultilevel"/>
    <w:lvl w:ilvl="0">
      <w:lvlJc w:val="left"/>
      <w:lvlText w:val="(%1)"/>
      <w:numFmt w:val="lowerLetter"/>
      <w:start w:val="10"/>
    </w:lvl>
  </w:abstractNum>
  <w:abstractNum w:abstractNumId="141">
    <w:nsid w:val="15B71329"/>
    <w:multiLevelType w:val="hybridMultilevel"/>
    <w:lvl w:ilvl="0">
      <w:lvlJc w:val="left"/>
      <w:lvlText w:val="(%1)"/>
      <w:numFmt w:val="lowerLetter"/>
      <w:start w:val="4"/>
    </w:lvl>
  </w:abstractNum>
  <w:abstractNum w:abstractNumId="142">
    <w:nsid w:val="3DA97044"/>
    <w:multiLevelType w:val="hybridMultilevel"/>
    <w:lvl w:ilvl="0">
      <w:lvlJc w:val="left"/>
      <w:lvlText w:val="(%1)"/>
      <w:numFmt w:val="lowerLetter"/>
      <w:start w:val="2"/>
    </w:lvl>
  </w:abstractNum>
  <w:abstractNum w:abstractNumId="143">
    <w:nsid w:val="1CDCE2DE"/>
    <w:multiLevelType w:val="hybridMultilevel"/>
    <w:lvl w:ilvl="0">
      <w:lvlJc w:val="left"/>
      <w:lvlText w:val="(%1)"/>
      <w:numFmt w:val="lowerLetter"/>
      <w:start w:val="2"/>
    </w:lvl>
  </w:abstractNum>
  <w:abstractNum w:abstractNumId="144">
    <w:nsid w:val="69D3947C"/>
    <w:multiLevelType w:val="hybridMultilevel"/>
    <w:lvl w:ilvl="0">
      <w:lvlJc w:val="left"/>
      <w:lvlText w:val="(%1)"/>
      <w:numFmt w:val="lowerLetter"/>
      <w:start w:val="1"/>
    </w:lvl>
  </w:abstractNum>
  <w:abstractNum w:abstractNumId="145">
    <w:nsid w:val="2539DFA5"/>
    <w:multiLevelType w:val="hybridMultilevel"/>
    <w:lvl w:ilvl="0">
      <w:lvlJc w:val="left"/>
      <w:lvlText w:val="(%1)"/>
      <w:numFmt w:val="lowerLetter"/>
      <w:start w:val="2"/>
    </w:lvl>
  </w:abstractNum>
  <w:abstractNum w:abstractNumId="146">
    <w:nsid w:val="2DB88089"/>
    <w:multiLevelType w:val="hybridMultilevel"/>
    <w:lvl w:ilvl="0">
      <w:lvlJc w:val="left"/>
      <w:lvlText w:val="(%1)"/>
      <w:numFmt w:val="lowerLetter"/>
      <w:start w:val="2"/>
    </w:lvl>
  </w:abstractNum>
  <w:abstractNum w:abstractNumId="147">
    <w:nsid w:val="706B674E"/>
    <w:multiLevelType w:val="hybridMultilevel"/>
    <w:lvl w:ilvl="0">
      <w:lvlJc w:val="left"/>
      <w:lvlText w:val="(%1)"/>
      <w:numFmt w:val="lowerLetter"/>
      <w:start w:val="2"/>
    </w:lvl>
    <w:lvl w:ilvl="1">
      <w:lvlJc w:val="left"/>
      <w:lvlText w:val="(%2)"/>
      <w:numFmt w:val="lowerLetter"/>
      <w:start w:val="35"/>
    </w:lvl>
  </w:abstractNum>
  <w:abstractNum w:abstractNumId="148">
    <w:nsid w:val="2C106A57"/>
    <w:multiLevelType w:val="hybridMultilevel"/>
    <w:lvl w:ilvl="0">
      <w:lvlJc w:val="left"/>
      <w:lvlText w:val="%1"/>
      <w:numFmt w:val="lowerLetter"/>
      <w:start w:val="1"/>
    </w:lvl>
    <w:lvl w:ilvl="1">
      <w:lvlJc w:val="left"/>
      <w:lvlText w:val="(%2)"/>
      <w:numFmt w:val="lowerLetter"/>
      <w:start w:val="61"/>
    </w:lvl>
  </w:abstractNum>
  <w:abstractNum w:abstractNumId="149">
    <w:nsid w:val="684EED59"/>
    <w:multiLevelType w:val="hybridMultilevel"/>
    <w:lvl w:ilvl="0">
      <w:lvlJc w:val="left"/>
      <w:lvlText w:val="(%1)"/>
      <w:numFmt w:val="lowerLetter"/>
      <w:start w:val="3"/>
    </w:lvl>
    <w:lvl w:ilvl="1">
      <w:lvlJc w:val="left"/>
      <w:lvlText w:val="%2"/>
      <w:numFmt w:val="lowerLetter"/>
      <w:start w:val="1"/>
    </w:lvl>
  </w:abstractNum>
  <w:abstractNum w:abstractNumId="150">
    <w:nsid w:val="545EE5D3"/>
    <w:multiLevelType w:val="hybridMultilevel"/>
    <w:lvl w:ilvl="0">
      <w:lvlJc w:val="left"/>
      <w:lvlText w:val="(%1)"/>
      <w:numFmt w:val="decimal"/>
      <w:start w:val="1"/>
    </w:lvl>
  </w:abstractNum>
  <w:abstractNum w:abstractNumId="151">
    <w:nsid w:val="4A66051"/>
    <w:multiLevelType w:val="hybridMultilevel"/>
    <w:lvl w:ilvl="0">
      <w:lvlJc w:val="left"/>
      <w:lvlText w:val="(%1)"/>
      <w:numFmt w:val="lowerLetter"/>
      <w:start w:val="2"/>
    </w:lvl>
  </w:abstractNum>
  <w:abstractNum w:abstractNumId="152">
    <w:nsid w:val="20F4BDAD"/>
    <w:multiLevelType w:val="hybridMultilevel"/>
    <w:lvl w:ilvl="0">
      <w:lvlJc w:val="left"/>
      <w:lvlText w:val="(%1)"/>
      <w:numFmt w:val="lowerLetter"/>
      <w:start w:val="4"/>
    </w:lvl>
  </w:abstractNum>
  <w:abstractNum w:abstractNumId="153">
    <w:nsid w:val="639DEFAC"/>
    <w:multiLevelType w:val="hybridMultilevel"/>
    <w:lvl w:ilvl="0">
      <w:lvlJc w:val="left"/>
      <w:lvlText w:val="(%1)"/>
      <w:numFmt w:val="lowerLetter"/>
      <w:start w:val="2"/>
    </w:lvl>
  </w:abstractNum>
  <w:abstractNum w:abstractNumId="154">
    <w:nsid w:val="501F9786"/>
    <w:multiLevelType w:val="hybridMultilevel"/>
    <w:lvl w:ilvl="0">
      <w:lvlJc w:val="left"/>
      <w:lvlText w:val="%1"/>
      <w:numFmt w:val="lowerLetter"/>
      <w:start w:val="1"/>
    </w:lvl>
    <w:lvl w:ilvl="1">
      <w:lvlJc w:val="left"/>
      <w:lvlText w:val="(%2)"/>
      <w:numFmt w:val="lowerLetter"/>
      <w:start w:val="6"/>
    </w:lvl>
  </w:abstractNum>
  <w:abstractNum w:abstractNumId="155">
    <w:nsid w:val="6B057295"/>
    <w:multiLevelType w:val="hybridMultilevel"/>
    <w:lvl w:ilvl="0">
      <w:lvlJc w:val="left"/>
      <w:lvlText w:val="(%1)"/>
      <w:numFmt w:val="lowerLetter"/>
      <w:start w:val="9"/>
    </w:lvl>
    <w:lvl w:ilvl="1">
      <w:lvlJc w:val="left"/>
      <w:lvlText w:val="%2"/>
      <w:numFmt w:val="lowerLetter"/>
      <w:start w:val="1"/>
    </w:lvl>
  </w:abstractNum>
  <w:abstractNum w:abstractNumId="156">
    <w:nsid w:val="2771AC80"/>
    <w:multiLevelType w:val="hybridMultilevel"/>
    <w:lvl w:ilvl="0">
      <w:lvlJc w:val="left"/>
      <w:lvlText w:val="(%1)"/>
      <w:numFmt w:val="lowerRoman"/>
      <w:start w:val="2"/>
    </w:lvl>
  </w:abstractNum>
  <w:abstractNum w:abstractNumId="157">
    <w:nsid w:val="1C4A08EC"/>
    <w:multiLevelType w:val="hybridMultilevel"/>
    <w:lvl w:ilvl="0">
      <w:lvlJc w:val="left"/>
      <w:lvlText w:val="%1"/>
      <w:numFmt w:val="lowerLetter"/>
      <w:start w:val="1"/>
    </w:lvl>
    <w:lvl w:ilvl="1">
      <w:lvlJc w:val="left"/>
      <w:lvlText w:val="(%2)"/>
      <w:numFmt w:val="lowerLetter"/>
      <w:start w:val="61"/>
    </w:lvl>
  </w:abstractNum>
  <w:abstractNum w:abstractNumId="158">
    <w:nsid w:val="1958BD17"/>
    <w:multiLevelType w:val="hybridMultilevel"/>
    <w:lvl w:ilvl="0">
      <w:lvlJc w:val="left"/>
      <w:lvlText w:val="(%1)"/>
      <w:numFmt w:val="lowerLetter"/>
      <w:start w:val="2"/>
    </w:lvl>
    <w:lvl w:ilvl="1">
      <w:lvlJc w:val="left"/>
      <w:lvlText w:val="%2"/>
      <w:numFmt w:val="lowerLetter"/>
      <w:start w:val="1"/>
    </w:lvl>
  </w:abstractNum>
  <w:abstractNum w:abstractNumId="159">
    <w:nsid w:val="4E647FE4"/>
    <w:multiLevelType w:val="hybridMultilevel"/>
    <w:lvl w:ilvl="0">
      <w:lvlJc w:val="left"/>
      <w:lvlText w:val="(%1)"/>
      <w:numFmt w:val="lowerLetter"/>
      <w:start w:val="4"/>
    </w:lvl>
  </w:abstractNum>
  <w:abstractNum w:abstractNumId="160">
    <w:nsid w:val="E0BB885"/>
    <w:multiLevelType w:val="hybridMultilevel"/>
    <w:lvl w:ilvl="0">
      <w:lvlJc w:val="left"/>
      <w:lvlText w:val="(%1)"/>
      <w:numFmt w:val="decimal"/>
      <w:start w:val="1"/>
    </w:lvl>
  </w:abstractNum>
  <w:abstractNum w:abstractNumId="161">
    <w:nsid w:val="565976F1"/>
    <w:multiLevelType w:val="hybridMultilevel"/>
    <w:lvl w:ilvl="0">
      <w:lvlJc w:val="left"/>
      <w:lvlText w:val="%1"/>
      <w:numFmt w:val="lowerLetter"/>
      <w:start w:val="1"/>
    </w:lvl>
    <w:lvl w:ilvl="1">
      <w:lvlJc w:val="left"/>
      <w:lvlText w:val="(%2)"/>
      <w:numFmt w:val="decimal"/>
      <w:start w:val="3"/>
    </w:lvl>
  </w:abstractNum>
  <w:abstractNum w:abstractNumId="162">
    <w:nsid w:val="64212B8C"/>
    <w:multiLevelType w:val="hybridMultilevel"/>
    <w:lvl w:ilvl="0">
      <w:lvlJc w:val="left"/>
      <w:lvlText w:val="(%1)"/>
      <w:numFmt w:val="lowerLetter"/>
      <w:start w:val="2"/>
    </w:lvl>
    <w:lvl w:ilvl="1">
      <w:lvlJc w:val="left"/>
      <w:lvlText w:val="%2"/>
      <w:numFmt w:val="decimal"/>
      <w:start w:val="1"/>
    </w:lvl>
  </w:abstractNum>
  <w:abstractNum w:abstractNumId="163">
    <w:nsid w:val="5C17530C"/>
    <w:multiLevelType w:val="hybridMultilevel"/>
    <w:lvl w:ilvl="0">
      <w:lvlJc w:val="left"/>
      <w:lvlText w:val="(%1)"/>
      <w:numFmt w:val="lowerLetter"/>
      <w:start w:val="1"/>
    </w:lvl>
    <w:lvl w:ilvl="1">
      <w:lvlJc w:val="left"/>
      <w:lvlText w:val="(%2)"/>
      <w:numFmt w:val="lowerRoman"/>
      <w:start w:val="1"/>
    </w:lvl>
  </w:abstractNum>
  <w:abstractNum w:abstractNumId="164">
    <w:nsid w:val="19A52566"/>
    <w:multiLevelType w:val="hybridMultilevel"/>
    <w:lvl w:ilvl="0">
      <w:lvlJc w:val="left"/>
      <w:lvlText w:val="%1"/>
      <w:numFmt w:val="lowerLetter"/>
      <w:start w:val="1"/>
    </w:lvl>
    <w:lvl w:ilvl="1">
      <w:lvlJc w:val="left"/>
      <w:lvlText w:val="(%2)"/>
      <w:numFmt w:val="lowerLetter"/>
      <w:start w:val="2"/>
    </w:lvl>
  </w:abstractNum>
  <w:abstractNum w:abstractNumId="165">
    <w:nsid w:val="335A1DF1"/>
    <w:multiLevelType w:val="hybridMultilevel"/>
    <w:lvl w:ilvl="0">
      <w:lvlJc w:val="left"/>
      <w:lvlText w:val="(%1)"/>
      <w:numFmt w:val="lowerLetter"/>
      <w:start w:val="3"/>
    </w:lvl>
    <w:lvl w:ilvl="1">
      <w:lvlJc w:val="left"/>
      <w:lvlText w:val="(%2)"/>
      <w:numFmt w:val="lowerLetter"/>
      <w:start w:val="3"/>
    </w:lvl>
  </w:abstractNum>
  <w:abstractNum w:abstractNumId="166">
    <w:nsid w:val="28677B7C"/>
    <w:multiLevelType w:val="hybridMultilevel"/>
    <w:lvl w:ilvl="0">
      <w:lvlJc w:val="left"/>
      <w:lvlText w:val="(%1)"/>
      <w:numFmt w:val="lowerLetter"/>
      <w:start w:val="6"/>
    </w:lvl>
  </w:abstractNum>
  <w:abstractNum w:abstractNumId="167">
    <w:nsid w:val="378D97C0"/>
    <w:multiLevelType w:val="hybridMultilevel"/>
    <w:lvl w:ilvl="0">
      <w:lvlJc w:val="left"/>
      <w:lvlText w:val="(%1)"/>
      <w:numFmt w:val="lowerLetter"/>
      <w:start w:val="7"/>
    </w:lvl>
  </w:abstractNum>
  <w:abstractNum w:abstractNumId="168">
    <w:nsid w:val="1D91467C"/>
    <w:multiLevelType w:val="hybridMultilevel"/>
    <w:lvl w:ilvl="0">
      <w:lvlJc w:val="left"/>
      <w:lvlText w:val="%1"/>
      <w:numFmt w:val="decimal"/>
      <w:start w:val="1"/>
    </w:lvl>
    <w:lvl w:ilvl="1">
      <w:lvlJc w:val="left"/>
      <w:lvlText w:val=","/>
      <w:numFmt w:val="bullet"/>
      <w:start w:val="1"/>
    </w:lvl>
    <w:lvl w:ilvl="2">
      <w:lvlJc w:val="left"/>
      <w:lvlText w:val="(%3)"/>
      <w:numFmt w:val="lowerLetter"/>
      <w:start w:val="1"/>
    </w:lvl>
  </w:abstractNum>
  <w:abstractNum w:abstractNumId="169">
    <w:nsid w:val="316032BB"/>
    <w:multiLevelType w:val="hybridMultilevel"/>
    <w:lvl w:ilvl="0">
      <w:lvlJc w:val="left"/>
      <w:lvlText w:val="(%1)"/>
      <w:numFmt w:val="decimal"/>
      <w:start w:val="2"/>
    </w:lvl>
    <w:lvl w:ilvl="1">
      <w:lvlJc w:val="left"/>
      <w:lvlText w:val=","/>
      <w:numFmt w:val="bullet"/>
      <w:start w:val="1"/>
    </w:lvl>
    <w:lvl w:ilvl="2">
      <w:lvlJc w:val="left"/>
      <w:lvlText w:val="%3"/>
      <w:numFmt w:val="lowerLetter"/>
      <w:start w:val="1"/>
    </w:lvl>
  </w:abstractNum>
  <w:abstractNum w:abstractNumId="170">
    <w:nsid w:val="44344C22"/>
    <w:multiLevelType w:val="hybridMultilevel"/>
    <w:lvl w:ilvl="0">
      <w:lvlJc w:val="left"/>
      <w:lvlText w:val="(%1)"/>
      <w:numFmt w:val="decimal"/>
      <w:start w:val="1"/>
    </w:lvl>
  </w:abstractNum>
  <w:abstractNum w:abstractNumId="171">
    <w:nsid w:val="13CDFCFC"/>
    <w:multiLevelType w:val="hybridMultilevel"/>
    <w:lvl w:ilvl="0">
      <w:lvlJc w:val="left"/>
      <w:lvlText w:val="(%1)"/>
      <w:numFmt w:val="decimal"/>
      <w:start w:val="1"/>
    </w:lvl>
  </w:abstractNum>
  <w:abstractNum w:abstractNumId="172">
    <w:nsid w:val="471745E4"/>
    <w:multiLevelType w:val="hybridMultilevel"/>
    <w:lvl w:ilvl="0">
      <w:lvlJc w:val="left"/>
      <w:lvlText w:val="(%1)"/>
      <w:numFmt w:val="decimal"/>
      <w:start w:val="1"/>
    </w:lvl>
  </w:abstractNum>
  <w:abstractNum w:abstractNumId="173">
    <w:nsid w:val="1DDBC66"/>
    <w:multiLevelType w:val="hybridMultilevel"/>
    <w:lvl w:ilvl="0">
      <w:lvlJc w:val="left"/>
      <w:lvlText w:val="(%1)"/>
      <w:numFmt w:val="lowerLetter"/>
      <w:start w:val="1"/>
    </w:lvl>
  </w:abstractNum>
  <w:abstractNum w:abstractNumId="174">
    <w:nsid w:val="30AADFDA"/>
    <w:multiLevelType w:val="hybridMultilevel"/>
    <w:lvl w:ilvl="0">
      <w:lvlJc w:val="left"/>
      <w:lvlText w:val="(%1)"/>
      <w:numFmt w:val="lowerLetter"/>
      <w:start w:val="1"/>
    </w:lvl>
    <w:lvl w:ilvl="1">
      <w:lvlJc w:val="left"/>
      <w:lvlText w:val="(%2)"/>
      <w:numFmt w:val="lowerLetter"/>
      <w:start w:val="2"/>
    </w:lvl>
  </w:abstractNum>
  <w:abstractNum w:abstractNumId="175">
    <w:nsid w:val="30EADA61"/>
    <w:multiLevelType w:val="hybridMultilevel"/>
    <w:lvl w:ilvl="0">
      <w:lvlJc w:val="left"/>
      <w:lvlText w:val="%1"/>
      <w:numFmt w:val="lowerLetter"/>
      <w:start w:val="1"/>
    </w:lvl>
    <w:lvl w:ilvl="1">
      <w:lvlJc w:val="left"/>
      <w:lvlText w:val="(%2)"/>
      <w:numFmt w:val="lowerLetter"/>
      <w:start w:val="35"/>
    </w:lvl>
  </w:abstractNum>
  <w:abstractNum w:abstractNumId="176">
    <w:nsid w:val="27179C0B"/>
    <w:multiLevelType w:val="hybridMultilevel"/>
    <w:lvl w:ilvl="0">
      <w:lvlJc w:val="left"/>
      <w:lvlText w:val="(%1)"/>
      <w:numFmt w:val="lowerLetter"/>
      <w:start w:val="4"/>
    </w:lvl>
    <w:lvl w:ilvl="1">
      <w:lvlJc w:val="left"/>
      <w:lvlText w:val="%2"/>
      <w:numFmt w:val="lowerLetter"/>
      <w:start w:val="1"/>
    </w:lvl>
  </w:abstractNum>
  <w:abstractNum w:abstractNumId="177">
    <w:nsid w:val="5E636063"/>
    <w:multiLevelType w:val="hybridMultilevel"/>
    <w:lvl w:ilvl="0">
      <w:lvlJc w:val="left"/>
      <w:lvlText w:val="(%1)"/>
      <w:numFmt w:val="lowerLetter"/>
      <w:start w:val="35"/>
    </w:lvl>
    <w:lvl w:ilvl="1">
      <w:lvlJc w:val="left"/>
      <w:lvlText w:val="(%2)"/>
      <w:numFmt w:val="lowerLetter"/>
      <w:start w:val="1"/>
    </w:lvl>
  </w:abstractNum>
  <w:abstractNum w:abstractNumId="178">
    <w:nsid w:val="215641AF"/>
    <w:multiLevelType w:val="hybridMultilevel"/>
    <w:lvl w:ilvl="0">
      <w:lvlJc w:val="left"/>
      <w:lvlText w:val="(%1)"/>
      <w:numFmt w:val="lowerRoman"/>
      <w:start w:val="3"/>
    </w:lvl>
  </w:abstractNum>
  <w:abstractNum w:abstractNumId="179">
    <w:nsid w:val="53280662"/>
    <w:multiLevelType w:val="hybridMultilevel"/>
    <w:lvl w:ilvl="0">
      <w:lvlJc w:val="left"/>
      <w:lvlText w:val="(%1)"/>
      <w:numFmt w:val="lowerLetter"/>
      <w:start w:val="6"/>
    </w:lvl>
  </w:abstractNum>
  <w:abstractNum w:abstractNumId="180">
    <w:nsid w:val="46B24DBC"/>
    <w:multiLevelType w:val="hybridMultilevel"/>
    <w:lvl w:ilvl="0">
      <w:lvlJc w:val="left"/>
      <w:lvlText w:val="(%1)"/>
      <w:numFmt w:val="lowerLetter"/>
      <w:start w:val="1"/>
    </w:lvl>
    <w:lvl w:ilvl="1">
      <w:lvlJc w:val="left"/>
      <w:lvlText w:val="(%2)"/>
      <w:numFmt w:val="decimal"/>
      <w:start w:val="1"/>
    </w:lvl>
  </w:abstractNum>
  <w:abstractNum w:abstractNumId="181">
    <w:nsid w:val="75B52783"/>
    <w:multiLevelType w:val="hybridMultilevel"/>
    <w:lvl w:ilvl="0">
      <w:lvlJc w:val="left"/>
      <w:lvlText w:val="(%1)"/>
      <w:numFmt w:val="lowerLetter"/>
      <w:start w:val="2"/>
    </w:lvl>
  </w:abstractNum>
  <w:abstractNum w:abstractNumId="182">
    <w:nsid w:val="57CE66B4"/>
    <w:multiLevelType w:val="hybridMultilevel"/>
    <w:lvl w:ilvl="0">
      <w:lvlJc w:val="left"/>
      <w:lvlText w:val="(%1)"/>
      <w:numFmt w:val="lowerLetter"/>
      <w:start w:val="5"/>
    </w:lvl>
    <w:lvl w:ilvl="1">
      <w:lvlJc w:val="left"/>
      <w:lvlText w:val="(%2)"/>
      <w:numFmt w:val="lowerLetter"/>
      <w:start w:val="5"/>
    </w:lvl>
  </w:abstractNum>
  <w:abstractNum w:abstractNumId="183">
    <w:nsid w:val="67A70B69"/>
    <w:multiLevelType w:val="hybridMultilevel"/>
    <w:lvl w:ilvl="0">
      <w:lvlJc w:val="left"/>
      <w:lvlText w:val="(%1)"/>
      <w:numFmt w:val="lowerLetter"/>
      <w:start w:val="1"/>
    </w:lvl>
  </w:abstractNum>
  <w:abstractNum w:abstractNumId="184">
    <w:nsid w:val="5953172F"/>
    <w:multiLevelType w:val="hybridMultilevel"/>
    <w:lvl w:ilvl="0">
      <w:lvlJc w:val="left"/>
      <w:lvlText w:val="(%1)"/>
      <w:numFmt w:val="lowerLetter"/>
      <w:start w:val="3"/>
    </w:lvl>
  </w:abstractNum>
  <w:abstractNum w:abstractNumId="185">
    <w:nsid w:val="27EDFE3A"/>
    <w:multiLevelType w:val="hybridMultilevel"/>
    <w:lvl w:ilvl="0">
      <w:lvlJc w:val="left"/>
      <w:lvlText w:val="(%1)"/>
      <w:numFmt w:val="lowerLetter"/>
      <w:start w:val="2"/>
    </w:lvl>
  </w:abstractNum>
  <w:abstractNum w:abstractNumId="186">
    <w:nsid w:val="52AC7DFF"/>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1"/>
    </w:lvl>
  </w:abstractNum>
  <w:abstractNum w:abstractNumId="187">
    <w:nsid w:val="C4C3AF"/>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1"/>
    </w:lvl>
  </w:abstractNum>
  <w:abstractNum w:abstractNumId="188">
    <w:nsid w:val="44380727"/>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189">
    <w:nsid w:val="6C053B16"/>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190">
    <w:nsid w:val="4F294393"/>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191">
    <w:nsid w:val="5243BFAC"/>
    <w:multiLevelType w:val="hybridMultilevel"/>
    <w:lvl w:ilvl="0">
      <w:lvlJc w:val="left"/>
      <w:lvlText w:val="(%1)"/>
      <w:numFmt w:val="lowerLetter"/>
      <w:start w:val="1"/>
    </w:lvl>
  </w:abstractNum>
  <w:abstractNum w:abstractNumId="192">
    <w:nsid w:val="425EB207"/>
    <w:multiLevelType w:val="hybridMultilevel"/>
    <w:lvl w:ilvl="0">
      <w:lvlJc w:val="left"/>
      <w:lvlText w:val="(%1)"/>
      <w:numFmt w:val="lowerLetter"/>
      <w:start w:val="2"/>
    </w:lvl>
  </w:abstractNum>
  <w:abstractNum w:abstractNumId="193">
    <w:nsid w:val="334A6F1F"/>
    <w:multiLevelType w:val="hybridMultilevel"/>
    <w:lvl w:ilvl="0">
      <w:lvlJc w:val="left"/>
      <w:lvlText w:val="(%1)"/>
      <w:numFmt w:val="lowerLetter"/>
      <w:start w:val="1"/>
    </w:lvl>
  </w:abstractNum>
  <w:abstractNum w:abstractNumId="194">
    <w:nsid w:val="2E5B12B8"/>
    <w:multiLevelType w:val="hybridMultilevel"/>
    <w:lvl w:ilvl="0">
      <w:lvlJc w:val="left"/>
      <w:lvlText w:val="(%1)"/>
      <w:numFmt w:val="lowerLetter"/>
      <w:start w:val="2"/>
    </w:lvl>
  </w:abstractNum>
  <w:abstractNum w:abstractNumId="195">
    <w:nsid w:val="5C03D76D"/>
    <w:multiLevelType w:val="hybridMultilevel"/>
    <w:lvl w:ilvl="0">
      <w:lvlJc w:val="left"/>
      <w:lvlText w:val="(%1)"/>
      <w:numFmt w:val="lowerLetter"/>
      <w:start w:val="1"/>
    </w:lvl>
  </w:abstractNum>
  <w:abstractNum w:abstractNumId="196">
    <w:nsid w:val="66A48D11"/>
    <w:multiLevelType w:val="hybridMultilevel"/>
    <w:lvl w:ilvl="0">
      <w:lvlJc w:val="left"/>
      <w:lvlText w:val="(%1)"/>
      <w:numFmt w:val="lowerLetter"/>
      <w:start w:val="2"/>
    </w:lvl>
  </w:abstractNum>
  <w:abstractNum w:abstractNumId="197">
    <w:nsid w:val="56C28E34"/>
    <w:multiLevelType w:val="hybridMultilevel"/>
    <w:lvl w:ilvl="0">
      <w:lvlJc w:val="left"/>
      <w:lvlText w:val="(%1)"/>
      <w:numFmt w:val="lowerLetter"/>
      <w:start w:val="1"/>
    </w:lvl>
  </w:abstractNum>
  <w:abstractNum w:abstractNumId="198">
    <w:nsid w:val="13916F2D"/>
    <w:multiLevelType w:val="hybridMultilevel"/>
    <w:lvl w:ilvl="0">
      <w:lvlJc w:val="left"/>
      <w:lvlText w:val="(%1)"/>
      <w:numFmt w:val="lowerLetter"/>
      <w:start w:val="1"/>
    </w:lvl>
  </w:abstractNum>
  <w:abstractNum w:abstractNumId="199">
    <w:nsid w:val="435D38D"/>
    <w:multiLevelType w:val="hybridMultilevel"/>
    <w:lvl w:ilvl="0">
      <w:lvlJc w:val="left"/>
      <w:lvlText w:val="%1"/>
      <w:numFmt w:val="upperLetter"/>
      <w:start w:val="1"/>
    </w:lvl>
    <w:lvl w:ilvl="1">
      <w:lvlJc w:val="left"/>
      <w:lvlText w:val="(%2)"/>
      <w:numFmt w:val="lowerLetter"/>
      <w:start w:val="2"/>
    </w:lvl>
  </w:abstractNum>
  <w:abstractNum w:abstractNumId="200">
    <w:nsid w:val="822C0EF"/>
    <w:multiLevelType w:val="hybridMultilevel"/>
    <w:lvl w:ilvl="0">
      <w:lvlJc w:val="left"/>
      <w:lvlText w:val="(%1)"/>
      <w:numFmt w:val="upperLetter"/>
      <w:start w:val="2"/>
    </w:lvl>
    <w:lvl w:ilvl="1">
      <w:lvlJc w:val="left"/>
      <w:lvlText w:val="%2"/>
      <w:numFmt w:val="lowerLetter"/>
      <w:start w:val="1"/>
    </w:lvl>
  </w:abstractNum>
  <w:abstractNum w:abstractNumId="201">
    <w:nsid w:val="57C5BB4F"/>
    <w:multiLevelType w:val="hybridMultilevel"/>
    <w:lvl w:ilvl="0">
      <w:lvlJc w:val="left"/>
      <w:lvlText w:val="%1"/>
      <w:numFmt w:val="lowerLetter"/>
      <w:start w:val="1"/>
    </w:lvl>
    <w:lvl w:ilvl="1">
      <w:lvlJc w:val="left"/>
      <w:lvlText w:val="(%2)"/>
      <w:numFmt w:val="lowerLetter"/>
      <w:start w:val="1"/>
    </w:lvl>
  </w:abstractNum>
  <w:abstractNum w:abstractNumId="202">
    <w:nsid w:val="1803D089"/>
    <w:multiLevelType w:val="hybridMultilevel"/>
    <w:lvl w:ilvl="0">
      <w:lvlJc w:val="left"/>
      <w:lvlText w:val="(%1)"/>
      <w:numFmt w:val="lowerLetter"/>
      <w:start w:val="35"/>
    </w:lvl>
    <w:lvl w:ilvl="1">
      <w:lvlJc w:val="left"/>
      <w:lvlText w:val="%2"/>
      <w:numFmt w:val="lowerLetter"/>
      <w:start w:val="1"/>
    </w:lvl>
  </w:abstractNum>
  <w:abstractNum w:abstractNumId="203">
    <w:nsid w:val="4F3A06D4"/>
    <w:multiLevelType w:val="hybridMultilevel"/>
    <w:lvl w:ilvl="0">
      <w:lvlJc w:val="left"/>
      <w:lvlText w:val="(%1)"/>
      <w:numFmt w:val="lowerLetter"/>
      <w:start w:val="4"/>
    </w:lvl>
  </w:abstractNum>
  <w:abstractNum w:abstractNumId="204">
    <w:nsid w:val="59A377B6"/>
    <w:multiLevelType w:val="hybridMultilevel"/>
    <w:lvl w:ilvl="0">
      <w:lvlJc w:val="left"/>
      <w:lvlText w:val="%1"/>
      <w:numFmt w:val="lowerLetter"/>
      <w:start w:val="1"/>
    </w:lvl>
    <w:lvl w:ilvl="1">
      <w:lvlJc w:val="left"/>
      <w:lvlText w:val="(%2)"/>
      <w:numFmt w:val="lowerLetter"/>
      <w:start w:val="12"/>
    </w:lvl>
  </w:abstractNum>
  <w:abstractNum w:abstractNumId="205">
    <w:nsid w:val="48AEB063"/>
    <w:multiLevelType w:val="hybridMultilevel"/>
    <w:lvl w:ilvl="0">
      <w:lvlJc w:val="left"/>
      <w:lvlText w:val="(%1)"/>
      <w:numFmt w:val="lowerLetter"/>
      <w:start w:val="13"/>
    </w:lvl>
    <w:lvl w:ilvl="1">
      <w:lvlJc w:val="left"/>
      <w:lvlText w:val="%2"/>
      <w:numFmt w:val="lowerLetter"/>
      <w:start w:val="1"/>
    </w:lvl>
  </w:abstractNum>
  <w:abstractNum w:abstractNumId="206">
    <w:nsid w:val="24E135"/>
    <w:multiLevelType w:val="hybridMultilevel"/>
    <w:lvl w:ilvl="0">
      <w:lvlJc w:val="left"/>
      <w:lvlText w:val="%1"/>
      <w:numFmt w:val="lowerLetter"/>
      <w:start w:val="1"/>
    </w:lvl>
    <w:lvl w:ilvl="1">
      <w:lvlJc w:val="left"/>
      <w:lvlText w:val="(%2)"/>
      <w:numFmt w:val="lowerLetter"/>
      <w:start w:val="14"/>
    </w:lvl>
  </w:abstractNum>
  <w:abstractNum w:abstractNumId="207">
    <w:nsid w:val="BB13C1"/>
    <w:multiLevelType w:val="hybridMultilevel"/>
    <w:lvl w:ilvl="0">
      <w:lvlJc w:val="left"/>
      <w:lvlText w:val="(%1)"/>
      <w:numFmt w:val="lowerLetter"/>
      <w:start w:val="9"/>
    </w:lvl>
    <w:lvl w:ilvl="1">
      <w:lvlJc w:val="left"/>
      <w:lvlText w:val="(%2)"/>
      <w:numFmt w:val="lowerLetter"/>
      <w:start w:val="16"/>
    </w:lvl>
  </w:abstractNum>
  <w:abstractNum w:abstractNumId="208">
    <w:nsid w:val="271210C7"/>
    <w:multiLevelType w:val="hybridMultilevel"/>
    <w:lvl w:ilvl="0">
      <w:lvlJc w:val="left"/>
      <w:lvlText w:val="(%1)"/>
      <w:numFmt w:val="lowerLetter"/>
      <w:start w:val="23"/>
    </w:lvl>
  </w:abstractNum>
  <w:abstractNum w:abstractNumId="209">
    <w:nsid w:val="217B22E4"/>
    <w:multiLevelType w:val="hybridMultilevel"/>
    <w:lvl w:ilvl="0">
      <w:lvlJc w:val="left"/>
      <w:lvlText w:val="%1"/>
      <w:numFmt w:val="lowerLetter"/>
      <w:start w:val="1"/>
    </w:lvl>
    <w:lvl w:ilvl="1">
      <w:lvlJc w:val="left"/>
      <w:lvlText w:val="(%2)"/>
      <w:numFmt w:val="lowerLetter"/>
      <w:start w:val="1"/>
    </w:lvl>
  </w:abstractNum>
  <w:abstractNum w:abstractNumId="210">
    <w:nsid w:val="53E31A24"/>
    <w:multiLevelType w:val="hybridMultilevel"/>
    <w:lvl w:ilvl="0">
      <w:lvlJc w:val="left"/>
      <w:lvlText w:val="(%1)"/>
      <w:numFmt w:val="lowerLetter"/>
      <w:start w:val="9"/>
    </w:lvl>
    <w:lvl w:ilvl="1">
      <w:lvlJc w:val="left"/>
      <w:lvlText w:val="(%2)"/>
      <w:numFmt w:val="lowerLetter"/>
      <w:start w:val="3"/>
    </w:lvl>
  </w:abstractNum>
  <w:abstractNum w:abstractNumId="211">
    <w:nsid w:val="6DC45E83"/>
    <w:multiLevelType w:val="hybridMultilevel"/>
    <w:lvl w:ilvl="0">
      <w:lvlJc w:val="left"/>
      <w:lvlText w:val="%1"/>
      <w:numFmt w:val="lowerLetter"/>
      <w:start w:val="1"/>
    </w:lvl>
    <w:lvl w:ilvl="1">
      <w:lvlJc w:val="left"/>
      <w:lvlText w:val="(%2)"/>
      <w:numFmt w:val="lowerLetter"/>
      <w:start w:val="7"/>
    </w:lvl>
  </w:abstractNum>
  <w:abstractNum w:abstractNumId="212">
    <w:nsid w:val="17304A67"/>
    <w:multiLevelType w:val="hybridMultilevel"/>
    <w:lvl w:ilvl="0">
      <w:lvlJc w:val="left"/>
      <w:lvlText w:val="(%1)"/>
      <w:numFmt w:val="lowerLetter"/>
      <w:start w:val="9"/>
    </w:lvl>
    <w:lvl w:ilvl="1">
      <w:lvlJc w:val="left"/>
      <w:lvlText w:val="(%2)"/>
      <w:numFmt w:val="lowerLetter"/>
      <w:start w:val="10"/>
    </w:lvl>
  </w:abstractNum>
  <w:abstractNum w:abstractNumId="213">
    <w:nsid w:val="2BB180D8"/>
    <w:multiLevelType w:val="hybridMultilevel"/>
    <w:lvl w:ilvl="0">
      <w:lvlJc w:val="left"/>
      <w:lvlText w:val="(%1)"/>
      <w:numFmt w:val="lowerLetter"/>
      <w:start w:val="2"/>
    </w:lvl>
  </w:abstractNum>
  <w:abstractNum w:abstractNumId="214">
    <w:nsid w:val="556B69ED"/>
    <w:multiLevelType w:val="hybridMultilevel"/>
    <w:lvl w:ilvl="0">
      <w:lvlJc w:val="left"/>
      <w:lvlText w:val="(%1)"/>
      <w:numFmt w:val="lowerLetter"/>
      <w:start w:val="1"/>
    </w:lvl>
  </w:abstractNum>
  <w:abstractNum w:abstractNumId="215">
    <w:nsid w:val="70836196"/>
    <w:multiLevelType w:val="hybridMultilevel"/>
    <w:lvl w:ilvl="0">
      <w:lvlJc w:val="left"/>
      <w:lvlText w:val="(%1)"/>
      <w:numFmt w:val="lowerLetter"/>
      <w:start w:val="3"/>
    </w:lvl>
  </w:abstractNum>
  <w:abstractNum w:abstractNumId="216">
    <w:nsid w:val="539F7F12"/>
    <w:multiLevelType w:val="hybridMultilevel"/>
    <w:lvl w:ilvl="0">
      <w:lvlJc w:val="left"/>
      <w:lvlText w:val="(%1)"/>
      <w:numFmt w:val="lowerLetter"/>
      <w:start w:val="10"/>
    </w:lvl>
  </w:abstractNum>
  <w:abstractNum w:abstractNumId="217">
    <w:nsid w:val="2817E7EC"/>
    <w:multiLevelType w:val="hybridMultilevel"/>
    <w:lvl w:ilvl="0">
      <w:lvlJc w:val="left"/>
      <w:lvlText w:val="(%1)"/>
      <w:numFmt w:val="lowerLetter"/>
      <w:start w:val="14"/>
    </w:lvl>
  </w:abstractNum>
  <w:abstractNum w:abstractNumId="218">
    <w:nsid w:val="71482545"/>
    <w:multiLevelType w:val="hybridMultilevel"/>
    <w:lvl w:ilvl="0">
      <w:lvlJc w:val="left"/>
      <w:lvlText w:val="(%1)"/>
      <w:numFmt w:val="lowerLetter"/>
      <w:start w:val="1"/>
    </w:lvl>
  </w:abstractNum>
  <w:abstractNum w:abstractNumId="219">
    <w:nsid w:val="17D78639"/>
    <w:multiLevelType w:val="hybridMultilevel"/>
    <w:lvl w:ilvl="0">
      <w:lvlJc w:val="left"/>
      <w:lvlText w:val="(%1)"/>
      <w:numFmt w:val="lowerLetter"/>
      <w:start w:val="4"/>
    </w:lvl>
  </w:abstractNum>
  <w:abstractNum w:abstractNumId="220">
    <w:nsid w:val="141D2302"/>
    <w:multiLevelType w:val="hybridMultilevel"/>
    <w:lvl w:ilvl="0">
      <w:lvlJc w:val="left"/>
      <w:lvlText w:val="%1"/>
      <w:numFmt w:val="lowerLetter"/>
      <w:start w:val="1"/>
    </w:lvl>
    <w:lvl w:ilvl="1">
      <w:lvlJc w:val="left"/>
      <w:lvlText w:val="(%2)"/>
      <w:numFmt w:val="lowerLetter"/>
      <w:start w:val="1"/>
    </w:lvl>
  </w:abstractNum>
  <w:abstractNum w:abstractNumId="221">
    <w:nsid w:val="407168D8"/>
    <w:multiLevelType w:val="hybridMultilevel"/>
    <w:lvl w:ilvl="0">
      <w:lvlJc w:val="left"/>
      <w:lvlText w:val="(%1)"/>
      <w:numFmt w:val="lowerLetter"/>
      <w:start w:val="2"/>
    </w:lvl>
    <w:lvl w:ilvl="1">
      <w:lvlJc w:val="left"/>
      <w:lvlText w:val="%2"/>
      <w:numFmt w:val="lowerLetter"/>
      <w:start w:val="1"/>
    </w:lvl>
  </w:abstractNum>
  <w:abstractNum w:abstractNumId="222">
    <w:nsid w:val="6A1B45E5"/>
    <w:multiLevelType w:val="hybridMultilevel"/>
    <w:lvl w:ilvl="0">
      <w:lvlJc w:val="left"/>
      <w:lvlText w:val="(%1)"/>
      <w:numFmt w:val="lowerLetter"/>
      <w:start w:val="3"/>
    </w:lvl>
  </w:abstractNum>
  <w:abstractNum w:abstractNumId="223">
    <w:nsid w:val="567BD50A"/>
    <w:multiLevelType w:val="hybridMultilevel"/>
    <w:lvl w:ilvl="0">
      <w:lvlJc w:val="left"/>
      <w:lvlText w:val="%1"/>
      <w:numFmt w:val="lowerLetter"/>
      <w:start w:val="1"/>
    </w:lvl>
    <w:lvl w:ilvl="1">
      <w:lvlJc w:val="left"/>
      <w:lvlText w:val="(%2)"/>
      <w:numFmt w:val="lowerLetter"/>
      <w:start w:val="8"/>
    </w:lvl>
  </w:abstractNum>
  <w:abstractNum w:abstractNumId="224">
    <w:nsid w:val="73BBD7F8"/>
    <w:multiLevelType w:val="hybridMultilevel"/>
    <w:lvl w:ilvl="0">
      <w:lvlJc w:val="left"/>
      <w:lvlText w:val="(%1)"/>
      <w:numFmt w:val="lowerLetter"/>
      <w:start w:val="9"/>
    </w:lvl>
    <w:lvl w:ilvl="1">
      <w:lvlJc w:val="left"/>
      <w:lvlText w:val="%2"/>
      <w:numFmt w:val="lowerLetter"/>
      <w:start w:val="1"/>
    </w:lvl>
  </w:abstractNum>
  <w:abstractNum w:abstractNumId="225">
    <w:nsid w:val="1876589D"/>
    <w:multiLevelType w:val="hybridMultilevel"/>
    <w:lvl w:ilvl="0">
      <w:lvlJc w:val="left"/>
      <w:lvlText w:val="(%1)"/>
      <w:numFmt w:val="lowerLetter"/>
      <w:start w:val="10"/>
    </w:lvl>
  </w:abstractNum>
  <w:abstractNum w:abstractNumId="226">
    <w:nsid w:val="327FAC77"/>
    <w:multiLevelType w:val="hybridMultilevel"/>
    <w:lvl w:ilvl="0">
      <w:lvlJc w:val="left"/>
      <w:lvlText w:val="(%1)"/>
      <w:numFmt w:val="lowerLetter"/>
      <w:start w:val="1"/>
    </w:lvl>
  </w:abstractNum>
  <w:abstractNum w:abstractNumId="227">
    <w:nsid w:val="5A606509"/>
    <w:multiLevelType w:val="hybridMultilevel"/>
    <w:lvl w:ilvl="0">
      <w:lvlJc w:val="left"/>
      <w:lvlText w:val="(%1)"/>
      <w:numFmt w:val="lowerRoman"/>
      <w:start w:val="1"/>
    </w:lvl>
  </w:abstractNum>
  <w:abstractNum w:abstractNumId="228">
    <w:nsid w:val="6F38E6D1"/>
    <w:multiLevelType w:val="hybridMultilevel"/>
    <w:lvl w:ilvl="0">
      <w:lvlJc w:val="left"/>
      <w:lvlText w:val="(%1)"/>
      <w:numFmt w:val="lowerLetter"/>
      <w:start w:val="2"/>
    </w:lvl>
    <w:lvl w:ilvl="1">
      <w:lvlJc w:val="left"/>
      <w:lvlText w:val="(%2)"/>
      <w:numFmt w:val="decimal"/>
      <w:start w:val="1"/>
    </w:lvl>
  </w:abstractNum>
  <w:abstractNum w:abstractNumId="229">
    <w:nsid w:val="46111BA5"/>
    <w:multiLevelType w:val="hybridMultilevel"/>
    <w:lvl w:ilvl="0">
      <w:lvlJc w:val="left"/>
      <w:lvlText w:val="%1"/>
      <w:numFmt w:val="lowerLetter"/>
      <w:start w:val="1"/>
    </w:lvl>
    <w:lvl w:ilvl="1">
      <w:lvlJc w:val="left"/>
      <w:lvlText w:val="(%2)"/>
      <w:numFmt w:val="decimal"/>
      <w:start w:val="4"/>
    </w:lvl>
  </w:abstractNum>
  <w:abstractNum w:abstractNumId="230">
    <w:nsid w:val="5E963896"/>
    <w:multiLevelType w:val="hybridMultilevel"/>
    <w:lvl w:ilvl="0">
      <w:lvlJc w:val="left"/>
      <w:lvlText w:val="(%1)"/>
      <w:numFmt w:val="lowerLetter"/>
      <w:start w:val="5"/>
    </w:lvl>
    <w:lvl w:ilvl="1">
      <w:lvlJc w:val="left"/>
      <w:lvlText w:val="%2"/>
      <w:numFmt w:val="decimal"/>
      <w:start w:val="1"/>
    </w:lvl>
  </w:abstractNum>
  <w:abstractNum w:abstractNumId="231">
    <w:nsid w:val="775BA7C1"/>
    <w:multiLevelType w:val="hybridMultilevel"/>
    <w:lvl w:ilvl="0">
      <w:lvlJc w:val="left"/>
      <w:lvlText w:val="(%1)"/>
      <w:numFmt w:val="lowerLetter"/>
      <w:start w:val="1"/>
    </w:lvl>
  </w:abstractNum>
  <w:abstractNum w:abstractNumId="232">
    <w:nsid w:val="1DD6D6F4"/>
    <w:multiLevelType w:val="hybridMultilevel"/>
    <w:lvl w:ilvl="0">
      <w:lvlJc w:val="left"/>
      <w:lvlText w:val="(%1)"/>
      <w:numFmt w:val="lowerLetter"/>
      <w:start w:val="3"/>
    </w:lvl>
  </w:abstractNum>
  <w:abstractNum w:abstractNumId="233">
    <w:nsid w:val="769A091F"/>
    <w:multiLevelType w:val="hybridMultilevel"/>
    <w:lvl w:ilvl="0">
      <w:lvlJc w:val="left"/>
      <w:lvlText w:val="(%1)"/>
      <w:numFmt w:val="lowerLetter"/>
      <w:start w:val="2"/>
    </w:lvl>
  </w:abstractNum>
  <w:abstractNum w:abstractNumId="234">
    <w:nsid w:val="4695AE95"/>
    <w:multiLevelType w:val="hybridMultilevel"/>
    <w:lvl w:ilvl="0">
      <w:lvlJc w:val="left"/>
      <w:lvlText w:val="(%1)"/>
      <w:numFmt w:val="lowerLetter"/>
      <w:start w:val="3"/>
    </w:lvl>
    <w:lvl w:ilvl="1">
      <w:lvlJc w:val="left"/>
      <w:lvlText w:val="(%2)"/>
      <w:numFmt w:val="decimal"/>
      <w:start w:val="1"/>
    </w:lvl>
  </w:abstractNum>
  <w:abstractNum w:abstractNumId="235">
    <w:nsid w:val="777A4EAA"/>
    <w:multiLevelType w:val="hybridMultilevel"/>
    <w:lvl w:ilvl="0">
      <w:lvlJc w:val="left"/>
      <w:lvlText w:val="(%1)"/>
      <w:numFmt w:val="decimal"/>
      <w:start w:val="1"/>
    </w:lvl>
  </w:abstractNum>
  <w:abstractNum w:abstractNumId="236">
    <w:nsid w:val="3F48B982"/>
    <w:multiLevelType w:val="hybridMultilevel"/>
    <w:lvl w:ilvl="0">
      <w:lvlJc w:val="left"/>
      <w:lvlText w:val="(%1)"/>
      <w:numFmt w:val="lowerLetter"/>
      <w:start w:val="7"/>
    </w:lvl>
  </w:abstractNum>
  <w:abstractNum w:abstractNumId="237">
    <w:nsid w:val="46BA8FCA"/>
    <w:multiLevelType w:val="hybridMultilevel"/>
    <w:lvl w:ilvl="0">
      <w:lvlJc w:val="left"/>
      <w:lvlText w:val="(%1)"/>
      <w:numFmt w:val="lowerLetter"/>
      <w:start w:val="1"/>
    </w:lvl>
  </w:abstractNum>
  <w:abstractNum w:abstractNumId="238">
    <w:nsid w:val="7835626C"/>
    <w:multiLevelType w:val="hybridMultilevel"/>
    <w:lvl w:ilvl="0">
      <w:lvlJc w:val="left"/>
      <w:lvlText w:val="(%1)"/>
      <w:numFmt w:val="lowerLetter"/>
      <w:start w:val="2"/>
    </w:lvl>
  </w:abstractNum>
  <w:abstractNum w:abstractNumId="239">
    <w:nsid w:val="665ACA49"/>
    <w:multiLevelType w:val="hybridMultilevel"/>
    <w:lvl w:ilvl="0">
      <w:lvlJc w:val="left"/>
      <w:lvlText w:val="(%1)"/>
      <w:numFmt w:val="lowerLetter"/>
      <w:start w:val="2"/>
    </w:lvl>
  </w:abstractNum>
  <w:abstractNum w:abstractNumId="240">
    <w:nsid w:val="6835B2AE"/>
    <w:multiLevelType w:val="hybridMultilevel"/>
    <w:lvl w:ilvl="0">
      <w:lvlJc w:val="left"/>
      <w:lvlText w:val="(%1)"/>
      <w:numFmt w:val="lowerLetter"/>
      <w:start w:val="6"/>
    </w:lvl>
  </w:abstractNum>
  <w:abstractNum w:abstractNumId="241">
    <w:nsid w:val="4C187C90"/>
    <w:multiLevelType w:val="hybridMultilevel"/>
    <w:lvl w:ilvl="0">
      <w:lvlJc w:val="left"/>
      <w:lvlText w:val="(%1)"/>
      <w:numFmt w:val="lowerLetter"/>
      <w:start w:val="2"/>
    </w:lvl>
  </w:abstractNum>
  <w:abstractNum w:abstractNumId="242">
    <w:nsid w:val="541F28CD"/>
    <w:multiLevelType w:val="hybridMultilevel"/>
    <w:lvl w:ilvl="0">
      <w:lvlJc w:val="left"/>
      <w:lvlText w:val="(%1)"/>
      <w:numFmt w:val="lowerLetter"/>
      <w:start w:val="2"/>
    </w:lvl>
  </w:abstractNum>
  <w:abstractNum w:abstractNumId="243">
    <w:nsid w:val="7F65FD16"/>
    <w:multiLevelType w:val="hybridMultilevel"/>
    <w:lvl w:ilvl="0">
      <w:lvlJc w:val="left"/>
      <w:lvlText w:val="(%1)"/>
      <w:numFmt w:val="decimal"/>
      <w:start w:val="1"/>
    </w:lvl>
  </w:abstractNum>
  <w:abstractNum w:abstractNumId="244">
    <w:nsid w:val="77C9FD68"/>
    <w:multiLevelType w:val="hybridMultilevel"/>
    <w:lvl w:ilvl="0">
      <w:lvlJc w:val="left"/>
      <w:lvlText w:val="(%1)"/>
      <w:numFmt w:val="decimal"/>
      <w:start w:val="3"/>
    </w:lvl>
  </w:abstractNum>
  <w:abstractNum w:abstractNumId="245">
    <w:nsid w:val="298A92BA"/>
    <w:multiLevelType w:val="hybridMultilevel"/>
    <w:lvl w:ilvl="0">
      <w:lvlJc w:val="left"/>
      <w:lvlText w:val="(%1)"/>
      <w:numFmt w:val="decimal"/>
      <w:start w:val="1"/>
    </w:lvl>
  </w:abstractNum>
  <w:abstractNum w:abstractNumId="246">
    <w:nsid w:val="6FE95EAC"/>
    <w:multiLevelType w:val="hybridMultilevel"/>
    <w:lvl w:ilvl="0">
      <w:lvlJc w:val="left"/>
      <w:lvlText w:val="%1"/>
      <w:numFmt w:val="lowerLetter"/>
      <w:start w:val="1"/>
    </w:lvl>
    <w:lvl w:ilvl="1">
      <w:lvlJc w:val="left"/>
      <w:lvlText w:val="(%2)"/>
      <w:numFmt w:val="decimal"/>
      <w:start w:val="4"/>
    </w:lvl>
  </w:abstractNum>
  <w:abstractNum w:abstractNumId="247">
    <w:nsid w:val="4B697C7A"/>
    <w:multiLevelType w:val="hybridMultilevel"/>
    <w:lvl w:ilvl="0">
      <w:lvlJc w:val="left"/>
      <w:lvlText w:val="(%1)"/>
      <w:numFmt w:val="lowerLetter"/>
      <w:start w:val="2"/>
    </w:lvl>
    <w:lvl w:ilvl="1">
      <w:lvlJc w:val="left"/>
      <w:lvlText w:val="%2"/>
      <w:numFmt w:val="decimal"/>
      <w:start w:val="1"/>
    </w:lvl>
  </w:abstractNum>
  <w:abstractNum w:abstractNumId="248">
    <w:nsid w:val="51A27AA6"/>
    <w:multiLevelType w:val="hybridMultilevel"/>
    <w:lvl w:ilvl="0">
      <w:lvlJc w:val="left"/>
      <w:lvlText w:val="(%1)"/>
      <w:numFmt w:val="lowerLetter"/>
      <w:start w:val="1"/>
    </w:lvl>
  </w:abstractNum>
  <w:abstractNum w:abstractNumId="249">
    <w:nsid w:val="613183F2"/>
    <w:multiLevelType w:val="hybridMultilevel"/>
    <w:lvl w:ilvl="0">
      <w:lvlJc w:val="left"/>
      <w:lvlText w:val="(%1)"/>
      <w:numFmt w:val="lowerLetter"/>
      <w:start w:val="7"/>
    </w:lvl>
  </w:abstractNum>
  <w:abstractNum w:abstractNumId="250">
    <w:nsid w:val="634102B4"/>
    <w:multiLevelType w:val="hybridMultilevel"/>
    <w:lvl w:ilvl="0">
      <w:lvlJc w:val="left"/>
      <w:lvlText w:val="(%1)"/>
      <w:numFmt w:val="lowerLetter"/>
      <w:start w:val="25"/>
    </w:lvl>
    <w:lvl w:ilvl="1">
      <w:lvlJc w:val="left"/>
      <w:lvlText w:val="(%2)"/>
      <w:numFmt w:val="lowerLetter"/>
      <w:start w:val="9"/>
    </w:lvl>
  </w:abstractNum>
  <w:abstractNum w:abstractNumId="251">
    <w:nsid w:val="65BF9DA8"/>
    <w:multiLevelType w:val="hybridMultilevel"/>
    <w:lvl w:ilvl="0">
      <w:lvlJc w:val="left"/>
      <w:lvlText w:val="(%1)"/>
      <w:numFmt w:val="decimal"/>
      <w:start w:val="1"/>
    </w:lvl>
  </w:abstractNum>
  <w:abstractNum w:abstractNumId="252">
    <w:nsid w:val="21A2ECCA"/>
    <w:multiLevelType w:val="hybridMultilevel"/>
    <w:lvl w:ilvl="0">
      <w:lvlJc w:val="left"/>
      <w:lvlText w:val="(%1)"/>
      <w:numFmt w:val="lowerLetter"/>
      <w:start w:val="2"/>
    </w:lvl>
  </w:abstractNum>
  <w:abstractNum w:abstractNumId="253">
    <w:nsid w:val="4D5C4899"/>
    <w:multiLevelType w:val="hybridMultilevel"/>
    <w:lvl w:ilvl="0">
      <w:lvlJc w:val="left"/>
      <w:lvlText w:val="(%1)"/>
      <w:numFmt w:val="lowerLetter"/>
      <w:start w:val="5"/>
    </w:lvl>
  </w:abstractNum>
  <w:abstractNum w:abstractNumId="254">
    <w:nsid w:val="3C3B72B2"/>
    <w:multiLevelType w:val="hybridMultilevel"/>
    <w:lvl w:ilvl="0">
      <w:lvlJc w:val="left"/>
      <w:lvlText w:val="%1"/>
      <w:numFmt w:val="lowerLetter"/>
      <w:start w:val="1"/>
    </w:lvl>
    <w:lvl w:ilvl="1">
      <w:lvlJc w:val="left"/>
      <w:lvlText w:val="(%2)"/>
      <w:numFmt w:val="lowerLetter"/>
      <w:start w:val="2"/>
    </w:lvl>
  </w:abstractNum>
  <w:abstractNum w:abstractNumId="255">
    <w:nsid w:val="155EC4C2"/>
    <w:multiLevelType w:val="hybridMultilevel"/>
    <w:lvl w:ilvl="0">
      <w:lvlJc w:val="left"/>
      <w:lvlText w:val="(%1)"/>
      <w:numFmt w:val="lowerLetter"/>
      <w:start w:val="61"/>
    </w:lvl>
    <w:lvl w:ilvl="1">
      <w:lvlJc w:val="left"/>
      <w:lvlText w:val="%2"/>
      <w:numFmt w:val="lowerLetter"/>
      <w:start w:val="1"/>
    </w:lvl>
  </w:abstractNum>
  <w:abstractNum w:abstractNumId="256">
    <w:nsid w:val="65D2A137"/>
    <w:multiLevelType w:val="hybridMultilevel"/>
    <w:lvl w:ilvl="0">
      <w:lvlJc w:val="left"/>
      <w:lvlText w:val="(%1)"/>
      <w:numFmt w:val="lowerLetter"/>
      <w:start w:val="3"/>
    </w:lvl>
  </w:abstractNum>
  <w:abstractNum w:abstractNumId="257">
    <w:nsid w:val="6EBB1F2A"/>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258">
    <w:nsid w:val="6FBF29CB"/>
    <w:multiLevelType w:val="hybridMultilevel"/>
    <w:lvl w:ilvl="0">
      <w:lvlJc w:val="left"/>
      <w:lvlText w:val="(%1)"/>
      <w:numFmt w:val="decimal"/>
      <w:start w:val="2"/>
    </w:lvl>
    <w:lvl w:ilvl="1">
      <w:lvlJc w:val="left"/>
      <w:lvlText w:val="(%2)"/>
      <w:numFmt w:val="lowerLetter"/>
      <w:start w:val="1"/>
    </w:lvl>
  </w:abstractNum>
  <w:abstractNum w:abstractNumId="259">
    <w:nsid w:val="550B8808"/>
    <w:multiLevelType w:val="hybridMultilevel"/>
    <w:lvl w:ilvl="0">
      <w:lvlJc w:val="left"/>
      <w:lvlText w:val="(%1)"/>
      <w:numFmt w:val="decimal"/>
      <w:start w:val="4"/>
    </w:lvl>
  </w:abstractNum>
  <w:abstractNum w:abstractNumId="260">
    <w:nsid w:val="34CC3ACF"/>
    <w:multiLevelType w:val="hybridMultilevel"/>
    <w:lvl w:ilvl="0">
      <w:lvlJc w:val="left"/>
      <w:lvlText w:val="(%1)"/>
      <w:numFmt w:val="lowerLetter"/>
      <w:start w:val="3"/>
    </w:lvl>
  </w:abstractNum>
  <w:abstractNum w:abstractNumId="261">
    <w:nsid w:val="4E556261"/>
    <w:multiLevelType w:val="hybridMultilevel"/>
    <w:lvl w:ilvl="0">
      <w:lvlJc w:val="left"/>
      <w:lvlText w:val="(%1)"/>
      <w:numFmt w:val="lowerLetter"/>
      <w:start w:val="4"/>
    </w:lvl>
    <w:lvl w:ilvl="1">
      <w:lvlJc w:val="left"/>
      <w:lvlText w:val="(%2)"/>
      <w:numFmt w:val="lowerLetter"/>
      <w:start w:val="35"/>
    </w:lvl>
  </w:abstractNum>
  <w:abstractNum w:abstractNumId="262">
    <w:nsid w:val="4C672FC9"/>
    <w:multiLevelType w:val="hybridMultilevel"/>
    <w:lvl w:ilvl="0">
      <w:lvlJc w:val="left"/>
      <w:lvlText w:val="(%1)"/>
      <w:numFmt w:val="lowerLetter"/>
      <w:start w:val="5"/>
    </w:lvl>
  </w:abstractNum>
  <w:abstractNum w:abstractNumId="263">
    <w:nsid w:val="52A311C3"/>
    <w:multiLevelType w:val="hybridMultilevel"/>
    <w:lvl w:ilvl="0">
      <w:lvlJc w:val="left"/>
      <w:lvlText w:val="(%1)"/>
      <w:numFmt w:val="lowerLetter"/>
      <w:start w:val="61"/>
    </w:lvl>
    <w:lvl w:ilvl="1">
      <w:lvlJc w:val="left"/>
      <w:lvlText w:val="(%2)"/>
      <w:numFmt w:val="lowerLetter"/>
      <w:start w:val="6"/>
    </w:lvl>
    <w:lvl w:ilvl="2">
      <w:lvlJc w:val="left"/>
      <w:lvlText w:val="(%3)"/>
      <w:numFmt w:val="decimal"/>
      <w:start w:val="1"/>
    </w:lvl>
  </w:abstractNum>
  <w:abstractNum w:abstractNumId="264">
    <w:nsid w:val="44EF6B80"/>
    <w:multiLevelType w:val="hybridMultilevel"/>
    <w:lvl w:ilvl="0">
      <w:lvlJc w:val="left"/>
      <w:lvlText w:val="(%1)"/>
      <w:numFmt w:val="decimal"/>
      <w:start w:val="3"/>
    </w:lvl>
  </w:abstractNum>
  <w:abstractNum w:abstractNumId="265">
    <w:nsid w:val="12FCDE5E"/>
    <w:multiLevelType w:val="hybridMultilevel"/>
    <w:lvl w:ilvl="0">
      <w:lvlJc w:val="left"/>
      <w:lvlText w:val="(%1)"/>
      <w:numFmt w:val="lowerRoman"/>
      <w:start w:val="1"/>
    </w:lvl>
  </w:abstractNum>
  <w:abstractNum w:abstractNumId="266">
    <w:nsid w:val="4A1D606E"/>
    <w:multiLevelType w:val="hybridMultilevel"/>
    <w:lvl w:ilvl="0">
      <w:lvlJc w:val="left"/>
      <w:lvlText w:val="(%1)"/>
      <w:numFmt w:val="lowerLetter"/>
      <w:start w:val="4"/>
    </w:lvl>
  </w:abstractNum>
  <w:abstractNum w:abstractNumId="267">
    <w:nsid w:val="4382503"/>
    <w:multiLevelType w:val="hybridMultilevel"/>
    <w:lvl w:ilvl="0">
      <w:lvlJc w:val="left"/>
      <w:lvlText w:val="(%1)"/>
      <w:numFmt w:val="lowerLetter"/>
      <w:start w:val="1"/>
    </w:lvl>
  </w:abstractNum>
  <w:abstractNum w:abstractNumId="268">
    <w:nsid w:val="59B76E28"/>
    <w:multiLevelType w:val="hybridMultilevel"/>
    <w:lvl w:ilvl="0">
      <w:lvlJc w:val="left"/>
      <w:lvlText w:val="(%1)"/>
      <w:numFmt w:val="lowerLetter"/>
      <w:start w:val="2"/>
    </w:lvl>
  </w:abstractNum>
  <w:abstractNum w:abstractNumId="269">
    <w:nsid w:val="4252C2DA"/>
    <w:multiLevelType w:val="hybridMultilevel"/>
    <w:lvl w:ilvl="0">
      <w:lvlJc w:val="left"/>
      <w:lvlText w:val="(%1)"/>
      <w:numFmt w:val="lowerLetter"/>
      <w:start w:val="3"/>
    </w:lvl>
  </w:abstractNum>
  <w:abstractNum w:abstractNumId="270">
    <w:nsid w:val="6A92EF4C"/>
    <w:multiLevelType w:val="hybridMultilevel"/>
    <w:lvl w:ilvl="0">
      <w:lvlJc w:val="left"/>
      <w:lvlText w:val="(%1)"/>
      <w:numFmt w:val="lowerLetter"/>
      <w:start w:val="1"/>
    </w:lvl>
  </w:abstractNum>
  <w:abstractNum w:abstractNumId="271">
    <w:nsid w:val="41ED20D7"/>
    <w:multiLevelType w:val="hybridMultilevel"/>
    <w:lvl w:ilvl="0">
      <w:lvlJc w:val="left"/>
      <w:lvlText w:val="(%1)"/>
      <w:numFmt w:val="lowerLetter"/>
      <w:start w:val="2"/>
    </w:lvl>
  </w:abstractNum>
  <w:abstractNum w:abstractNumId="272">
    <w:nsid w:val="E6B3F6A"/>
    <w:multiLevelType w:val="hybridMultilevel"/>
    <w:lvl w:ilvl="0">
      <w:lvlJc w:val="left"/>
      <w:lvlText w:val="(%1)"/>
      <w:numFmt w:val="lowerLetter"/>
      <w:start w:val="1"/>
    </w:lvl>
  </w:abstractNum>
  <w:abstractNum w:abstractNumId="273">
    <w:nsid w:val="3EB21819"/>
    <w:multiLevelType w:val="hybridMultilevel"/>
    <w:lvl w:ilvl="0">
      <w:lvlJc w:val="left"/>
      <w:lvlText w:val="(%1)"/>
      <w:numFmt w:val="decimal"/>
      <w:start w:val="1"/>
    </w:lvl>
  </w:abstractNum>
  <w:abstractNum w:abstractNumId="274">
    <w:nsid w:val="41531DED"/>
    <w:multiLevelType w:val="hybridMultilevel"/>
    <w:lvl w:ilvl="0">
      <w:lvlJc w:val="left"/>
      <w:lvlText w:val="%1."/>
      <w:numFmt w:val="decimal"/>
      <w:start w:val="1"/>
    </w:lvl>
    <w:lvl w:ilvl="1">
      <w:lvlJc w:val="left"/>
      <w:lvlText w:val="%2)"/>
      <w:numFmt w:val="lowerLetter"/>
      <w:start w:val="1"/>
    </w:lvl>
  </w:abstractNum>
  <w:abstractNum w:abstractNumId="275">
    <w:nsid w:val="6353CD2"/>
    <w:multiLevelType w:val="hybridMultilevel"/>
    <w:lvl w:ilvl="0">
      <w:lvlJc w:val="left"/>
      <w:lvlText w:val="%1."/>
      <w:numFmt w:val="decimal"/>
      <w:start w:val="1"/>
    </w:lvl>
    <w:lvl w:ilvl="1">
      <w:lvlJc w:val="left"/>
      <w:lvlText w:val="%2)"/>
      <w:numFmt w:val="lowerLetter"/>
      <w:start w:val="1"/>
    </w:lvl>
  </w:abstractNum>
  <w:abstractNum w:abstractNumId="276">
    <w:nsid w:val="683CAAD3"/>
    <w:multiLevelType w:val="hybridMultilevel"/>
    <w:lvl w:ilvl="0">
      <w:lvlJc w:val="left"/>
      <w:lvlText w:val="(%1)"/>
      <w:numFmt w:val="decimal"/>
      <w:start w:val="1"/>
    </w:lvl>
  </w:abstractNum>
  <w:abstractNum w:abstractNumId="277">
    <w:nsid w:val="313C7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2023-08-01T15:18:02Z</dcterms:created>
  <dcterms:modified xsi:type="dcterms:W3CDTF">2023-08-01T15:18:02Z</dcterms:modified>
</cp:coreProperties>
</file>