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0" w:lineRule="exact"/>
        <w:rPr>
          <w:sz w:val="24"/>
          <w:szCs w:val="24"/>
          <w:color w:val="auto"/>
        </w:rPr>
      </w:pPr>
    </w:p>
    <w:p>
      <w:pPr>
        <w:ind w:left="440" w:hanging="332"/>
        <w:spacing w:after="0"/>
        <w:tabs>
          <w:tab w:leader="none" w:pos="440" w:val="left"/>
        </w:tabs>
        <w:numPr>
          <w:ilvl w:val="0"/>
          <w:numId w:val="1"/>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3" w:lineRule="exact"/>
        <w:rPr>
          <w:sz w:val="24"/>
          <w:szCs w:val="24"/>
          <w:color w:val="auto"/>
        </w:rPr>
      </w:pPr>
    </w:p>
    <w:p>
      <w:pPr>
        <w:ind w:left="440" w:hanging="315"/>
        <w:spacing w:after="0"/>
        <w:tabs>
          <w:tab w:leader="none" w:pos="440" w:val="left"/>
        </w:tabs>
        <w:numPr>
          <w:ilvl w:val="0"/>
          <w:numId w:val="2"/>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2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4"/>
          <w:szCs w:val="24"/>
          <w:color w:val="auto"/>
        </w:rPr>
      </w:pPr>
    </w:p>
    <w:p>
      <w:pPr>
        <w:sectPr>
          <w:pgSz w:w="11900" w:h="16838" w:orient="portrait"/>
          <w:cols w:equalWidth="0" w:num="2">
            <w:col w:w="5980" w:space="600"/>
            <w:col w:w="466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001-12400</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30"/>
                <w:szCs w:val="30"/>
                <w:b w:val="1"/>
                <w:bCs w:val="1"/>
                <w:color w:val="auto"/>
                <w:w w:val="99"/>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Times New Roman" w:cs="Times New Roman" w:eastAsia="Times New Roman" w:hAnsi="Times New Roman"/>
                <w:sz w:val="16"/>
                <w:szCs w:val="16"/>
                <w:b w:val="1"/>
                <w:bCs w:val="1"/>
                <w:color w:val="auto"/>
              </w:rPr>
              <w:t>94-3136539</w:t>
            </w:r>
          </w:p>
        </w:tc>
        <w:tc>
          <w:tcPr>
            <w:tcW w:w="0" w:type="dxa"/>
            <w:vAlign w:val="bottom"/>
          </w:tcPr>
          <w:p>
            <w:pPr>
              <w:spacing w:after="0"/>
              <w:rPr>
                <w:sz w:val="1"/>
                <w:szCs w:val="1"/>
                <w:color w:val="auto"/>
              </w:rPr>
            </w:pPr>
          </w:p>
        </w:tc>
      </w:tr>
      <w:tr>
        <w:trPr>
          <w:trHeight w:val="256"/>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34"/>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9"/>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Times New Roman" w:cs="Times New Roman" w:eastAsia="Times New Roman" w:hAnsi="Times New Roman"/>
                <w:sz w:val="16"/>
                <w:szCs w:val="16"/>
                <w:b w:val="1"/>
                <w:bCs w:val="1"/>
                <w:color w:val="auto"/>
              </w:rPr>
              <w:t>19803</w:t>
            </w:r>
          </w:p>
        </w:tc>
        <w:tc>
          <w:tcPr>
            <w:tcW w:w="0" w:type="dxa"/>
            <w:vAlign w:val="bottom"/>
          </w:tcPr>
          <w:p>
            <w:pPr>
              <w:spacing w:after="0"/>
              <w:rPr>
                <w:sz w:val="1"/>
                <w:szCs w:val="1"/>
                <w:color w:val="auto"/>
              </w:rPr>
            </w:pPr>
          </w:p>
        </w:tc>
      </w:tr>
      <w:tr>
        <w:trPr>
          <w:trHeight w:val="21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8"/>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40" w:type="dxa"/>
            <w:vAlign w:val="bottom"/>
            <w:gridSpan w:val="6"/>
          </w:tcPr>
          <w:p>
            <w:pPr>
              <w:jc w:val="center"/>
              <w:ind w:right="20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81"/>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7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INCY</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64" w:lineRule="exact"/>
        <w:rPr>
          <w:sz w:val="24"/>
          <w:szCs w:val="24"/>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25"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26" w:lineRule="exact"/>
        <w:rPr>
          <w:sz w:val="24"/>
          <w:szCs w:val="24"/>
          <w:color w:val="auto"/>
        </w:rPr>
      </w:pPr>
    </w:p>
    <w:p>
      <w:pPr>
        <w:ind w:left="25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132" w:lineRule="exact"/>
        <w:rPr>
          <w:sz w:val="24"/>
          <w:szCs w:val="24"/>
          <w:color w:val="auto"/>
        </w:rPr>
      </w:pPr>
    </w:p>
    <w:p>
      <w:pPr>
        <w:sectPr>
          <w:pgSz w:w="11900" w:h="16838" w:orient="portrait"/>
          <w:cols w:equalWidth="0" w:num="2">
            <w:col w:w="6560" w:space="720"/>
            <w:col w:w="3960"/>
          </w:cols>
          <w:pgMar w:left="320" w:top="227"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p>
    <w:p>
      <w:pPr>
        <w:spacing w:after="0" w:line="132" w:lineRule="exact"/>
        <w:rPr>
          <w:sz w:val="24"/>
          <w:szCs w:val="24"/>
          <w:color w:val="auto"/>
        </w:rPr>
      </w:pPr>
    </w:p>
    <w:p>
      <w:pPr>
        <w:sectPr>
          <w:pgSz w:w="11900" w:h="16838" w:orient="portrait"/>
          <w:cols w:equalWidth="0" w:num="2">
            <w:col w:w="6220" w:space="720"/>
            <w:col w:w="4300"/>
          </w:cols>
          <w:pgMar w:left="320" w:top="227" w:right="3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w:t>
      </w:r>
    </w:p>
    <w:p>
      <w:pPr>
        <w:spacing w:after="0" w:line="10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$.001 par value, was 203,832,492 as of October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703580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52070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76835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INCYTE CORPORATION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81"/>
              </w:rPr>
              <w:t>Item 1.</w:t>
            </w:r>
          </w:p>
        </w:tc>
        <w:tc>
          <w:tcPr>
            <w:tcW w:w="66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180" w:type="dxa"/>
            <w:vAlign w:val="bottom"/>
            <w:tcBorders>
              <w:top w:val="single" w:sz="8" w:color="0000FF"/>
            </w:tcBorders>
          </w:tcPr>
          <w:p>
            <w:pPr>
              <w:spacing w:after="0"/>
              <w:rPr>
                <w:sz w:val="24"/>
                <w:szCs w:val="24"/>
                <w:color w:val="auto"/>
              </w:rPr>
            </w:pPr>
          </w:p>
        </w:tc>
        <w:tc>
          <w:tcPr>
            <w:tcW w:w="36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2.</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3.</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4.</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w:t>
            </w:r>
            <w:r>
              <w:rPr>
                <w:rFonts w:ascii="Times New Roman" w:cs="Times New Roman" w:eastAsia="Times New Roman" w:hAnsi="Times New Roman"/>
                <w:sz w:val="18"/>
                <w:szCs w:val="18"/>
                <w:b w:val="1"/>
                <w:bCs w:val="1"/>
                <w:color w:val="000000"/>
              </w:rPr>
              <w:t>.</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6.</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90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5600" w:type="dxa"/>
            <w:vAlign w:val="bottom"/>
            <w:gridSpan w:val="15"/>
          </w:tcPr>
          <w:p>
            <w:pPr>
              <w:jc w:val="center"/>
              <w:ind w:left="1752"/>
              <w:spacing w:after="0"/>
              <w:rPr>
                <w:sz w:val="20"/>
                <w:szCs w:val="20"/>
                <w:color w:val="auto"/>
              </w:rPr>
            </w:pPr>
            <w:r>
              <w:rPr>
                <w:rFonts w:ascii="Times New Roman" w:cs="Times New Roman" w:eastAsia="Times New Roman" w:hAnsi="Times New Roman"/>
                <w:sz w:val="18"/>
                <w:szCs w:val="18"/>
                <w:color w:val="auto"/>
                <w:w w:val="88"/>
              </w:rPr>
              <w:t>2</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3,097,817</w:t>
            </w:r>
          </w:p>
        </w:tc>
        <w:tc>
          <w:tcPr>
            <w:tcW w:w="0" w:type="dxa"/>
            <w:vAlign w:val="bottom"/>
          </w:tcPr>
          <w:p>
            <w:pPr>
              <w:spacing w:after="0"/>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securities—available-for-sale (amortized cost $585,611 and $480,793 as of September 30, 2026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December 31, 2025, respectively; allowance for credit losses $0 as of September 30, 2026 and December 31, 2025)</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482,787</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1,024,407</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101,060</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317,831</w:t>
            </w: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5,023,902</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equity investments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47,991</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342,232</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730,885</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27,520</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117,131</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133,000</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515,294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18,166</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7,287,257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6,957,973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209,938</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228,071</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1,031,501</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41,144</w:t>
            </w: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1,437,818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1,515,170</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79,856</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165,270</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1,644,320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1,790,495</w:t>
            </w:r>
          </w:p>
        </w:tc>
        <w:tc>
          <w:tcPr>
            <w:tcW w:w="0" w:type="dxa"/>
            <w:vAlign w:val="bottom"/>
          </w:tcPr>
          <w:p>
            <w:pPr>
              <w:spacing w:after="0"/>
              <w:rPr>
                <w:sz w:val="1"/>
                <w:szCs w:val="1"/>
                <w:color w:val="auto"/>
              </w:rPr>
            </w:pPr>
          </w:p>
        </w:tc>
      </w:tr>
      <w:tr>
        <w:trPr>
          <w:trHeight w:val="89"/>
        </w:trPr>
        <w:tc>
          <w:tcPr>
            <w:tcW w:w="8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none issued or outstanding</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Common Stock, $0.001 par value; 400,000,000 shares authorized; 204,002,500 and 198,460,009 shares issued and</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as of September 30, 2026 and December 31, 2025,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4,928,049</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25,462</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213,769</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5,642,937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5,167,478</w:t>
            </w:r>
          </w:p>
        </w:tc>
        <w:tc>
          <w:tcPr>
            <w:tcW w:w="0" w:type="dxa"/>
            <w:vAlign w:val="bottom"/>
          </w:tcPr>
          <w:p>
            <w:pPr>
              <w:spacing w:after="0"/>
              <w:rPr>
                <w:sz w:val="1"/>
                <w:szCs w:val="1"/>
                <w:color w:val="auto"/>
              </w:rPr>
            </w:pPr>
          </w:p>
        </w:tc>
      </w:tr>
      <w:tr>
        <w:trPr>
          <w:trHeight w:val="219"/>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7,287,257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6,957,973</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left="4720" w:right="640" w:hanging="4714"/>
        <w:spacing w:after="0" w:line="335"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at December 31, 2025 has been derived from the audited consolidated financial statements at that date. 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86"/>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8"/>
        </w:trPr>
        <w:tc>
          <w:tcPr>
            <w:tcW w:w="49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4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1,316,413</w:t>
            </w:r>
          </w:p>
        </w:tc>
        <w:tc>
          <w:tcPr>
            <w:tcW w:w="80" w:type="dxa"/>
            <w:vAlign w:val="bottom"/>
          </w:tcPr>
          <w:p>
            <w:pPr>
              <w:spacing w:after="0"/>
              <w:rPr>
                <w:sz w:val="20"/>
                <w:szCs w:val="20"/>
                <w:color w:val="auto"/>
              </w:rPr>
            </w:pPr>
          </w:p>
        </w:tc>
        <w:tc>
          <w:tcPr>
            <w:tcW w:w="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1,149,856</w:t>
            </w:r>
          </w:p>
        </w:tc>
        <w:tc>
          <w:tcPr>
            <w:tcW w:w="18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3,909,046</w:t>
            </w:r>
          </w:p>
        </w:tc>
        <w:tc>
          <w:tcPr>
            <w:tcW w:w="100" w:type="dxa"/>
            <w:vAlign w:val="bottom"/>
          </w:tcPr>
          <w:p>
            <w:pPr>
              <w:spacing w:after="0"/>
              <w:rPr>
                <w:sz w:val="20"/>
                <w:szCs w:val="20"/>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3,131,544</w:t>
            </w:r>
          </w:p>
        </w:tc>
      </w:tr>
      <w:tr>
        <w:trPr>
          <w:trHeight w:val="238"/>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171,124</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516,873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452,863</w:t>
            </w:r>
          </w:p>
        </w:tc>
      </w:tr>
      <w:tr>
        <w:trPr>
          <w:trHeight w:val="238"/>
        </w:trPr>
        <w:tc>
          <w:tcPr>
            <w:tcW w:w="4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2"/>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1,557,204</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1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4,503,919</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3,634,407</w:t>
            </w:r>
          </w:p>
        </w:tc>
      </w:tr>
      <w:tr>
        <w:trPr>
          <w:trHeight w:val="245"/>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8"/>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 (including definite-lived intangible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318,224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250,955</w:t>
            </w:r>
          </w:p>
        </w:tc>
      </w:tr>
      <w:tr>
        <w:trPr>
          <w:trHeight w:val="238"/>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(242,251)</w:t>
            </w:r>
          </w:p>
        </w:tc>
      </w:tr>
      <w:tr>
        <w:trPr>
          <w:trHeight w:val="238"/>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1,791,656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506,584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2,824,509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1,438,780</w:t>
            </w:r>
          </w:p>
        </w:tc>
      </w:tr>
      <w:tr>
        <w:trPr>
          <w:trHeight w:val="238"/>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329,081</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1,044,095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985,794</w:t>
            </w:r>
          </w:p>
        </w:tc>
      </w:tr>
      <w:tr>
        <w:trPr>
          <w:trHeight w:val="239"/>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impairment and related disposal costs</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4940" w:type="dxa"/>
            <w:vAlign w:val="bottom"/>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rPr>
              <w:t>Loss (gain) on change in fair value of acquisition-related</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38"/>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w:t>
            </w:r>
          </w:p>
        </w:tc>
      </w:tr>
      <w:tr>
        <w:trPr>
          <w:trHeight w:val="232"/>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2,265,565</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922,462</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4,213,265</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2,455,407</w:t>
            </w:r>
          </w:p>
        </w:tc>
      </w:tr>
      <w:tr>
        <w:trPr>
          <w:trHeight w:val="245"/>
        </w:trPr>
        <w:tc>
          <w:tcPr>
            <w:tcW w:w="49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(708,361)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443,518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1,179,000</w:t>
            </w:r>
          </w:p>
        </w:tc>
      </w:tr>
      <w:tr>
        <w:trPr>
          <w:trHeight w:val="23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w:t>
            </w: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3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equity investments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3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19,446</w:t>
            </w:r>
          </w:p>
        </w:tc>
      </w:tr>
      <w:tr>
        <w:trPr>
          <w:trHeight w:val="232"/>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(688,848)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482,308</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406,266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1,274,510</w:t>
            </w:r>
          </w:p>
        </w:tc>
      </w:tr>
      <w:tr>
        <w:trPr>
          <w:trHeight w:val="238"/>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95,955</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302,134</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287,139</w:t>
            </w:r>
          </w:p>
        </w:tc>
      </w:tr>
      <w:tr>
        <w:trPr>
          <w:trHeight w:val="257"/>
        </w:trPr>
        <w:tc>
          <w:tcPr>
            <w:tcW w:w="4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20"/>
                <w:szCs w:val="20"/>
                <w:color w:val="auto"/>
              </w:rPr>
            </w:pPr>
          </w:p>
        </w:tc>
        <w:tc>
          <w:tcPr>
            <w:tcW w:w="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0"/>
                <w:szCs w:val="20"/>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65"/>
        </w:trPr>
        <w:tc>
          <w:tcPr>
            <w:tcW w:w="4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income per share: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0"/>
                <w:szCs w:val="20"/>
                <w:color w:val="auto"/>
              </w:rPr>
            </w:pPr>
          </w:p>
        </w:tc>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203,246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195,670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194,459</w:t>
            </w:r>
          </w:p>
        </w:tc>
      </w:tr>
      <w:tr>
        <w:trPr>
          <w:trHeight w:val="23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203,246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201,429</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199,405</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7"/>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45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r>
      <w:tr>
        <w:trPr>
          <w:trHeight w:val="265"/>
        </w:trPr>
        <w:tc>
          <w:tcPr>
            <w:tcW w:w="4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8"/>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w:t>
            </w:r>
          </w:p>
        </w:tc>
      </w:tr>
      <w:tr>
        <w:trPr>
          <w:trHeight w:val="23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38"/>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gain, net of tax</w:t>
            </w:r>
          </w:p>
        </w:tc>
        <w:tc>
          <w:tcPr>
            <w:tcW w:w="5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2"/>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r>
      <w:tr>
        <w:trPr>
          <w:trHeight w:val="265"/>
        </w:trPr>
        <w:tc>
          <w:tcPr>
            <w:tcW w:w="454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5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(791,065)</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1,015,047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85"/>
        </w:trPr>
        <w:tc>
          <w:tcPr>
            <w:tcW w:w="4540" w:type="dxa"/>
            <w:vAlign w:val="bottom"/>
          </w:tcPr>
          <w:p>
            <w:pPr>
              <w:spacing w:after="0"/>
              <w:rPr>
                <w:sz w:val="24"/>
                <w:szCs w:val="24"/>
                <w:color w:val="auto"/>
              </w:rPr>
            </w:pPr>
          </w:p>
        </w:tc>
        <w:tc>
          <w:tcPr>
            <w:tcW w:w="2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See accompanying notes.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95"/>
        </w:trPr>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1"/>
        </w:trPr>
        <w:tc>
          <w:tcPr>
            <w:tcW w:w="4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5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22"/>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9"/>
        </w:trPr>
        <w:tc>
          <w:tcPr>
            <w:tcW w:w="3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2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00" w:type="dxa"/>
            <w:vAlign w:val="bottom"/>
          </w:tcPr>
          <w:p>
            <w:pPr>
              <w:spacing w:after="0"/>
              <w:rPr>
                <w:sz w:val="17"/>
                <w:szCs w:val="17"/>
                <w:color w:val="auto"/>
              </w:rPr>
            </w:pPr>
          </w:p>
        </w:tc>
        <w:tc>
          <w:tcPr>
            <w:tcW w:w="12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2026</w:t>
            </w: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4,928,049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5,167,478</w:t>
            </w: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1,473,992 shares of Common Stock upon</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net of shares withheld for taxes</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90,969</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955 shares of Common Stock for services</w:t>
            </w:r>
          </w:p>
        </w:tc>
        <w:tc>
          <w:tcPr>
            <w:tcW w:w="10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rendered</w:t>
            </w:r>
          </w:p>
        </w:tc>
        <w:tc>
          <w:tcPr>
            <w:tcW w:w="108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64,126</w:t>
            </w: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303,330</w:t>
            </w:r>
          </w:p>
        </w:tc>
        <w:tc>
          <w:tcPr>
            <w:tcW w:w="0" w:type="dxa"/>
            <w:vAlign w:val="bottom"/>
          </w:tcPr>
          <w:p>
            <w:pPr>
              <w:spacing w:after="0"/>
              <w:rPr>
                <w:sz w:val="1"/>
                <w:szCs w:val="1"/>
                <w:color w:val="auto"/>
              </w:rPr>
            </w:pPr>
          </w:p>
        </w:tc>
      </w:tr>
      <w:tr>
        <w:trPr>
          <w:trHeight w:val="246"/>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2026</w:t>
            </w:r>
          </w:p>
        </w:tc>
        <w:tc>
          <w:tcPr>
            <w:tcW w:w="10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5,083,234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5,622,847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Issuance of 795,114 shares of Common Stock upon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and performance shares, net of</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 and 202,281 shares of</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under the ESPP</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71,216</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907 shares of Common Stock for services</w:t>
            </w:r>
          </w:p>
        </w:tc>
        <w:tc>
          <w:tcPr>
            <w:tcW w:w="10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rendered</w:t>
            </w:r>
          </w:p>
        </w:tc>
        <w:tc>
          <w:tcPr>
            <w:tcW w:w="108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67,263</w:t>
            </w: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585,605</w:t>
            </w:r>
          </w:p>
        </w:tc>
        <w:tc>
          <w:tcPr>
            <w:tcW w:w="0" w:type="dxa"/>
            <w:vAlign w:val="bottom"/>
          </w:tcPr>
          <w:p>
            <w:pPr>
              <w:spacing w:after="0"/>
              <w:rPr>
                <w:sz w:val="1"/>
                <w:szCs w:val="1"/>
                <w:color w:val="auto"/>
              </w:rPr>
            </w:pPr>
          </w:p>
        </w:tc>
      </w:tr>
      <w:tr>
        <w:trPr>
          <w:trHeight w:val="246"/>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2026</w:t>
            </w:r>
          </w:p>
        </w:tc>
        <w:tc>
          <w:tcPr>
            <w:tcW w:w="10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6,344,427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Issuance of 3,031,088 shares of Common Stock upon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net of shares withheld for taxes</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19,690</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731 shares of Common Stock for services</w:t>
            </w:r>
          </w:p>
        </w:tc>
        <w:tc>
          <w:tcPr>
            <w:tcW w:w="10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rendered</w:t>
            </w:r>
          </w:p>
        </w:tc>
        <w:tc>
          <w:tcPr>
            <w:tcW w:w="108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69,793</w:t>
            </w: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(784,803)</w:t>
            </w:r>
          </w:p>
        </w:tc>
        <w:tc>
          <w:tcPr>
            <w:tcW w:w="0" w:type="dxa"/>
            <w:vAlign w:val="bottom"/>
          </w:tcPr>
          <w:p>
            <w:pPr>
              <w:spacing w:after="0"/>
              <w:rPr>
                <w:sz w:val="1"/>
                <w:szCs w:val="1"/>
                <w:color w:val="auto"/>
              </w:rPr>
            </w:pPr>
          </w:p>
        </w:tc>
      </w:tr>
      <w:tr>
        <w:trPr>
          <w:trHeight w:val="246"/>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2026</w:t>
            </w:r>
          </w:p>
        </w:tc>
        <w:tc>
          <w:tcPr>
            <w:tcW w:w="10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5,642,937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29" w:lineRule="exact"/>
        <w:rPr>
          <w:sz w:val="20"/>
          <w:szCs w:val="20"/>
          <w:color w:val="auto"/>
        </w:rPr>
      </w:pPr>
    </w:p>
    <w:tbl>
      <w:tblPr>
        <w:tblLayout w:type="fixed"/>
        <w:tblInd w:w="3940" w:type="dxa"/>
        <w:tblCellMar>
          <w:top w:w="0" w:type="dxa"/>
          <w:left w:w="0" w:type="dxa"/>
          <w:bottom w:w="0" w:type="dxa"/>
          <w:right w:w="0" w:type="dxa"/>
        </w:tblCellMar>
      </w:tblPr>
      <w:tr>
        <w:trPr>
          <w:trHeight w:val="161"/>
        </w:trPr>
        <w:tc>
          <w:tcPr>
            <w:tcW w:w="960" w:type="dxa"/>
            <w:vAlign w:val="bottom"/>
            <w:vMerge w:val="restart"/>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6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700" w:type="dxa"/>
            <w:vAlign w:val="bottom"/>
          </w:tcPr>
          <w:p>
            <w:pPr>
              <w:spacing w:after="0"/>
              <w:rPr>
                <w:sz w:val="13"/>
                <w:szCs w:val="13"/>
                <w:color w:val="auto"/>
              </w:rPr>
            </w:pPr>
          </w:p>
        </w:tc>
        <w:tc>
          <w:tcPr>
            <w:tcW w:w="108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9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80" w:type="dxa"/>
            <w:vAlign w:val="bottom"/>
          </w:tcPr>
          <w:p>
            <w:pPr>
              <w:jc w:val="center"/>
              <w:ind w:left="29"/>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80" w:type="dxa"/>
            <w:vAlign w:val="bottom"/>
          </w:tcPr>
          <w:p>
            <w:pPr>
              <w:jc w:val="center"/>
              <w:ind w:left="169"/>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8"/>
        </w:trPr>
        <w:tc>
          <w:tcPr>
            <w:tcW w:w="96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700" w:type="dxa"/>
            <w:vAlign w:val="bottom"/>
            <w:vMerge w:val="continue"/>
          </w:tcPr>
          <w:p>
            <w:pPr>
              <w:spacing w:after="0"/>
              <w:rPr>
                <w:sz w:val="16"/>
                <w:szCs w:val="16"/>
                <w:color w:val="auto"/>
              </w:rPr>
            </w:pPr>
          </w:p>
        </w:tc>
        <w:tc>
          <w:tcPr>
            <w:tcW w:w="108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51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363,987 shares of Common Stock upon</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net of shares withheld for taxes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Issuance of 1,208 shares of Common Stock for</w:t>
            </w:r>
          </w:p>
        </w:tc>
        <w:tc>
          <w:tcPr>
            <w:tcW w:w="6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services rendered</w:t>
            </w:r>
          </w:p>
        </w:tc>
        <w:tc>
          <w:tcPr>
            <w:tcW w:w="6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2025</w:t>
            </w: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64,400 shares of Common Stock upon</w:t>
            </w: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and performance shares, net of</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for taxes, and 261,762 shares of</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under the ESPP</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Issuance of 1,220 shares of Common Stock for</w:t>
            </w:r>
          </w:p>
        </w:tc>
        <w:tc>
          <w:tcPr>
            <w:tcW w:w="6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services rendered</w:t>
            </w:r>
          </w:p>
        </w:tc>
        <w:tc>
          <w:tcPr>
            <w:tcW w:w="6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2025</w:t>
            </w: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2,011,476 shares of Common Stock upon</w:t>
            </w: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net of shares withheld for taxes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Issuance of 962 shares of Common Stock for services</w:t>
            </w:r>
          </w:p>
        </w:tc>
        <w:tc>
          <w:tcPr>
            <w:tcW w:w="6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6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4,533,437</w:t>
            </w: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(1,072,881)</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3,447,628</w:t>
            </w:r>
          </w:p>
        </w:tc>
      </w:tr>
      <w:tr>
        <w:trPr>
          <w:trHeight w:val="636"/>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(6,215)</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384"/>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25"/>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60,982</w:t>
            </w: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60,982</w:t>
            </w:r>
          </w:p>
        </w:tc>
      </w:tr>
      <w:tr>
        <w:trPr>
          <w:trHeight w:val="225"/>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r>
      <w:tr>
        <w:trPr>
          <w:trHeight w:val="22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r>
      <w:tr>
        <w:trPr>
          <w:trHeight w:val="21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4,588,286</w:t>
            </w:r>
          </w:p>
        </w:tc>
        <w:tc>
          <w:tcPr>
            <w:tcW w:w="5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(914,678)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3,667,563</w:t>
            </w:r>
          </w:p>
        </w:tc>
      </w:tr>
      <w:tr>
        <w:trPr>
          <w:trHeight w:val="22"/>
        </w:trPr>
        <w:tc>
          <w:tcPr>
            <w:tcW w:w="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-857250</wp:posOffset>
            </wp:positionV>
            <wp:extent cx="7134860" cy="243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24384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-470535</wp:posOffset>
            </wp:positionV>
            <wp:extent cx="7134860"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-184150</wp:posOffset>
            </wp:positionV>
            <wp:extent cx="7134860" cy="184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8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13,972</w:t>
            </w:r>
          </w:p>
        </w:tc>
        <w:tc>
          <w:tcPr>
            <w:tcW w:w="5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13,973</w:t>
            </w:r>
          </w:p>
        </w:tc>
      </w:tr>
      <w:tr>
        <w:trPr>
          <w:trHeight w:val="384"/>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5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25"/>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64,609</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64,609</w:t>
            </w:r>
          </w:p>
        </w:tc>
      </w:tr>
      <w:tr>
        <w:trPr>
          <w:trHeight w:val="225"/>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19,677</w:t>
            </w:r>
          </w:p>
        </w:tc>
      </w:tr>
      <w:tr>
        <w:trPr>
          <w:trHeight w:val="22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404,999</w:t>
            </w:r>
          </w:p>
        </w:tc>
      </w:tr>
      <w:tr>
        <w:trPr>
          <w:trHeight w:val="21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4,666,949</w:t>
            </w: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(509,679)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4,170,903</w:t>
            </w:r>
          </w:p>
        </w:tc>
      </w:tr>
      <w:tr>
        <w:trPr>
          <w:trHeight w:val="22"/>
        </w:trPr>
        <w:tc>
          <w:tcPr>
            <w:tcW w:w="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98"/>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(6,676)</w:t>
            </w:r>
          </w:p>
        </w:tc>
        <w:tc>
          <w:tcPr>
            <w:tcW w:w="5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w:t>
            </w:r>
          </w:p>
        </w:tc>
      </w:tr>
      <w:tr>
        <w:trPr>
          <w:trHeight w:val="384"/>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5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25"/>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61,598</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61,598</w:t>
            </w:r>
          </w:p>
        </w:tc>
      </w:tr>
      <w:tr>
        <w:trPr>
          <w:trHeight w:val="225"/>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2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424,169</w:t>
            </w:r>
          </w:p>
        </w:tc>
      </w:tr>
      <w:tr>
        <w:trPr>
          <w:trHeight w:val="219"/>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4,721,953</w:t>
            </w: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(85,510)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4,651,194</w:t>
            </w:r>
          </w:p>
        </w:tc>
      </w:tr>
      <w:tr>
        <w:trPr>
          <w:trHeight w:val="22"/>
        </w:trPr>
        <w:tc>
          <w:tcPr>
            <w:tcW w:w="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-2103120</wp:posOffset>
            </wp:positionV>
            <wp:extent cx="7134860" cy="243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24384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-1715770</wp:posOffset>
            </wp:positionV>
            <wp:extent cx="713486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-857250</wp:posOffset>
            </wp:positionV>
            <wp:extent cx="7134860" cy="243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24384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-470535</wp:posOffset>
            </wp:positionV>
            <wp:extent cx="713486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-184150</wp:posOffset>
            </wp:positionV>
            <wp:extent cx="7134860" cy="184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8478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-1430020</wp:posOffset>
            </wp:positionV>
            <wp:extent cx="7134860" cy="185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660"/>
            <w:col w:w="5440"/>
          </w:cols>
          <w:pgMar w:left="320" w:top="121" w:right="3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104,132</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987,371</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69,304</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187,189</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234,188</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equity investments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change in fair value of acquisition-related contingent consideration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22,129</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(42,275)</w:t>
            </w:r>
          </w:p>
        </w:tc>
        <w:tc>
          <w:tcPr>
            <w:tcW w:w="0" w:type="dxa"/>
            <w:vAlign w:val="bottom"/>
          </w:tcPr>
          <w:p>
            <w:pPr>
              <w:spacing w:after="0"/>
              <w:rPr>
                <w:sz w:val="1"/>
                <w:szCs w:val="1"/>
                <w:color w:val="auto"/>
              </w:rPr>
            </w:pPr>
          </w:p>
        </w:tc>
      </w:tr>
      <w:tr>
        <w:trPr>
          <w:trHeight w:val="223"/>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(221,275)</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(53,654)</w:t>
            </w:r>
          </w:p>
        </w:tc>
        <w:tc>
          <w:tcPr>
            <w:tcW w:w="0" w:type="dxa"/>
            <w:vAlign w:val="bottom"/>
          </w:tcPr>
          <w:p>
            <w:pPr>
              <w:spacing w:after="0"/>
              <w:rPr>
                <w:sz w:val="1"/>
                <w:szCs w:val="1"/>
                <w:color w:val="auto"/>
              </w:rPr>
            </w:pPr>
          </w:p>
        </w:tc>
      </w:tr>
      <w:tr>
        <w:trPr>
          <w:trHeight w:val="223"/>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(26,414)</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(286,747)</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870,197</w:t>
            </w:r>
          </w:p>
        </w:tc>
        <w:tc>
          <w:tcPr>
            <w:tcW w:w="0" w:type="dxa"/>
            <w:vAlign w:val="bottom"/>
          </w:tcPr>
          <w:p>
            <w:pPr>
              <w:spacing w:after="0"/>
              <w:rPr>
                <w:sz w:val="1"/>
                <w:szCs w:val="1"/>
                <w:color w:val="auto"/>
              </w:rPr>
            </w:pPr>
          </w:p>
        </w:tc>
      </w:tr>
      <w:tr>
        <w:trPr>
          <w:trHeight w:val="20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long term investments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equity investments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(36,990)</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(212,852)</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209,643</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(65,191)</w:t>
            </w:r>
          </w:p>
        </w:tc>
        <w:tc>
          <w:tcPr>
            <w:tcW w:w="0" w:type="dxa"/>
            <w:vAlign w:val="bottom"/>
          </w:tcPr>
          <w:p>
            <w:pPr>
              <w:spacing w:after="0"/>
              <w:rPr>
                <w:sz w:val="1"/>
                <w:szCs w:val="1"/>
                <w:color w:val="auto"/>
              </w:rPr>
            </w:pPr>
          </w:p>
        </w:tc>
      </w:tr>
      <w:tr>
        <w:trPr>
          <w:trHeight w:val="20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tax paid on repurchase of Common Stock</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stock plans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61,553</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stock unit and performance share vesting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(60,469)</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(36,700)</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767,398</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3,099,669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1,689,451</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3,277,641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2,456,849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185,221</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contract dispute settlement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294,881</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purchase of intangible asset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19"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global biopharmaceutical company engaged in the discovery, development and commercialization of proprietary therapeutics. Our portfolio includes compounds in various stages, ranging from preclinical to late-stage development, and commercialized products JAKAFI®/JAKAFI XR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(ruxolitinib), ICLUSIG® (ponatinib), PEMAZYRE® (pemigatinib), OPZELURA® (ruxolitinib cream), MINJUVI® (tafasitamab), MONJUVI® (tafasitamab-cxix) and ZYNYZ® (retifanlimab-dlwr), as well as NIKTIMVO™ (axatilimab-csfr), which is co-commercialized. Our operations are treated as one operating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The condensed consolidated balance sheet as of September 30, 2026, the condensed consolidated statements of operations, comprehensive income (loss), and stockholders’ equity for the three and nine months ended September 30, 2026 and 2025, and the condensed consolidated statements of cash flows for the nine months ended September 30, 2026 and 2025,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2025 has been derived from our audited consolidated financial statements.</w:t>
      </w:r>
    </w:p>
    <w:p>
      <w:pPr>
        <w:spacing w:after="0" w:line="187" w:lineRule="exact"/>
        <w:rPr>
          <w:sz w:val="20"/>
          <w:szCs w:val="20"/>
          <w:color w:val="auto"/>
        </w:rPr>
      </w:pPr>
    </w:p>
    <w:p>
      <w:pPr>
        <w:jc w:val="both"/>
        <w:ind w:right="20" w:firstLine="636"/>
        <w:spacing w:after="0" w:line="259" w:lineRule="auto"/>
        <w:rPr>
          <w:sz w:val="20"/>
          <w:szCs w:val="20"/>
          <w:color w:val="auto"/>
        </w:rPr>
      </w:pPr>
      <w:r>
        <w:rPr>
          <w:rFonts w:ascii="Times New Roman" w:cs="Times New Roman" w:eastAsia="Times New Roman" w:hAnsi="Times New Roman"/>
          <w:sz w:val="18"/>
          <w:szCs w:val="18"/>
          <w:color w:val="auto"/>
        </w:rPr>
        <w:t>Although we believe that the disclosures in these financial statements are adequate to make the information presented not misleading, certain information and footnote information normally included in financial statements prepared in accordance with U.S. GAAP have been condensed or omitted pursuant to the rules and regulations of the Securities and Exchange Commission (the “SEC”).</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2025.</w:t>
      </w:r>
    </w:p>
    <w:p>
      <w:pPr>
        <w:spacing w:after="0" w:line="17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 Corporation and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transactions, and profits have been eliminated in consolidation.</w:t>
      </w:r>
    </w:p>
    <w:p>
      <w:pPr>
        <w:spacing w:after="0" w:line="160"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amounts reported in the financial statements and accompanying notes.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Effective July 1, 2026, we changed our inventory costing method for commercial product manufactured by third-party contract manufacturers from the specific identification method to the first-in, first-out (“FIFO”) method. Following the change, all inventories are accounted for under the FIFO method. We believe this change in accounting method is preferable as it (i) aligns accounting policies with the predominant inventory costing method used by industry peers, improving comparability for investors; (ii) is consistent with how we manage our business; and (iii) provides a single, uniform inventory costing methodology across all of our inventory. This change in accounting principle did not have a material effect on inventory or cost of sales for all periods presented; nor did it have a material impact on opening retained earnings. Therefore, prior comparative financial statements have not been restated.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ASU No.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spacing w:after="0" w:line="16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amended guidance applies to all entities and aims to simplify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contract assets by providing a practical expedient for all companies. The amendments are effective for annual reporting periods beginning after December 15, 2025 and interim reporting periods within those annual periods. We formally adopted ASU 2025-05, effective January 1, 2026, and elected the practical expedient provided to all companies. This adoption and related practical expedient election did not have and is not expected to have a material impact on our consolidated financial statements and related disclosures.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No. 2025-06, “</w:t>
      </w:r>
      <w:r>
        <w:rPr>
          <w:rFonts w:ascii="Times New Roman" w:cs="Times New Roman" w:eastAsia="Times New Roman" w:hAnsi="Times New Roman"/>
          <w:sz w:val="18"/>
          <w:szCs w:val="18"/>
          <w:i w:val="1"/>
          <w:iCs w:val="1"/>
          <w:color w:val="auto"/>
        </w:rPr>
        <w:t>Intangibles - Goodwill and Other - Internal-Use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amended guidance applies to all entities and serves to modernize the accounting for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that are accounted for under Subtopic 350-40, Intangibles - Goodwill and Other - Internal-Use Software (referred to as “internal-use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Entities may adopt the new guidance using a prospective, modified, or retrospective transition approach. We are currently evaluating the impact ASU No. 2025-06 will have on our consolidated financial statements and related disclosures.</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guidance applies to all entities and refines the scope of derivative accounting and clarifies rules for share-based noncash consideration in revenue contracts. Specifically, this update is intended to address concerns about the application of derivative accounting to contracts that have features based on the operations or activities of one of the parties to the contract and to reduce diversity in the accounting for share-based payments in revenue contracts. The amendments in this update are effective for all entities for annual reporting periods beginning after December 15, 2026, and interim reporting periods within those annual reporting periods. Early adoption is permitted. Entities may adopt the new guidance prospectively, or on a modified retrospective basis. We are currently evaluating the impact ASU No. 2025-07 will have on our consolidated financial statements and related disclosures.</w:t>
      </w:r>
    </w:p>
    <w:p>
      <w:pPr>
        <w:spacing w:after="0" w:line="18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This accounting standard update establishes specific rules for the recognition, measurement, and presentation of government grants received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For public business entities, this amended guidance is applicable for fiscal years beginning after December 15, 2028, including interim periods within those fiscal years. Early adoption is permitted. Entities may adopt the new guidance using a modified prospective, modified retrospective, or full retrospective approach. We are currently evaluating the impact ASU No. 2025-10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December 2025, the FASB issued ASU No.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The amendments in this update aim to enhance the guidance in Topic 270, Interim Reporting, by improving the navigability of the required interim disclosures and clarifying when that guidance is applicable. The amendments also provide additional guidance on what disclosures should be provided in interim reporting periods. Lastly, this updated guidance incorporates a principle that requires entities to disclose significant events since the end of the last annual reporting period. The amendments in this update apply to all entities that provide interim financial statements and notes in accordance with U.S. GAAP. For public business entities, this amended guidance is effective for interim reporting periods within annual reporting periods beginning after December 15, 2027. Early adoption is permitted, and the amendments in this update can be applied either prospectively or retrospectively to any or all periods presented in the financial statements. We are currently evaluating the impact ASU No. 2025-11 will have on our future condensed consolidated financial statements and related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 xml:space="preserve">Revenues are recognized under guidance within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following table presents our disaggregated revenue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2"/>
        </w:trPr>
        <w:tc>
          <w:tcPr>
            <w:tcW w:w="504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JAKAFI net sales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826,501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2,400,915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2,264,271</w:t>
            </w:r>
          </w:p>
        </w:tc>
      </w:tr>
      <w:tr>
        <w:trPr>
          <w:trHeight w:val="238"/>
        </w:trPr>
        <w:tc>
          <w:tcPr>
            <w:tcW w:w="504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OPZELURA net sales</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254,880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847,631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471,172</w:t>
            </w: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net sales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99,855</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net sales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63,373</w:t>
            </w: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net sales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102,672</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net sales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95,597</w:t>
            </w: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net sales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58,328</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149,668</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34,604</w:t>
            </w: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1,316,413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3,909,046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3,131,544</w:t>
            </w:r>
          </w:p>
        </w:tc>
      </w:tr>
      <w:tr>
        <w:trPr>
          <w:trHeight w:val="23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327,504</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101,393</w:t>
            </w: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r>
      <w:tr>
        <w:trPr>
          <w:trHeight w:val="23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516,873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452,863</w:t>
            </w:r>
          </w:p>
        </w:tc>
      </w:tr>
      <w:tr>
        <w:trPr>
          <w:trHeight w:val="23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57"/>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1,557,204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4,503,919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3,634,407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80" w:hanging="74"/>
        <w:spacing w:after="0"/>
        <w:tabs>
          <w:tab w:leader="none" w:pos="8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2026 JAKAFI net sales include JAKAFI and JAKAFI XR following the launch of JAKAFI XR in the second quarter of 2026.</w:t>
      </w:r>
    </w:p>
    <w:p>
      <w:pPr>
        <w:spacing w:after="0" w:line="187" w:lineRule="exact"/>
        <w:rPr>
          <w:sz w:val="20"/>
          <w:szCs w:val="20"/>
          <w:color w:val="auto"/>
        </w:rPr>
      </w:pPr>
    </w:p>
    <w:p>
      <w:pPr>
        <w:ind w:firstLine="6"/>
        <w:spacing w:after="0" w:line="290" w:lineRule="auto"/>
        <w:tabs>
          <w:tab w:leader="none" w:pos="93"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OPZELURA net sales for the nine months ended September 30, 2026 include $246.0 million related to our agreement with CMS to resolve our litigation related to the application of Medicaid rebate rules to OPZELURA. Refer to Note 16 for further information.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further information on our revenue-generating contracts, refer to Note 8.</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marketable securities portfolio for the periods presented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3"/>
                <w:szCs w:val="13"/>
                <w:color w:val="auto"/>
              </w:rPr>
            </w:pPr>
          </w:p>
        </w:tc>
        <w:tc>
          <w:tcPr>
            <w:tcW w:w="12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585,611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578,691</w:t>
            </w:r>
          </w:p>
        </w:tc>
        <w:tc>
          <w:tcPr>
            <w:tcW w:w="0" w:type="dxa"/>
            <w:vAlign w:val="bottom"/>
          </w:tcPr>
          <w:p>
            <w:pPr>
              <w:spacing w:after="0"/>
              <w:rPr>
                <w:sz w:val="1"/>
                <w:szCs w:val="1"/>
                <w:color w:val="auto"/>
              </w:rPr>
            </w:pPr>
          </w:p>
        </w:tc>
      </w:tr>
      <w:tr>
        <w:trPr>
          <w:trHeight w:val="265"/>
        </w:trPr>
        <w:tc>
          <w:tcPr>
            <w:tcW w:w="5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480,793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482,787</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the contractual maturities of our available-for-sale debt securities as of September 30, 2026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60" w:type="dxa"/>
            <w:vAlign w:val="bottom"/>
          </w:tcPr>
          <w:p>
            <w:pPr>
              <w:spacing w:after="0"/>
              <w:rPr>
                <w:sz w:val="16"/>
                <w:szCs w:val="16"/>
                <w:color w:val="auto"/>
              </w:rPr>
            </w:pPr>
          </w:p>
        </w:tc>
        <w:tc>
          <w:tcPr>
            <w:tcW w:w="12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1-5 Years</w:t>
            </w:r>
          </w:p>
        </w:tc>
      </w:tr>
      <w:tr>
        <w:trPr>
          <w:trHeight w:val="24"/>
        </w:trPr>
        <w:tc>
          <w:tcPr>
            <w:tcW w:w="4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debt securities (government)</w:t>
            </w:r>
          </w:p>
        </w:tc>
        <w:tc>
          <w:tcPr>
            <w:tcW w:w="2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578,691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211,841</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366,850</w:t>
            </w:r>
          </w:p>
        </w:tc>
      </w:tr>
    </w:tbl>
    <w:p>
      <w:pPr>
        <w:spacing w:after="0" w:line="2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Debt security assets were assessed for risk of expected credit losses. As of September 30, 2026 and December 31, 2025, the available-for-sale debt securities were held in U.S. government-backed securities and in Treasury bonds and were assessed on an individual security basis to have a de minimis risk of credit loss.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September 30, 2026 and December 31, 2025,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three and nine months ended September 30, 2026.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1"/>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13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3,275,881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3,275,881</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578,691</w:t>
            </w: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51,162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91,162</w:t>
            </w:r>
          </w:p>
        </w:tc>
      </w:tr>
      <w:tr>
        <w:trPr>
          <w:trHeight w:val="232"/>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3,327,043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578,691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3,945,734</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1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3"/>
                <w:szCs w:val="13"/>
                <w:color w:val="auto"/>
              </w:rPr>
            </w:pPr>
          </w:p>
        </w:tc>
        <w:tc>
          <w:tcPr>
            <w:tcW w:w="1360" w:type="dxa"/>
            <w:vAlign w:val="bottom"/>
          </w:tcPr>
          <w:p>
            <w:pPr>
              <w:jc w:val="center"/>
              <w:ind w:right="38"/>
              <w:spacing w:after="0" w:line="159" w:lineRule="exact"/>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9"/>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7"/>
                <w:szCs w:val="17"/>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8"/>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3,097,817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3,097,817</w:t>
            </w: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482,787</w:t>
            </w: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47,991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w:t>
            </w:r>
          </w:p>
        </w:tc>
      </w:tr>
      <w:tr>
        <w:trPr>
          <w:trHeight w:val="232"/>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3,145,808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482,787</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3,628,595</w:t>
            </w: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3"/>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3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4"/>
        </w:trPr>
        <w:tc>
          <w:tcPr>
            <w:tcW w:w="9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r>
      <w:tr>
        <w:trPr>
          <w:trHeight w:val="23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w:t>
            </w:r>
          </w:p>
        </w:tc>
      </w:tr>
      <w:tr>
        <w:trPr>
          <w:trHeight w:val="238"/>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5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sales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September 30, 2026 and December 31, 2025 included a discount rate of 10%, updated projections of future net sales of ICLUSIG in the European Union and other countries for the approved third line treatment, and related applicable royalty rates. The change in fair value of the contingent consideration during the three and nine months ended September 30, 2026 was due primarily to updated projections of future net sales of ICLUSIG, including the impact from fluctuations in foreign currency exchange rates, and the passage of time.</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generally make payments to Takeda Pharmaceutical Company Limited quarterly based on the royalties earned in the previous quarter. As of September 30, 2026 and December 31, 2025, contingent consideration earned but not yet paid was $10.9 million and $12.1 million, respectively, and was included in accrued and other current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Concentration of Credit Risk and Current Expected Credit Losses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Pharma AG (formerly known as Novartis Pharmaceutical International Ltd.) (“Novartis”). In December 2009, we entered into a License, Development and Commercialization Agreement with Eli Lilly and Company (“Lilly”). Novartis and Lilly comprised, in aggregate, 14% and 17% of the accounts receivable balance as of September 30, 2026 and December 31, 2025, respectively. For further information relating to these collaboration and license agreements, refer to Note 8.</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concentration of credit risk related to our JAKAFI and OPZELURA sales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r>
      <w:tr>
        <w:trPr>
          <w:trHeight w:val="172"/>
        </w:trPr>
        <w:tc>
          <w:tcPr>
            <w:tcW w:w="4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Sales for the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3"/>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Sales for the</w:t>
            </w:r>
          </w:p>
        </w:tc>
        <w:tc>
          <w:tcPr>
            <w:tcW w:w="960" w:type="dxa"/>
            <w:vAlign w:val="bottom"/>
          </w:tcPr>
          <w:p>
            <w:pPr>
              <w:spacing w:after="0"/>
              <w:rPr>
                <w:sz w:val="14"/>
                <w:szCs w:val="14"/>
                <w:color w:val="auto"/>
              </w:rPr>
            </w:pPr>
          </w:p>
        </w:tc>
      </w:tr>
      <w:tr>
        <w:trPr>
          <w:trHeight w:val="186"/>
        </w:trPr>
        <w:tc>
          <w:tcPr>
            <w:tcW w:w="4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3"/>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38"/>
        </w:trPr>
        <w:tc>
          <w:tcPr>
            <w:tcW w:w="47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1"/>
        </w:trPr>
        <w:tc>
          <w:tcPr>
            <w:tcW w:w="4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5"/>
                <w:szCs w:val="15"/>
                <w:color w:val="auto"/>
              </w:rPr>
            </w:pPr>
          </w:p>
        </w:tc>
      </w:tr>
      <w:tr>
        <w:trPr>
          <w:trHeight w:val="24"/>
        </w:trPr>
        <w:tc>
          <w:tcPr>
            <w:tcW w:w="4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5700" w:type="dxa"/>
            <w:vAlign w:val="bottom"/>
            <w:gridSpan w:val="2"/>
          </w:tcPr>
          <w:p>
            <w:pPr>
              <w:ind w:left="540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74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5"/>
              </w:rPr>
              <w:t>11 %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5"/>
              </w:rPr>
              <w:t>11 %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and E comprised, in the aggregate, 59% and 59% of the accounts receivable balance as of September 30, 2026 and December 31, 2025, respectively. The concentration of credit risk relating to our other sales or accounts receivable is not significant.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September 30, 2026 according to our accounting policy for applying reserves for expected credit losses, noting minimal history of uncollectible receivables and the continued perceived creditworthiness of our third-party sales relationships, upon which the expected credit losses were considered de minimis. As of September 30, 2026 and December 31, 2025, we had a de minimis amount of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Vega Therapeutics, Inc. (“Vega”)</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June 8, 2026, we entered into an agreement with Star Therapeutics LLC (“Star”) to acquire all of the outstanding shares of capital stock of Vega, a clinical-stage drug development company and wholly owned subsidiary of Star developing novel antibody therapies for rare blood disorders, focusing on von Willebrand disease. We completed the acquisition on July 6, 2026, for cash consideration of $1.25 billion.</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Vega’s lead molecule, latarcibart (formerly VGA039), is a first-in-class anti–Protein S monoclonal antibody in Phase 3 development for the treatment of von Willebrand disease, the most common inherited bleeding disorder. We accounted for the Vega transaction as an asset acquisition under U.S. GAAP because the latarcibart asset represents substantially all of the fair value of the gross assets acquired.</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$1.25 billion closing cash consideration, we incurred $16.7 million of direct transaction costs that were included in the total consideration allocated to the acquired net assets. Of the $1.267 billion in total consideration, $1.232 billion was allocated to the latarcibart asset, an acquired in-process research and development (“IPR&amp;D”) asset. The remaining $35.3 million of total consideration was allocated to the net assets acquired, including $37.5 million of a deferred tax asset, offset by liabilities assumed. As the acquired IPR&amp;D asset does not have an alternative future use at the acquisition date, we recognized the full amount of $1.232 billion as research and development expenses on our condensed consolidated statements of operations during the three months and nine months ended September 30, 2026.</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Star is eligible to receive up to $750 million in additional payments upon the achievement of specified annual net sales milestones in the U.S. for latarcibart. Because the transaction was accounted for as an asset acquisition, the contingent milestone payments were not recognized as of the acquisition date. We will recognize any additional consideration when the related contingency is resolved, and the U.S. net sales milestones are met. No amounts were recorded for the contingent milestone payments as of September 30,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27,860</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 and work-in-process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343,678</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475,836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443,292</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active pharmaceutical ingredients (“API”), work-in-process, and finished goods, inclusive of freight and inventoriable overhead. At September 30, 2026, $134.3 million of inventory was classified as current on the condensed consolidated balance sheet as we expect this inventory to be consumed for commercial use within the next twelve months. At September 30, 2026, $341.6 million of inventory was classified as non-current on the condensed consolidated balance sheet as we do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capitalize inventory after regulatory approval as the related costs are expected to be recoverable through the commercialization of the product. Costs incurred prior to regulatory approval are recorded as research and development expense in our condensed consolidated statements of operations. At September 30, 2026, inventory with approximately $32.3 million of product costs incurred prior to regulatory approval had not yet been sold. We expect to sell the pre-commercialization inventory over the next 3 to 25 months and, as a result, cost of sales will reflect a lower average per unit cost of materials.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Collaborative and Other Relationships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oncologic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this agreement,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September 30, 2026, we have recognized and received, in the aggregate, $157.0 million for the achievement of development milestones, $345.0 million for the achievement of regulatory milestones, and $200.0 million for the achievement of sales milestones.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obligated to pay to Novartis tiered royalties in the low single-digits on future JAKAFI net sales within the United States. On May 11, 2025, we and Novartis entered into a settlement agreement (the “Settlement Agreement”) with respect to litigation initiated by Novartis relating to the duration of royalty payments owed by us to Novartis under the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for a period defined in the Settlement Agreement. The reduced royalty paid for the quarter ended March 31, 2025, was approximately $14.9 million. The difference of $242.2 million between the total accrued royalties and the total amount paid by us to Novartis as disclosed above was recorded in Contract dispute settlement on our condensed consolidated statement of operations for the nine months ended September 30, 2025.</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2026, such royalties on net sales within the United States totaled $20.2 million and $56.3 million, respectively, and were reflected in cost of sales on the condensed consolidated statements of operations. During the three and nine months ended September 30, 2025, such royalties on net sales within the United States totaled $19.3 million and $67.8 million, respectively, and were reflected in cost of sales on the condensed consolidated statements of operations. At September 30, 2026 and December 31, 2025, approximately $20.2 million and $20.3 million, respectively, of accrued royalties were included in accrued and other current liabilities on the condensed consolidated balance sheets.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(the trade name used by Novartis for ruxolitinib sales outside of the United States) net sales outside of the United States, and tiered, worldwide royalties on TABRECTA net sales that range from 12% to 14%. Product royalty revenue related to Novartis’ net sales of JAKAVI outside of the United States for the three and nine months ended September 30, 2026, was $132.5 million and $362.2 million, respectively. Product royalty revenue related to Novartis’ net sales of JAKAVI outside of the United States for the three and nine months ended September 30, 2025, was $125.6 million and $327.5 million, respectively. Product royalty revenue related to Novartis’ net sales of TABRECTA worldwide for the three and nine months ended September 30, 2026, was $6.8 million and $19.5 million, respectively. Product royalty revenue related to Novartis’ net sales of TABRECTA worldwide for the three and nine months ended September 30, 2025, was $6.5 million and $19.6 million,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In October 2025, the parties amended the agreement to enable Lilly to commercialize baricitinib for the treatment of Type 1 diabetes mellitus and to restructure the royalty obligations on net sales of baricitinib, certain developmental and regulatory milestones associated with baricitinib, and the marketing and sales support obligations of Lilly. Beginning in October 2025, we are now eligible to receive either a fixed royalty amount or tiered royalties based on defined levels of quarterly global net sales, with the tiered royalties up to a rate in the mid-teens. Since the inception of the agreement through September 30, 2026, we recognized and received, in aggregate, $149.0 million for the achievement of development milestones, $335.0 million for the achievement of regulatory milestones, $50.0 million for the achievement of sales milestones, and $100.0 million for the functional intellectual property transfer related to Type 1 diabetes mellitus.</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 related to Lilly net sales of OLUMIANT outside of the United States for the three and nine months ended September 30, 2026 was $39.1 million and $113.9 million, respectively. Product royalty revenue related to Lilly net sales of OLUMIANT outside of the United States for the three and nine months ended September 30, 2025 was $37.1 million and $101.4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Since the inception of the agreement, inclusive of amendments to the agreement, through September 30, 2026,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 In June 2025, MacroGenics sold certain of its rights to such future tiered royalties on and after June 30, 2025 to Sagard Healthcare Partners (Delaware) II 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share equally the profits and losses from the co-commercialization efforts in the United States. Sales of axatilimab outside the United States are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September 30, 2026,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$225.0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of September 30, 2026, we held an investment of approximately 1.4 million shares of Syndax common stock. The fair market value of our long term investment in Syndax as of September 30, 2026 and December 31, 2025 was $26.7 million and $29.9 million, respectively. For the three and nine months ended September 30, 2026, we recorded an unrealized loss of $4.3 million and $3.1 million, respectively, based on the change in fair value of Syndax’s common stock during the respective periods. For the three and nine months ended September 30, 2025, we recorded an unrealized gain of $8.6 million and $3.1 million, respectively, based on the change in fair value of Syndax’s common stock during the respective periods.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2026, includes $4.8 million and $15.1 million, respectively, related to our 55% share of the co-development costs for axatilimab. Research and development expenses for the three and nine months ended September 30, 2025, includes $6.3 million and $16.3 million, respectively, related to our 55% share of the co-development costs for axatilimab. At September 30, 2026 and December 31, 2025, $1.4 million and $2.4 million, respectively, was included in accrued and other liabilities on the condensed consolidated balance sheet for amounts due to Syndax under the agreement.</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connection with the United States co-commercialization efforts, Syndax’s 50% share of profit for the three and nine months ended September 30, 2026 was $20.3 million and $54.9 million, respectively. Syndax’s 50% share of profit for the three and nine months ended September 30, 2025 was $14.3 million and $24.6 million, respectively, which is reflected in cost of sales on the condensed consolidated statement of operations. At September 30, 2026 and December 31, 2025, $29.5 million and $27.6 million, respectively, was included in accrued and other liability on the consolidated balance sheet for amounts due to Syndax related to United States co-commercialization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Prelude</w:t>
      </w:r>
    </w:p>
    <w:p>
      <w:pPr>
        <w:spacing w:after="0" w:line="221"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In November 2025, we entered into an exclusive purchase option agreement with Prelude Therapeutics Incorporated (“Prelude”). Under the terms of the agreement, we secured an exclusive option to acquire Prelude’s mutant selective JAK2V617F JH2 inhibitor program, including Prelude’s library of preclinical candidates. We paid Prelude a total of $60.0 million, comprised of an upfront payment of $35.0 million, plus a $25.0 million equity investment in Prelude. The $35.0 million upfront payment was recorded in research and development expense during the fourth quarter of 2025. We purchased 6.25 million shares of Prelude non-voting common stock at a price of $4.00 per share. Of this $25.0 million equity investment, approximately $17.1 million was expensed in research and development during the fourth quarter of 2025 as a premium above fair value of the stock purchase. The remaining $7.9 million is the initial fair value of our investment in Prelude. We are accounting for our shares held in Prelude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2026, we recorded an unrealized loss of $8.9 million and unrealized gain of $6.3 million, respectively based on the change in fair value of Prelude’s common stock during the period. The fair market value of our total long term investment in Prelude as of September 30, 2026 and December 31, 2025 was $24.4 million and $18.1 million, respectively.</w:t>
      </w:r>
    </w:p>
    <w:p>
      <w:pPr>
        <w:spacing w:after="0" w:line="18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Prelude expects to advance the JAK2V617F program to pre-defined milestones. We may elect to exercise our exclusive option during the option period to acquire the program and associated assets from Prelude for $100.0 million. In addition, if we exercise our option, Prelude would be eligible to receive up to $775.0 million in additional clinical and regulatory milestones, and single digit royalties on global net sales.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we elect to not exercise our option to acquire the program, all JAK2V617F global program rights and interests would remain in the sole ownership and control of Prelude.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Genesis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May 2026, we entered into a License, Research and Collaboration Agreement with Genesis Molecular AI, Inc. (“Genesis”), covering the building and deployment of artificial intelligence to accelerate the discovery of novel molecules for collaboration targets. Under the terms of the agreement, we will identify targets and Genesis will subsequently use the Genesis Exploration of Molecular Space artificial intelligence platform to identify molecular structures directed at each target. All preclinical costs related to the collaboration are subject to joint research plans. We will be responsible for leading the clinical development and global commercialization efforts.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Based on the terms of the agreement, we paid Genesis a total of $120.0 million, comprised of an upfront non-refundable payment of $80.0 million plus a $40.0 million equity investment in Genesis. In addition, Genesis is eligible to receive up to $135.0 million for the achievement of development milestones, up to $475.0 million for the achievement of regulatory milestones and up to $550.0 million for the achievement of sales milestones on the initial target programs.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$80.0 million upfront payment was determined to be a prepayment for future research and development services and thus will be amortized over the five-year term of the agreement. Research and development expenses during the three and nine months ended September 30, 2026, includes $4.0 million and $6.7 million, respectively, relating to the amortization of this upfront payment. Additionally, as of September 30, 2026, $16.0 million and $57.3 million were recorded in prepaid expenses and other current assets and other assets, net, respectively, on the condensed consolidated balance sheet relating to this upfront payment.</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purchased approximately 4.3 million shares of Genesis Series B-3 Preferred Stock for $40.0 million, at a price of $9.332 per share. As there is no readily determinable fair value for the shares we hold in Genesis, we have elected to account for our investment using the measurement alternative under ASC 321 whereby our investment is measured at cost, less any impairment, and adjusted for observable price changes in orderly transactions for identical or similar securities of Genesis. We monitor the investment for any observable price changes or impairment indicators. Any subsequent changes in fair value of our investment will be recognized within gain (loss) on equity investments on our condensed consolidated statements of operations. Given our intent to hold the investment for the foreseeable future, we have classified the investment within long term equity investments on the accompanying condensed consolidated balance sheets. For the three months ended September 30, 2026, we did not identify any impairment or observable price changes related to our investment in Genesis.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w:t>
            </w:r>
          </w:p>
        </w:tc>
      </w:tr>
      <w:tr>
        <w:trPr>
          <w:trHeight w:val="27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258,003</w:t>
            </w:r>
          </w:p>
        </w:tc>
      </w:tr>
      <w:tr>
        <w:trPr>
          <w:trHeight w:val="27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152,156</w:t>
            </w:r>
          </w:p>
        </w:tc>
      </w:tr>
      <w:tr>
        <w:trPr>
          <w:trHeight w:val="27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w:t>
            </w:r>
          </w:p>
        </w:tc>
      </w:tr>
      <w:tr>
        <w:trPr>
          <w:trHeight w:val="27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610,027</w:t>
            </w:r>
          </w:p>
        </w:tc>
      </w:tr>
      <w:tr>
        <w:trPr>
          <w:trHeight w:val="27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19,596</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30,485</w:t>
            </w:r>
          </w:p>
        </w:tc>
      </w:tr>
      <w:tr>
        <w:trPr>
          <w:trHeight w:val="232"/>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1,105,951</w:t>
            </w:r>
          </w:p>
        </w:tc>
      </w:tr>
      <w:tr>
        <w:trPr>
          <w:trHeight w:val="27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(414,708)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(375,066)</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701,101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730,885</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May 2024, we purchased additional property in Wilmington, Delaware, including land, office buildings and parking garages for a purchase price of $48.7 million. Subsequent to the purchase, we incurred additional construction costs of approximately $28.6 million through December 2025. During December 2025, the downtown Wilmington, Delaware properties met the criteria to be classified as assets held for sale. As a result of this classification, we recorded an asset impairment charge of $76.3 million on our consolidated statement of operations for the year ended December 31, 2025 relating to the downtown Wilmington properties in order to reflect the properties at the lower of their carrying amount or estimated fair value less cost to sell as of December 31, 2025. The estimated fair value less cost to sell of the properties was recorded within the Prepaid expenses and other current assets line item on our consolidated balance sheet as of December 31, 2025. During the first quarter of 2026, we sold these downtown properties, and recognized an additional $23.2 million of expenses relating to disposal costs, which are included in Asset impairment and related disposal costs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40,678</w:t>
            </w:r>
          </w:p>
        </w:tc>
      </w:tr>
      <w:tr>
        <w:trPr>
          <w:trHeight w:val="272"/>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175,932</w:t>
            </w:r>
          </w:p>
        </w:tc>
      </w:tr>
      <w:tr>
        <w:trPr>
          <w:trHeight w:val="2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642,468</w:t>
            </w:r>
          </w:p>
        </w:tc>
      </w:tr>
      <w:tr>
        <w:trPr>
          <w:trHeight w:val="272"/>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71,248</w:t>
            </w:r>
          </w:p>
        </w:tc>
      </w:tr>
      <w:tr>
        <w:trPr>
          <w:trHeight w:val="28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r>
      <w:tr>
        <w:trPr>
          <w:trHeight w:val="27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90,723</w:t>
            </w:r>
          </w:p>
        </w:tc>
      </w:tr>
      <w:tr>
        <w:trPr>
          <w:trHeight w:val="26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967,418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1,031,501</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Other Comprehensive Income (Loss)</w:t>
      </w:r>
    </w:p>
    <w:p>
      <w:pPr>
        <w:spacing w:after="0" w:line="20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tables summarize the activity related to each component of accumulated other comprehensive income (loss) during the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Translation Gains</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7"/>
              <w:spacing w:after="0" w:line="15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presented net of taxes)</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60" w:type="dxa"/>
            <w:vAlign w:val="bottom"/>
          </w:tcPr>
          <w:p>
            <w:pPr>
              <w:spacing w:after="0"/>
              <w:rPr>
                <w:sz w:val="17"/>
                <w:szCs w:val="17"/>
                <w:color w:val="auto"/>
              </w:rPr>
            </w:pP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0" w:type="dxa"/>
            <w:vAlign w:val="bottom"/>
          </w:tcPr>
          <w:p>
            <w:pPr>
              <w:spacing w:after="0"/>
              <w:rPr>
                <w:sz w:val="1"/>
                <w:szCs w:val="1"/>
                <w:color w:val="auto"/>
              </w:rPr>
            </w:pPr>
          </w:p>
        </w:tc>
      </w:tr>
      <w:tr>
        <w:trPr>
          <w:trHeight w:val="238"/>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(12,694)</w:t>
            </w:r>
          </w:p>
        </w:tc>
        <w:tc>
          <w:tcPr>
            <w:tcW w:w="0" w:type="dxa"/>
            <w:vAlign w:val="bottom"/>
          </w:tcPr>
          <w:p>
            <w:pPr>
              <w:spacing w:after="0"/>
              <w:rPr>
                <w:sz w:val="1"/>
                <w:szCs w:val="1"/>
                <w:color w:val="auto"/>
              </w:rPr>
            </w:pPr>
          </w:p>
        </w:tc>
      </w:tr>
      <w:tr>
        <w:trPr>
          <w:trHeight w:val="238"/>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amount reclassified from accumulated other comprehensive income</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32"/>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6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on Marketable</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7"/>
              <w:spacing w:after="0" w:line="15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presented net of taxes)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 Gains</w:t>
            </w: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60" w:type="dxa"/>
            <w:vAlign w:val="bottom"/>
          </w:tcPr>
          <w:p>
            <w:pPr>
              <w:spacing w:after="0"/>
              <w:rPr>
                <w:sz w:val="17"/>
                <w:szCs w:val="17"/>
                <w:color w:val="auto"/>
              </w:rPr>
            </w:pP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0" w:type="dxa"/>
            <w:vAlign w:val="bottom"/>
          </w:tcPr>
          <w:p>
            <w:pPr>
              <w:spacing w:after="0"/>
              <w:rPr>
                <w:sz w:val="1"/>
                <w:szCs w:val="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0" w:type="dxa"/>
            <w:vAlign w:val="bottom"/>
          </w:tcPr>
          <w:p>
            <w:pPr>
              <w:spacing w:after="0"/>
              <w:rPr>
                <w:sz w:val="1"/>
                <w:szCs w:val="1"/>
                <w:color w:val="auto"/>
              </w:rPr>
            </w:pPr>
          </w:p>
        </w:tc>
      </w:tr>
      <w:tr>
        <w:trPr>
          <w:trHeight w:val="238"/>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amount reclassified from accumulated other comprehensive income</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2"/>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Compensation</w:t>
      </w:r>
    </w:p>
    <w:p>
      <w:pPr>
        <w:spacing w:after="0" w:line="217" w:lineRule="exact"/>
        <w:rPr>
          <w:sz w:val="20"/>
          <w:szCs w:val="20"/>
          <w:color w:val="auto"/>
        </w:rPr>
      </w:pPr>
    </w:p>
    <w:p>
      <w:pPr>
        <w:jc w:val="both"/>
        <w:ind w:firstLine="636"/>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2010 Stock Incentive Plan. </w:t>
      </w:r>
      <w:r>
        <w:rPr>
          <w:rFonts w:ascii="Times New Roman" w:cs="Times New Roman" w:eastAsia="Times New Roman" w:hAnsi="Times New Roman"/>
          <w:sz w:val="17"/>
          <w:szCs w:val="17"/>
          <w:color w:val="auto"/>
        </w:rPr>
        <w:t>Under our Amended and Restated 2010 Stock Incentive Plan, as amended (the “2010 Stock Plan”), we may issue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to employees, non-employee directors, consultants, and scientific advisors. Awards under the 2010 Stock Plan include stock options, restricted stock units (“RSUs”) and performance shares (“PSUs”). A total of 74,953,475 shares of common stock are reserved for issuance pursuant to the 2010 Stock Plan.</w:t>
      </w:r>
    </w:p>
    <w:p>
      <w:pPr>
        <w:spacing w:after="0" w:line="15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Our Board of Directors has adopted the Incyte Corporation 2024 Inducement Stock Incentive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(the “2024 Inducement Plan”). In reliance on Nasdaq Marketplace Rule 5635(c)(4), stockholder approval was not obtained. A total of 2,000,000 shares of common stock are reserved for issuance pursuant to the 2024 Inducement Plan.</w:t>
      </w:r>
    </w:p>
    <w:p>
      <w:pPr>
        <w:spacing w:after="0" w:line="17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recorded $69.8 million and $201.2 million of stock compensation expense on our condensed consolidated statements of operations for the three and nine months ended September 30, 2026, respectively. We recorded $61.6 million and $187.2 million of stock compensation expense on our condensed consolidated statements of operations for the three and nine months ended September 30, 2025, respectively. Stock compensation expense included within our condensed consolidated statements of operations included research and development expense of $43.5 million, $120.9 million, $39.7 million and $114.1 million for the three and nine months ended September 30, 2026 and 2025, respectively. Stock compensation expense included within our condensed consolidated statements of operations also included selling, general and administrative expense of $25.1 million, $77.3 million, $21.0 million and $70.5 million for the three and nine months ended September 30, 2026 and 2025, respectively. Stock compensation expense included within our condensed consolidated statements of operations also included cost of sales of $1.2 million, $3.0 million, $0.9 million and $2.6 million, respectively, for the three and nine months ended September 30, 2026 and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1" w:right="339" w:bottom="1440" w:gutter="0" w:footer="0" w:header="0"/>
        </w:sectPr>
      </w:pP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29" w:lineRule="exact"/>
        <w:rPr>
          <w:sz w:val="20"/>
          <w:szCs w:val="20"/>
          <w:color w:val="auto"/>
        </w:rPr>
      </w:pPr>
    </w:p>
    <w:tbl>
      <w:tblPr>
        <w:tblLayout w:type="fixed"/>
        <w:tblInd w:w="2440" w:type="dxa"/>
        <w:tblCellMar>
          <w:top w:w="0" w:type="dxa"/>
          <w:left w:w="0" w:type="dxa"/>
          <w:bottom w:w="0" w:type="dxa"/>
          <w:right w:w="0" w:type="dxa"/>
        </w:tblCellMar>
      </w:tblPr>
      <w:tr>
        <w:trPr>
          <w:trHeight w:val="201"/>
        </w:trPr>
        <w:tc>
          <w:tcPr>
            <w:tcW w:w="2180" w:type="dxa"/>
            <w:vAlign w:val="bottom"/>
            <w:tcBorders>
              <w:top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60" w:type="dxa"/>
            <w:vAlign w:val="bottom"/>
            <w:tcBorders>
              <w:top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4"/>
        </w:trPr>
        <w:tc>
          <w:tcPr>
            <w:tcW w:w="10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1060" w:type="dxa"/>
            <w:vAlign w:val="bottom"/>
          </w:tcPr>
          <w:p>
            <w:pPr>
              <w:spacing w:after="0"/>
              <w:rPr>
                <w:sz w:val="15"/>
                <w:szCs w:val="15"/>
                <w:color w:val="auto"/>
              </w:rPr>
            </w:pPr>
          </w:p>
        </w:tc>
        <w:tc>
          <w:tcPr>
            <w:tcW w:w="2220" w:type="dxa"/>
            <w:vAlign w:val="bottom"/>
            <w:gridSpan w:val="2"/>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5"/>
                <w:szCs w:val="15"/>
                <w:color w:val="auto"/>
              </w:rPr>
            </w:pPr>
          </w:p>
        </w:tc>
      </w:tr>
      <w:tr>
        <w:trPr>
          <w:trHeight w:val="24"/>
        </w:trPr>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0" w:type="dxa"/>
            <w:vAlign w:val="bottom"/>
            <w:tcBorders>
              <w:top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60" w:type="dxa"/>
            <w:vAlign w:val="bottom"/>
            <w:tcBorders>
              <w:top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4"/>
        </w:trPr>
        <w:tc>
          <w:tcPr>
            <w:tcW w:w="10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1060" w:type="dxa"/>
            <w:vAlign w:val="bottom"/>
          </w:tcPr>
          <w:p>
            <w:pPr>
              <w:spacing w:after="0"/>
              <w:rPr>
                <w:sz w:val="15"/>
                <w:szCs w:val="15"/>
                <w:color w:val="auto"/>
              </w:rPr>
            </w:pPr>
          </w:p>
        </w:tc>
        <w:tc>
          <w:tcPr>
            <w:tcW w:w="2240" w:type="dxa"/>
            <w:vAlign w:val="bottom"/>
            <w:gridSpan w:val="2"/>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5"/>
                <w:szCs w:val="15"/>
                <w:color w:val="auto"/>
              </w:rPr>
            </w:pPr>
          </w:p>
        </w:tc>
      </w:tr>
      <w:tr>
        <w:trPr>
          <w:trHeight w:val="24"/>
        </w:trPr>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4" w:lineRule="exact"/>
        <w:rPr>
          <w:sz w:val="20"/>
          <w:szCs w:val="20"/>
          <w:color w:val="auto"/>
        </w:rPr>
      </w:pPr>
    </w:p>
    <w:p>
      <w:pPr>
        <w:sectPr>
          <w:pgSz w:w="11900" w:h="16838" w:orient="portrait"/>
          <w:cols w:equalWidth="0" w:num="2">
            <w:col w:w="6780" w:space="100"/>
            <w:col w:w="4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r>
      <w:tr>
        <w:trPr>
          <w:trHeight w:val="23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3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185"/>
        </w:trPr>
        <w:tc>
          <w:tcPr>
            <w:tcW w:w="244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Weighted-average fair value (in</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38.45</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14.95</w:t>
            </w:r>
          </w:p>
        </w:tc>
      </w:tr>
    </w:tbl>
    <w:p>
      <w:pPr>
        <w:spacing w:after="0" w:line="2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activity under our 2010 Stock Plan and 2024 Inducement Plan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45"/>
        </w:trPr>
        <w:tc>
          <w:tcPr>
            <w:tcW w:w="8180" w:type="dxa"/>
            <w:vAlign w:val="bottom"/>
          </w:tcPr>
          <w:p>
            <w:pPr>
              <w:spacing w:after="0"/>
              <w:rPr>
                <w:sz w:val="12"/>
                <w:szCs w:val="12"/>
                <w:color w:val="auto"/>
              </w:rPr>
            </w:pPr>
          </w:p>
        </w:tc>
        <w:tc>
          <w:tcPr>
            <w:tcW w:w="148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right"/>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10,859,861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1,267,479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(3,404,545)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(331,207)</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8,391,588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RSU and PSU award activity under the 2010 Stock Plan and 2024 Inducement Plan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1"/>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87"/>
        </w:trPr>
        <w:tc>
          <w:tcPr>
            <w:tcW w:w="8180" w:type="dxa"/>
            <w:vAlign w:val="bottom"/>
          </w:tcPr>
          <w:p>
            <w:pPr>
              <w:spacing w:after="0"/>
              <w:rPr>
                <w:sz w:val="16"/>
                <w:szCs w:val="16"/>
                <w:color w:val="auto"/>
              </w:rPr>
            </w:pPr>
          </w:p>
        </w:tc>
        <w:tc>
          <w:tcPr>
            <w:tcW w:w="14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4"/>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9,275,450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2,411,809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PSUs earned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(2,638,862)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(471,271)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(24,288)</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84.61</w:t>
            </w: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8,596,154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six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nine months ended September 30, 2026, we recorded $6.4 million and $21.8 million, respectively, of stock compensation expense for PSUs on our condensed consolidated statements of operations. For the three and nine months ended September 30, 2025 we recorded $2.6 million and $12.6 million, respectively, of stock compensation expense for PSUs on our condensed consolidated statements of operations.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 and 2024 Inducement Plan. Each RSU and PSU grant reduces the available share pool by one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6"/>
        </w:trPr>
        <w:tc>
          <w:tcPr>
            <w:tcW w:w="9760" w:type="dxa"/>
            <w:vAlign w:val="bottom"/>
          </w:tcPr>
          <w:p>
            <w:pPr>
              <w:spacing w:after="0"/>
              <w:rPr>
                <w:sz w:val="16"/>
                <w:szCs w:val="16"/>
                <w:color w:val="auto"/>
              </w:rPr>
            </w:pPr>
          </w:p>
        </w:tc>
        <w:tc>
          <w:tcPr>
            <w:tcW w:w="14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4"/>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9,059,040</w:t>
            </w:r>
          </w:p>
        </w:tc>
      </w:tr>
      <w:tr>
        <w:trPr>
          <w:trHeight w:val="25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 and issuance of shares for services rendered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(4,090,265)</w:t>
            </w:r>
          </w:p>
        </w:tc>
      </w:tr>
      <w:tr>
        <w:trPr>
          <w:trHeight w:val="26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826,766</w:t>
            </w:r>
          </w:p>
        </w:tc>
      </w:tr>
      <w:tr>
        <w:trPr>
          <w:trHeight w:val="264"/>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5,795,541</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estimate an annualized forfeiture rate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September 30, 2026, was $43.0 million, which is expected to be recognized over the weighted average period of approximately 1.4 years. Total compensation cost of RSUs granted but not yet vested, as of September 30, 2026, was $330.2 million, which is expected to be recognized over the weighted average period of approximately 1.6 years. Total compensation cost of PSUs granted but not yet vested, as of September 30, 2026, was $57.6 million, which is expected to be recognized over the weighted average period of 2.2 years, should the underlying performance conditions be deemed probable of achievement.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19" w:lineRule="exact"/>
        <w:rPr>
          <w:sz w:val="20"/>
          <w:szCs w:val="20"/>
          <w:color w:val="auto"/>
        </w:rPr>
      </w:pPr>
    </w:p>
    <w:p>
      <w:pPr>
        <w:ind w:right="120" w:firstLine="636"/>
        <w:spacing w:after="0" w:line="274"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we recorded the following provisions for income taxes and effective tax rates as compared to our (loss) income before provision for income taxes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4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6"/>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4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(688,848)</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482,308</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406,266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1,274,510</w:t>
            </w:r>
          </w:p>
        </w:tc>
      </w:tr>
      <w:tr>
        <w:trPr>
          <w:trHeight w:val="25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95,955</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302,134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287,139</w:t>
            </w:r>
          </w:p>
        </w:tc>
      </w:tr>
      <w:tr>
        <w:trPr>
          <w:trHeight w:val="271"/>
        </w:trPr>
        <w:tc>
          <w:tcPr>
            <w:tcW w:w="4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5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bl>
    <w:p>
      <w:pPr>
        <w:spacing w:after="0" w:line="29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effective tax rates for the three and nine months ended September 30, 2026 were unfavorably impacted by a one-time non-deductible charge of $1.23 billion associated with the acquisition of Vega and a net increase in valuation allowances against certain U.S. federal and state deferred tax assets. This was partially offset by tax benefits associated with the generation of tax credits, stock compensation related tax deductions and foreign tax effects. In addition, our effective tax rate for the nine months ended September 30, 2026 was favorably impacted by changes in unrecognized tax benefits.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was favorably impacted by a net decrease in our valuation allowance against certain U.S. federal deferred tax assets, resulting from the 2025 U.S. tax law changes described below. Our effective tax rate for the nine months ended September 30, 2025 was unfavorably impacted by an increase in our valuation allowance against certain U.S. federal and state deferred tax assets. This was partially offset by tax rate benefits associated with the generation of tax credits, the effect of cross-border tax laws and a decrease in a prior year valuation allowance against certain U.S. federal deferred tax assets, resulting from the 2025 U.S. tax law changes.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2026 were unfavorable as compared to the three and nine months ended September 30, 2025 primarily due to the one-time non-deductible charge of $1.23 billion associated with the acquisition of Vega.</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accrue interest and penalties related to unrecognized tax benefits as a component of the provision for income taxes.</w:t>
      </w:r>
    </w:p>
    <w:p>
      <w:pPr>
        <w:spacing w:after="0" w:line="21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We were under U.S. federal audit for the 2021 tax year; during the first quarter of 2026, the federal audit for tax year 2021 was completed with no material matters identified.</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2 guidelines, supported by over 130 countries worldwide, establish a 15% global minimum tax on adjusted financial results. Pillar 2 legislation has been enacted in multiple jurisdictions in which we operate and became effective beginning in 2024. We have evaluated the impact of Pillar 2 on our business, and determined there are no material impacts on our effective tax rate at this time. We will continue to monitor additional enactments and guidance as they occur and assess any future impacts in the period they become effective.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2025, the U.S. enacted the One Big Beautiful Bill Act (“OBBBA”), which modified certain provisions of the Tax Cuts and Jobs Act of 2017, including those related to the expensing of domestic research and development costs, the deduction for foreign-derived intangible income, and the global intangible low-taxed income regime. The OBBBA also introduced multiple elections related to the treatment of domestic research and development expenditures. As a result of these changes, we expect to fully deduct certain expenditures for which deferred tax assets had previously been recorded and, accordingly, no longer maintain a valuation allowance against such amounts. The absence of these deferred tax assets and related valuation allowance continues to have a favorable impact on our effective tax rate for the current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Income Per Share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(loss) income per share was calculated as follows for the periods indicated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(loss)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(784,803)</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r>
      <w:tr>
        <w:trPr>
          <w:trHeight w:val="265"/>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8"/>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203,246</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194,459</w:t>
            </w:r>
          </w:p>
        </w:tc>
      </w:tr>
      <w:tr>
        <w:trPr>
          <w:trHeight w:val="265"/>
        </w:trPr>
        <w:tc>
          <w:tcPr>
            <w:tcW w:w="5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57"/>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(loss)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r>
      <w:tr>
        <w:trPr>
          <w:trHeight w:val="265"/>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194,459</w:t>
            </w:r>
          </w:p>
        </w:tc>
      </w:tr>
      <w:tr>
        <w:trPr>
          <w:trHeight w:val="238"/>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13"/>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used to compute diluted net (loss)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7"/>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203,246</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199,405</w:t>
            </w:r>
          </w:p>
        </w:tc>
      </w:tr>
      <w:tr>
        <w:trPr>
          <w:trHeight w:val="265"/>
        </w:trPr>
        <w:tc>
          <w:tcPr>
            <w:tcW w:w="5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57"/>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All stock options and stock awards were excluded from the diluted share calculation for the three months ended September 30, 2026 because their effect would have been anti-dilutive, as we were in a net loss position. The potential common shares that were excluded from the diluted net (loss) income per share computation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160" w:type="dxa"/>
            <w:vAlign w:val="bottom"/>
            <w:gridSpan w:val="3"/>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3"/>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r>
      <w:tr>
        <w:trPr>
          <w:trHeight w:val="192"/>
        </w:trPr>
        <w:tc>
          <w:tcPr>
            <w:tcW w:w="46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Borders>
              <w:bottom w:val="single" w:sz="8" w:color="auto"/>
            </w:tcBorders>
            <w:gridSpan w:val="3"/>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4600" w:type="dxa"/>
            <w:vAlign w:val="bottom"/>
          </w:tcPr>
          <w:p>
            <w:pPr>
              <w:spacing w:after="0"/>
              <w:rPr>
                <w:sz w:val="16"/>
                <w:szCs w:val="16"/>
                <w:color w:val="auto"/>
              </w:rPr>
            </w:pPr>
          </w:p>
        </w:tc>
        <w:tc>
          <w:tcPr>
            <w:tcW w:w="148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700" w:type="dxa"/>
            <w:vAlign w:val="bottom"/>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9,236,142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8,111,846</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2,409,289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11,064,833</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nine months ended September 30, 2026 was $6.4 million and $19.1 million, respectively. Defined contribution expense for the three and nine months ended September 30, 2025 was $5.8 million and $17.3 million,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7"/>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3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8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3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net on the condensed consolidated statements of operations. We expect to contribute a total of $12.6 million to the pension plans in 2026 inclusive of the amounts contributed to the plan during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September 30, 2026 and December 31, 2025, we had no outstanding borrowings or letters of credit outstanding and were in compliance with all covenants under this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The outcome of these disputes, regardless of the merits, is inherently uncertain and it is possible that an unfavorable resolution of these matters could adversely affect us, our results of operations, financial condition or cash flows. We record a reserve for these matters when it is both probable that a liability has been incurred and the amount of the loss can be reasonably estimated.</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8,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brought a lawsuit against CMS alleging that a regulation issued by CMS on the definition of “line extension” for purposes of the Medicaid rebate program was too broad and had the unintended consequence of treating OPZELURA as a “line extension” of JAKAFI under this program. In the second quarter of 2026, we reached an agreement with CMS to resolve our litigation related to the application of Medicaid rebate rules to OPZELURA (ruxolitinib) cream. Under the agreement, CMS will not apply the line extension regulations to OPZELURA as if it were a line extension of JAKAFI (ruxolitinib). In the second quarter of 2026, we recorded a one-time, non-cash benefit of $246.0 million in net sales on the condensed consolidated statements of operations, associated with the reversal of previously established accrual balances through March 31, 2026, related to liabilities associated with the potential application of the line extension regulations to OPZELURA. We no longer accrue for the potential application of the line extension regulations to OPZELURA.</w:t>
      </w:r>
    </w:p>
    <w:p>
      <w:pPr>
        <w:spacing w:after="0" w:line="17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addition, we have various patent disputes and litigation initiated by us related to potential generic or other competition for our products, as described below under Part II, Item 1A. “Risk Factors—Risks Relating to Commercialization of Our Products— Competition for our products could harm our business and result in a decrease in our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accounting policies for our single operating segment are the same as those described in the summary of significant accounting policies in our Annual Report on Form 10-K for the year ended December 31, 2025. Our single operating segment generates net sales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For our segment, the chief operating decision maker uses net income or loss, that also is reported on the condensed consolidated statements of operations as consolidated net income, to allocate resources (including employees, property, and financial resources), predominantly during the annual budget and forecasting process. The chief operating decision maker also uses consolidated net income or loss,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condensed consolidated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(loss) income for our segment was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1,316,413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3,909,046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3,131,544</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190,991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516,873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452,863</w:t>
            </w: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2"/>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1,557,204</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4,503,919</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3,634,407</w:t>
            </w:r>
          </w:p>
        </w:tc>
      </w:tr>
      <w:tr>
        <w:trPr>
          <w:trHeight w:val="245"/>
        </w:trPr>
        <w:tc>
          <w:tcPr>
            <w:tcW w:w="5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(including definite-lived intangible amortization)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318,224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250,955</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(242,251)</w:t>
            </w:r>
          </w:p>
        </w:tc>
      </w:tr>
      <w:tr>
        <w:trPr>
          <w:trHeight w:val="238"/>
        </w:trPr>
        <w:tc>
          <w:tcPr>
            <w:tcW w:w="502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Research and development - internal</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283,647</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812,438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715,171</w:t>
            </w:r>
          </w:p>
        </w:tc>
      </w:tr>
      <w:tr>
        <w:trPr>
          <w:trHeight w:val="238"/>
        </w:trPr>
        <w:tc>
          <w:tcPr>
            <w:tcW w:w="502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Research and development - external</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762,208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695,459</w:t>
            </w:r>
          </w:p>
        </w:tc>
      </w:tr>
      <w:tr>
        <w:trPr>
          <w:trHeight w:val="239"/>
        </w:trPr>
        <w:tc>
          <w:tcPr>
            <w:tcW w:w="502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1,237,263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1,249,863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296,885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786,265</w:t>
            </w: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199,529</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related disposal costs</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6"/>
        </w:trPr>
        <w:tc>
          <w:tcPr>
            <w:tcW w:w="502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Loss (gain) on change in fair value of acquisition-related contingent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3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w:t>
            </w:r>
          </w:p>
        </w:tc>
      </w:tr>
      <w:tr>
        <w:trPr>
          <w:trHeight w:val="238"/>
        </w:trPr>
        <w:tc>
          <w:tcPr>
            <w:tcW w:w="5020" w:type="dxa"/>
            <w:vAlign w:val="bottom"/>
            <w:tcBorders>
              <w:bottom w:val="single" w:sz="8" w:color="CCEEFF"/>
            </w:tcBorders>
          </w:tcPr>
          <w:p>
            <w:pPr>
              <w:ind w:left="20"/>
              <w:spacing w:after="0" w:line="239"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76,442</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186,522</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191,629</w:t>
            </w: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60" w:hanging="154"/>
        <w:spacing w:after="0"/>
        <w:tabs>
          <w:tab w:leader="none" w:pos="1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internal is comprised of internally generated costs such as salaries, travel, regulatory costs, lab costs and contracting.</w:t>
      </w:r>
    </w:p>
    <w:p>
      <w:pPr>
        <w:ind w:left="160" w:hanging="154"/>
        <w:spacing w:after="0" w:line="215" w:lineRule="auto"/>
        <w:tabs>
          <w:tab w:leader="none" w:pos="15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external is comprised of specific program spend with external vendors (i.e. contract manufacturing organizations, contract research organizations and lab vendors for clinical, technical operations and toxicology services).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research and development is comprised of all other costs including certain one-time costs resulting from the acquisition of IPR&amp;D assets and one-time development milestone expenses.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is comprised of interest income, interest expense, realized and unrealized gain (loss) on equity investments, other, net, and provision for income taxes.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 by Geographic Location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revenues by geographic region were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1,434,977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4,166,555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3,375,171</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247,744</w:t>
            </w:r>
          </w:p>
        </w:tc>
      </w:tr>
      <w:tr>
        <w:trPr>
          <w:trHeight w:val="23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r>
      <w:tr>
        <w:trPr>
          <w:trHeight w:val="23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1,557,204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4,503,919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3,634,407</w:t>
            </w: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2"/>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8"/>
        </w:trPr>
        <w:tc>
          <w:tcPr>
            <w:tcW w:w="5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 by Geographic Location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by geographic location was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406,829</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309,802</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701,101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730,885</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nine months ended September 30, 2026 should be read in conjunction with the unaudited condensed consolidated financial statements and notes to those statements included elsewhere in this Quarterly Report on Form 10-Q and our audited consolidated financial statements as of and for the year ended December 31, 2025 included in our Annual Report on Form 10-K for the year ended December 31, 2025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ind w:firstLine="636"/>
        <w:spacing w:after="0" w:line="275" w:lineRule="auto"/>
        <w:rPr>
          <w:sz w:val="20"/>
          <w:szCs w:val="20"/>
          <w:color w:val="auto"/>
        </w:rPr>
      </w:pPr>
      <w:r>
        <w:rPr>
          <w:rFonts w:ascii="Times New Roman" w:cs="Times New Roman" w:eastAsia="Times New Roman" w:hAnsi="Times New Roman"/>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among other things, statements as to:</w:t>
      </w:r>
    </w:p>
    <w:p>
      <w:pPr>
        <w:spacing w:after="0" w:line="55" w:lineRule="exact"/>
        <w:rPr>
          <w:sz w:val="20"/>
          <w:szCs w:val="20"/>
          <w:color w:val="auto"/>
        </w:rPr>
      </w:pPr>
    </w:p>
    <w:p>
      <w:pPr>
        <w:jc w:val="both"/>
        <w:ind w:left="960" w:hanging="318"/>
        <w:spacing w:after="0" w:line="247"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/JAKAFI XR</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(tafasitamab-cxix) / MINJUVI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ZYNYZ</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 and NIKTIMVO</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8"/>
          <w:szCs w:val="18"/>
          <w:i w:val="1"/>
          <w:iCs w:val="1"/>
          <w:color w:val="auto"/>
        </w:rPr>
        <w:t xml:space="preserve"> (axatilimab);</w:t>
      </w:r>
    </w:p>
    <w:p>
      <w:pPr>
        <w:spacing w:after="0" w:line="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timing, structure and size of our clinical trials; the compounds expected to enter clinical trials; the nature and timing of clinical trial results;</w:t>
      </w:r>
    </w:p>
    <w:p>
      <w:pPr>
        <w:spacing w:after="0" w:line="122"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development, manufacturing, sales and marketing;</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 including plans relating to the use of third-party manufacturers;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expectations with respect to inventory;</w:t>
      </w:r>
    </w:p>
    <w:p>
      <w:pPr>
        <w:spacing w:after="0" w:line="53"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 expectations with respect to the impact on our revenues of U.S. or other government proposals regarding drug pricing;</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the fluctuation of losses and the currency translation impact associated with non-U.S. operations and collaboration royalties;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 and our expectations with respect to the need or ability to raise additional capital;</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and other financial impacts associated with resolving matters in litigation and governmental proceedings;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60" w:lineRule="exact"/>
        <w:rPr>
          <w:sz w:val="20"/>
          <w:szCs w:val="20"/>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successfully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drug pricing and reimbursement in the markets in which we or our collaborators and licensees commercialize our drug products;</w:t>
      </w:r>
    </w:p>
    <w:p>
      <w:pPr>
        <w:spacing w:after="0" w:line="111" w:lineRule="exact"/>
        <w:rPr>
          <w:rFonts w:ascii="Times New Roman" w:cs="Times New Roman" w:eastAsia="Times New Roman" w:hAnsi="Times New Roman"/>
          <w:sz w:val="18"/>
          <w:szCs w:val="18"/>
          <w:i w:val="1"/>
          <w:iCs w:val="1"/>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regulatory approvals to market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civil or criminal penalties if we market our products in a manner that violates healthcare fraud and abuse and other applicable laws, rules and regulations;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in, or discontinuations of, research and development efforts;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that previous preclinical testing or clinical trial results are not necessarily indicative of future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conduct of our clinical trials, including geopolitical risks;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safety findings;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that results of our clinical trials do not support submission of a marketing approval application for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third-party manufacturers, collaborators, and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development of new products and their use by us and our current and potential collaborators;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to develop and commercialize drug products similar to our own, including potential generic competition;</w:t>
      </w:r>
    </w:p>
    <w:p>
      <w:pPr>
        <w:spacing w:after="0" w:line="53"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prosecuting, maintaining, defending and enforcing patent claims and other intellectual property rights;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tariffs and trade conflicts and the effects of any economic slowdown;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1" w:lineRule="exact"/>
        <w:rPr>
          <w:rFonts w:ascii="Times New Roman" w:cs="Times New Roman" w:eastAsia="Times New Roman" w:hAnsi="Times New Roman"/>
          <w:sz w:val="18"/>
          <w:szCs w:val="18"/>
          <w:i w:val="1"/>
          <w:iCs w:val="1"/>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and regulations and our ability to analyze the effects of new accounting pronouncements and apply new accounting rules;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sustain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health pandemics such as the COVID-19 pandemic, natural disasters, or geopolitical events such as the Russian invasion of Ukraine and conflicts in the Middle East; and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 in Part II, Item 1A of this Quarterly Report on Form 10-Q.</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such term means only the parent company.</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and NIKTIMVO and JAKAFI XR are our trademarks. We also refer to trademarks of other corporations and organizations in this Quarterly Report on Form 10-Q.</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9" w:lineRule="exact"/>
        <w:rPr>
          <w:sz w:val="20"/>
          <w:szCs w:val="20"/>
          <w:color w:val="auto"/>
        </w:rPr>
      </w:pPr>
    </w:p>
    <w:p>
      <w:pPr>
        <w:jc w:val="both"/>
        <w:ind w:left="320" w:right="20" w:firstLine="63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under “Risk Factors” in Part II, Item 1A of this report before deciding whether to invest in our company.</w:t>
      </w:r>
    </w:p>
    <w:p>
      <w:pPr>
        <w:spacing w:after="0" w:line="178" w:lineRule="exact"/>
        <w:rPr>
          <w:sz w:val="20"/>
          <w:szCs w:val="20"/>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our lead product, JAKAFI (ruxolitinib), which is marketed as JAKAVI outside the United States. If we are unable to maintain revenues from JAKAFI/JAKAVI or those revenues decrease, our business may be materially harmed.</w:t>
      </w:r>
    </w:p>
    <w:p>
      <w:pPr>
        <w:spacing w:after="0" w:line="136"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38"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 and we could face increased costs, penalties and a loss of business.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our efforts to discover and develop drug candidates and commercialize drug products.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for our drug candidates in the United States or foreign jurisdictions, we or our collaborators will not be permitted to commercialize products resulting from our research.</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measures, including federal and state drug pricing reforms, could impact the pricing and profitability of pharmaceuticals and adversely affect the commercial viability of our or our collaborators’ products and drug candidates.</w:t>
      </w:r>
    </w:p>
    <w:p>
      <w:pPr>
        <w:spacing w:after="0" w:line="136"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38"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licensing agreements or if these arrangements are unsuccessful, our business and operations may be adversely affected.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manufacture of certain of our drug products and drug candidates could result in a short supply of the drugs, delays in clinical trials or drug development, increased costs, and withdrawal or denial of a regulatory authority’s approval.</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36"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38"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and equity investments are subject to risks that could adversely affect our overall financial position, and changes in tax laws or regulations could adversely affect our results of operations, business and financial condition.</w:t>
      </w:r>
    </w:p>
    <w:p>
      <w:pPr>
        <w:spacing w:after="0" w:line="136"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38"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subject to arbitration, litigation and infringement claims, they could be costly and disrupt our drug discovery and development efforts.</w:t>
      </w:r>
    </w:p>
    <w:p>
      <w:pPr>
        <w:spacing w:after="0" w:line="188" w:lineRule="exact"/>
        <w:rPr>
          <w:rFonts w:ascii="Times New Roman" w:cs="Times New Roman" w:eastAsia="Times New Roman" w:hAnsi="Times New Roman"/>
          <w:sz w:val="17"/>
          <w:szCs w:val="17"/>
          <w:color w:val="auto"/>
        </w:rPr>
      </w:pPr>
    </w:p>
    <w:p>
      <w:pPr>
        <w:jc w:val="both"/>
        <w:ind w:left="960" w:hanging="318"/>
        <w:spacing w:after="0" w:line="25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51"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in foreign countries may result in the expenditure of substantial sums and management resources.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artificial intelligence-based software and tools creates new risks and challenges that could adversely affect our business or cause reputational harm.</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headquarters in Tokyo and our Canadian headquarters in Montreal.</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are focused in three therapeutic areas that are defined by the indications of our approved medicines and the diseases for which our clinical candidates are being developed. These therapeutic areas are: Hematology, Oncology, and Inflammation and Autoimmunity (“IAI”).</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hematology franchise includes five approved products, JAKAFI (ruxolitinib), JAKAFI XR (ruxolitinib), ICLUSIG (ponatinib), MONJUVI (tafasitamab-cxix)/MINJUVI (tafasitamab) and NIKTIMVO (axatilimab-csfr), as well as multiple clinical development programs.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Approved Products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JAKAFI (ruxolitinib)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group of rare blood cancers, and GVHD is an adverse immune response to an allogeneic hematopoietic stem cell transplant (“HSCT”).</w:t>
      </w:r>
    </w:p>
    <w:p>
      <w:pPr>
        <w:spacing w:after="0" w:line="198" w:lineRule="exact"/>
        <w:rPr>
          <w:sz w:val="20"/>
          <w:szCs w:val="20"/>
          <w:color w:val="auto"/>
        </w:rPr>
      </w:pPr>
    </w:p>
    <w:p>
      <w:pPr>
        <w:ind w:right="120" w:firstLine="636"/>
        <w:spacing w:after="0" w:line="258" w:lineRule="auto"/>
        <w:rPr>
          <w:sz w:val="20"/>
          <w:szCs w:val="20"/>
          <w:color w:val="auto"/>
        </w:rPr>
      </w:pPr>
      <w:r>
        <w:rPr>
          <w:rFonts w:ascii="Times New Roman" w:cs="Times New Roman" w:eastAsia="Times New Roman" w:hAnsi="Times New Roman"/>
          <w:sz w:val="18"/>
          <w:szCs w:val="18"/>
          <w:color w:val="auto"/>
        </w:rPr>
        <w:t>The FDA has granted JAKAFI orphan drug status for MF, PV and GVHD. Because of these orphan designations, the ORPHAN Cures Act extended the period before ruxolitinib phosphate becomes eligible for selection for Medicare drug price negotiation under the Inflation Reduction Act.</w:t>
      </w:r>
    </w:p>
    <w:p>
      <w:pPr>
        <w:spacing w:after="0" w:line="17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a rare, life-threatening condition, is considered the most serious of the MPNs and can occur either as primary MF or as secondary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MF in patients who previously had PV or essential thrombocythemia (“ET”). In November 2011, the FDA approved JAKAFI for the treatment of adults with intermediate- or high-risk MF, including primary MF, post-PV MF and post-ET MF. There were no FDA approved therapies for MF until the approval of JAKAFI.</w:t>
      </w:r>
    </w:p>
    <w:p>
      <w:pPr>
        <w:spacing w:after="0" w:line="17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an MPN typically characterized by elevated hematocrit, the volume percentage of red blood cells in whole blood,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lead to a thickening of the blood and an increased risk of blood clots, as well as an elevated white blood cell and platelet count. In December 2014, the FDA approved JAKAFI for the treatment of patients with PV who have had an inadequate response to or are intolerant of hydroxyurea.</w:t>
      </w:r>
    </w:p>
    <w:p>
      <w:pPr>
        <w:spacing w:after="0" w:line="173" w:lineRule="exact"/>
        <w:rPr>
          <w:sz w:val="20"/>
          <w:szCs w:val="20"/>
          <w:color w:val="auto"/>
        </w:rPr>
      </w:pPr>
    </w:p>
    <w:p>
      <w:pPr>
        <w:jc w:val="both"/>
        <w:ind w:firstLine="63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Graft-versus-host disease. </w:t>
      </w:r>
      <w:r>
        <w:rPr>
          <w:rFonts w:ascii="Times New Roman" w:cs="Times New Roman" w:eastAsia="Times New Roman" w:hAnsi="Times New Roman"/>
          <w:sz w:val="17"/>
          <w:szCs w:val="17"/>
          <w:color w:val="auto"/>
        </w:rPr>
        <w:t>GVHD is a condition that can occur after an allogeneic HSCT (the transfer of genetically dissimilar stem cells or tissue)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the donated bone marrow or peripheral blood stem cells view the recipient’s body as foreign and attack various tissues. In May 2019, the FDA approved JAKAFI for the treatment of steroid-refractory acute GVHD in adult and pediatric patients 12 years and older. In September 2021, the FDA approved JAKAFI for the treatment of chronic GVHD after failure of one or two lines of systemic therapy in adult and pediatric patients 12 years and older.</w:t>
      </w:r>
    </w:p>
    <w:p>
      <w:pPr>
        <w:spacing w:after="0" w:line="166"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Under our collaboration agreement with Novartis Pharmaceutical International Ltd. (“Novartis”), Novartis received exclusive development and commercialization rights to ruxolitinib outside of the United States for all hematologic and oncologic indications and sells ruxolitinib outside of the United States under the name JAKAVI. We are eligible to receive development and sales milestones as well as royalties from product sales outside the United States.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We market JAKAFI in the United States through our own specialty sales force and commercial team. JAKAFI is distributed primarily through a network of specialty pharmacy providers and wholesalers that allow for efficient delivery of the medication by mail directly to patients or direct delivery to the patient’s pharmacy.</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hold patents that cover the composition of matter and use of ruxolitinib and its salt. These patents, including applicable extensions, currently expire in mid and late 2028, respectively.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JAKAFI XR (ruxolitinib)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2026, the FDA approved JAKAFI XR (ruxolitinib) extended release tablets for the treatment of adults with intermediate- or high-risk MF, adults with PV who have had an inadequate response to or are intolerant to hydroxyurea, as well as adults and children aged 12 years and older with steroid-refractory acute GVHD or chronic GVHD after failure of one or two lines of systemic therapy.</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June 2016, we acquired the European operations of ARIAD Pharmaceuticals, Inc. and obtained an exclusive license to develop and commercialize ICLUSIG (ponatinib), a kinase inhibitor, in Europe and other select countries. The primary target for ICLUSIG is BCR-ABL, an abnormal tyrosine kinase that is expressed in chronic myeloid leukemia (“CML”) and Philadelphia chromosome-positive acute lymphoblastic leukemia (“Ph+ ALL”).</w:t>
      </w:r>
    </w:p>
    <w:p>
      <w:pPr>
        <w:spacing w:after="0" w:line="15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the European Union (“EU”),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In the EU, ICLUSIG also is approved for the treatment of adult patients with Ph+ ALL who are resistant to dasatinib; who are intolerant to dasatinib and for whom subsequent treatment with imatinib is not clinically appropriate; or who have the T315I mutation. In July 2026, the EU approved ICLUSIG for the treatment of pediatric patients 6 years of age or older with chronic phase CML who are resistant to dasatinib or nilotinib; who are intolerant to dasatinib or nilotinib and for whom subsequent treatment with imatinib is not clinically appropriate; or who have the T315I mutation.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2020, we and MorphoSys AG (“MorphoSys”) entered into a collaboration and license agreement to further develop and commercialize MorphoSys’ proprietary anti-CD19 antibody tafasitamab (formerly MOR208) globally. In February 2024, we entered into a purchase agreement with MorphoSys relating to tafasitamab. As a result, we now hold exclusive global rights for tafasitamab, and the collaboration and license agreement was terminated.</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Diffuse Large B-cell Lymphoma. </w:t>
      </w:r>
      <w:r>
        <w:rPr>
          <w:rFonts w:ascii="Times New Roman" w:cs="Times New Roman" w:eastAsia="Times New Roman" w:hAnsi="Times New Roman"/>
          <w:sz w:val="18"/>
          <w:szCs w:val="18"/>
          <w:color w:val="auto"/>
        </w:rPr>
        <w:t>In July 2020, the FDA approved MONJUVI (tafasitamab-cxix), in combination with lenalidomide,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adult patients with relapsed or refractory (“r/r”) diffuse large B-cell lymphoma (“DLBCL”) not otherwise specified, including DLBCL arising from low grade lymphoma, and who are not eligible for autologous stem cell transplant (“ASCT”). In August 2021, the European Commission granted conditional marketing authorization for MINJUVI (tafasitamab) in combination with lenalidomide, followed by MINJUVI monotherapy, for the treatment of adult patients with r/r DLBCL who are not eligible for ASCT. In June 2026, MINJUVI was approved by Japan’s Ministry of Health, Labour and Welfare (“MHLW”) for the treatment of adults with r/r DLBCL in combination with lenalidomide.</w:t>
      </w:r>
    </w:p>
    <w:p>
      <w:pPr>
        <w:spacing w:after="0" w:line="18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Follicular Lymphoma. </w:t>
      </w:r>
      <w:r>
        <w:rPr>
          <w:rFonts w:ascii="Times New Roman" w:cs="Times New Roman" w:eastAsia="Times New Roman" w:hAnsi="Times New Roman"/>
          <w:sz w:val="18"/>
          <w:szCs w:val="18"/>
          <w:color w:val="auto"/>
        </w:rPr>
        <w:t>In June 2025, MONJUVI was approved by the FDA for the treatment of adult patients with r/r follicular lymphoma (“FL”)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with rituximab and lenalidomide. In December 2025, MINJUVI was approved by the European Commission in combination with lenalidomide and rituximab for the treatment of adult patients with r/r FL (Grade 1-3a) after at least one line of systemic therapy. Also in December 2025, MINJUVI was approved by the MHLW in combination with rituximab and lenalidomide for adult patients with r/r FL (2L+ FL).</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2021, we entered into an exclusive worldwide collaboration and license agreement with Syndax Pharmaceuticals, Inc. (“Syndax”) to develop and commercialize axatilimab, Syndax’s anti-CSF-1R monoclonal antibody.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August 2024, the FDA approved NIKTIMVO (axatilimab-csfr) for the treatment of chronic GVHD after failure of at least two prior lines of systemic therapy in adult and pediatric patients. NIKTIMVO is the first approved anti-CSF-1R antibody targeting the drivers of inflammation and fibrosis seen in chronic GVHD. The U.S. commercial launch of NIKTIMVO commenced in January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INCA033989 (mutCALR)</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INCA033989 is an Incyte-discovered, investigational, novel, anti-mutant calreticulin (“CALR”)-targeted monoclonal antibody in clinical development for the treatment of adults with mutCALR-positive ET and MF.</w:t>
      </w:r>
    </w:p>
    <w:p>
      <w:pPr>
        <w:spacing w:after="0" w:line="16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Essential Thrombocythemia. </w:t>
      </w:r>
      <w:r>
        <w:rPr>
          <w:rFonts w:ascii="Times New Roman" w:cs="Times New Roman" w:eastAsia="Times New Roman" w:hAnsi="Times New Roman"/>
          <w:sz w:val="18"/>
          <w:szCs w:val="18"/>
          <w:color w:val="auto"/>
        </w:rPr>
        <w:t>INCA033989 is being evaluated for the treatment of adults with mutCALR-positive ET who are resistant or intolerant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one cytoreductive therapy. In 2025, we presented data from our Phase 1 study demonstrating a rapid and durable normalization of platelet counts and a reduction in peripheral blood mutCALR variant allele frequency (“VAF”) correlating with hematologic response with INCA033989 treatment. INCA033989 was well tolerated with no dose limiting toxicities reported. In December 2025, we announced that the FDA granted Breakthrough Therapy designation to INCA033989 for the treatment of patients with ET harboring a Type 1 CALR mutation who are resistant or intolerant to at least one cytoreductive therapy. Based on positive feedback received from the FDA, a Phase 3 registrational study evaluating INCA033989 in Type 1 and non-Type 1 mutCALR positive patients with ET was initiated in mid-2026.</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INCA033989 is being evaluated for the treatment of adults with mutCALR-positive MF. In December 2025, at the 2025 American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Society of Hematology Annual Meeting, we presented data from our Phase 1 studies evaluating INCA033989 as a monotherapy and in combination with ruxolitinib in patients with mutCALR positive MF. The data demonstrated rapid and robust reductions in spleen volume and symptoms, and improvements in anemia with INCA033989 treatment, and a favorable safety profile with no dose limiting toxicities reported. Additionally, exploratory analyses from clinical studies demonstrate the potential for disease modifying activity by directly inhibiting and eliminating oncogenic mutCALR cells, while sparing healthy cells and restoring normal blood cell production in MF patients with a CALR mutation. A Phase 3 study (EXCALIBUR-MF2) is expected to initiate by year end 2026. The trial will evaluate INCA033989 versus best available therapy in patients with CALR-mutated MF who were previously treated with a JAK inhibitor.</w:t>
      </w:r>
    </w:p>
    <w:p>
      <w:pPr>
        <w:spacing w:after="0" w:line="1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2025, we announced an agreement with Enable Injections, Inc. (“Enable”) to develop for use with specific assets in our portfolio, including INCA033989, Enable’s enFuse on-body delivery system. Under the terms of the agreement, we obtained a worldwide, exclusive license to use the enFuse technology with INCA033989 in ET and MF, with the potential to expand to additional assets and indications. In the first quarter of 2026, a Phase 1 study evaluating the pharmacokinetics, safety and tolerability of INCA033989 as a subcutaneous (“SC”) administration in healthy adult participants was initiated and completed. A Phase 1 study evaluating INCA033989 as a SC administration in mutCALR positive patients was initiated in the second quarter of 2026.</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INCA035784 (mutCALRxCD3 bispecific)</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INCA035784 is a novel, equipotent T-cell redirecting mutCALR x CD3 bispecific antibody developed by Incyte using Merus N.V.’s licensed bispecific platform and is being evaluated for patients with mutCALR positive MPNs. Phase 1 data evaluating INCA035784 in MF and ET patients with a CALR mutation are anticipated in 2027.</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Axatilimab-csfr</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Axatilimab is a colony stimulating factor-1 receptor (CSF-1R)-blocking antibody targeting monocytes and macrophages, reducing inflammation and fibrosis associated with chronic GVHD. A Phase 2 trial evaluating axatilimab in combination with ruxolitinib in patients with newly diagnosed chronic GVHD is ongoing, with results expected to be presented at a medical meeting in the first quarter of 2027. A Phase 3 trial evaluating axatilimab in combination with corticosteroids as an initial treatment in patients with chronic GVHD is ongoing, with results anticipated in early 2028.</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Tafasitamab is a humanized Fc-modified cytolytic CD19 targeting monoclonal antibody that is being evaluated in combination with lenalidomide added to rituximab plus chemotherapy as a first-line therapy for patients with DLBCL.</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January 2026, we announced positive topline results from the pivotal Phase 3 frontMIND trial evaluating tafasitamab and lenalidomide in combination with R-CHOP as a first-line therapy for patients with DLBCL. The trial met the primary endpoint of progression free survival by investigator assessment and also met the key secondary endpoint of event-free survival by investigator assessment. No new safety signals were observed. Global regulatory submissions for tafasitamab and lenalidomide in addition to R-CHOP for the first-line treatment of adult patients with newly diagnosed DLBCL were submitted and accepted in the second quarter of 2026. A potential approval and launch in the U.S. are anticipated in the first quarter of 2027.</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Latarcibart (formerly VGA039)</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July 2026, we completed the acquisition of Vega Therapeutics Inc. (“Vega”), a wholly owned subsidiary of Star Therapeutics LLC, which has been developing latarcibart, a novel investigational monoclonal antibody that modulates Protein S to restore hemostasis. Latarcibart has received Breakthrough Therapy, Fast Track, orphan drug and rare pediatric disease designations from the FDA and is currently in Phase 3 development for patients with von Willebrand disease (“VWD”), the most common inherited bleeding disorder.</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July 2026, data from the Phase 1/2 multidose study of latarcibart in patients with VWD were presented at the 2026 International Society on Thrombosis and Haemostasis (ISTH) Congress, demonstrating that once-monthly SC treatment with latarcibart resulted in an 81% median reduction in annualized bleeding rate (“ABR”) across all bleeding categories and VWD types. Latarcibart is currently being evaluated in a global, Phase 3, single-arm crossover study (VIVID-6) assessing the safety and efficacy of once-monthly SC administration of latarcibart as prophylaxis for bleeding in patients with all types of VWD. Topline data from the VIVID-6 study are anticipated in early 2029.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oncology franchise includes two approved products, PEMAZYRE (pemigatinib) and ZYNYZ (retifanlimab-dlwr), as well as several clinical development programs.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Approved Products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Cholangiocarcinoma. </w:t>
      </w:r>
      <w:r>
        <w:rPr>
          <w:rFonts w:ascii="Times New Roman" w:cs="Times New Roman" w:eastAsia="Times New Roman" w:hAnsi="Times New Roman"/>
          <w:sz w:val="18"/>
          <w:szCs w:val="18"/>
          <w:color w:val="auto"/>
        </w:rPr>
        <w:t>In April 2020, the FDA approved PEMAZYRE (pemigatinib), a selective fibroblast growth factor receptor kinase inhibitor,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treatment of adults with previously treated, unresectable locally advanced or metastatic cholangiocarcinoma with a fibroblast growth factor receptor 2 (“FGFR2”) fusion or other rearrangement as detected by an FDA-approved test. Cholangiocarcinoma is a rare cancer that arises from the cells within the bile ducts. PEMAZYRE is the first FDA-approved treatment for this indication.</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March 2021, PEMAZYRE was approved by the MHLW for the treatment of patients with unresectable biliary tract cancer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July 2021, the U.K.’s National Institute for Health and Care Excellence (“NICE”) recommended PEMAZYRE for patients with cholangiocarcinoma with an FGFR2 fusion or rearrangement that have progressed after at least one prior line of systemic therapy. NICE’s guidance enables all eligible patients in England and Wales to have access to PEMAZYRE through the National Health Service.</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of the People’s Republic of China for the treatment of adults with locally advanced or metastatic cholangiocarcinoma with an FGFR2 fusion or rearrangement as confirmed by a validated diagnostic test that has progressed after at least one prior line of systemic therapy.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Myeloid/Lymphoid Neoplasms</w:t>
      </w:r>
      <w:r>
        <w:rPr>
          <w:rFonts w:ascii="Times New Roman" w:cs="Times New Roman" w:eastAsia="Times New Roman" w:hAnsi="Times New Roman"/>
          <w:sz w:val="18"/>
          <w:szCs w:val="18"/>
          <w:color w:val="auto"/>
        </w:rPr>
        <w:t>. In August 2022, PEMAZYRE was approved by the FDA as the first and only targeted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myeloid/lymphoid neoplasms (“MLNs”) with a fibroblast growth factor receptor 1 (“FGFR1”) rearrangement. MLNs with FGFR1 rearrangements are a group of extremely rare but aggressive blood cancers. In March 2023, PEMAZYRE was approved by the MHLW for the treatment of MLNs with FGFR1 rearrangement.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and MacroGenics, Inc. (“MacroGenics”),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w:t>
      </w:r>
    </w:p>
    <w:p>
      <w:pPr>
        <w:spacing w:after="0" w:line="17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Merkel Cell Carcinoma. </w:t>
      </w:r>
      <w:r>
        <w:rPr>
          <w:rFonts w:ascii="Times New Roman" w:cs="Times New Roman" w:eastAsia="Times New Roman" w:hAnsi="Times New Roman"/>
          <w:sz w:val="18"/>
          <w:szCs w:val="18"/>
          <w:color w:val="auto"/>
        </w:rPr>
        <w:t>In March 2023, the FDA approved ZYNYZ (retifanlimab-dlwr) under accelerated approval for the treatment of adults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metastatic or recurrent locally advanced Merkel cell carcinoma (“MCC”). In April 2024, the European Commission approved ZYNYZ (retifanlimab) as a monotherapy for the first-line treatment of adult patients with metastatic or recurrent locally advanced MCC not amenable to curative surgery or radiation therapy.</w:t>
      </w:r>
    </w:p>
    <w:p>
      <w:pPr>
        <w:spacing w:after="0" w:line="177"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Squamous Cell Carcinoma of the Anal Canal. </w:t>
      </w:r>
      <w:r>
        <w:rPr>
          <w:rFonts w:ascii="Times New Roman" w:cs="Times New Roman" w:eastAsia="Times New Roman" w:hAnsi="Times New Roman"/>
          <w:sz w:val="18"/>
          <w:szCs w:val="18"/>
          <w:color w:val="auto"/>
        </w:rPr>
        <w:t>In May 2025, the FDA approved ZYNYZ for the treatment of adult patients with advanced squamous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 carcinoma of the anal canal (“SCAC”) in combination with chemotherapy and as a single agent. In December 2025, the MHLW approved ZYNYZ in combination with carboplatin and paclitaxel (platinum-based chemotherapy) for the first-line treatment of advanced SCAC. In March 2026, the European Commission approved ZYNYZ in combination with carboplatin and paclitaxel (platinum-based chemotherapy) for the first-line treatment of adult patients with metastatic or with inoperable locally recurrent SCAC.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INCB123667 is a novel, potent and selective oral small molecule inhibitor of serine threonine kinase (CDK2) in clinical development for the treatment of ovarian cancer in patients with Cyclin E1 overexpression.</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fourth quarter of 2025, we initiated MAESTRA-1, a Phase 2 single-arm study of INCB123667 in patients with platinum-resistant ovarian cancer (“PROC”) with Cyclin E1 overexpression, and MAESTRA-2, a Phase 3, randomized, open-label study of INCB123667 versus investigator’s choice chemotherapy in patients with PROC with Cyclin E1 overexpression.</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third quarter of 2026, as part of our strategic shift in focus toward the first-line maintenance ovarian cancer setting, enrollment in the Phase 3 study (MAESTRA-2) evaluating INCB123667 in PROC was discontinued. A Phase 3 study (MAESTRA-3) evaluating INCB123667 in first-line maintenance ovarian cancer is planned to initiate in the fourth quarter of 2026.</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INCB161734 (KRAS G12D)</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INCB161734 is a potent, selective and orally bioavailable KRAS G12D inhibitor that is currently being evaluated in patients with locally advanced or metastatic solid tumors with KRASG12D mutation.</w:t>
      </w:r>
    </w:p>
    <w:p>
      <w:pPr>
        <w:spacing w:after="0" w:line="16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Pancreatic Ductal Adenocarcinoma. </w:t>
      </w:r>
      <w:r>
        <w:rPr>
          <w:rFonts w:ascii="Times New Roman" w:cs="Times New Roman" w:eastAsia="Times New Roman" w:hAnsi="Times New Roman"/>
          <w:sz w:val="18"/>
          <w:szCs w:val="18"/>
          <w:color w:val="auto"/>
        </w:rPr>
        <w:t>In October 2025, we presented preliminary data from the ongoing Phase 1 study at the 2025 European Society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Medical Oncology (“ESMO”) Congress. In the study, INCB161734 demonstrated a manageable safety profile and clinical efficacy in heavily pretreated pancreatic ductal adenocarcinoma (“PDAC”) patients with a KRASG12D mutation. In the first quarter of 2026, a Phase 3 study (DAWN-303) was initiated, evaluating INCB161734 as a first-line treatment in patients with metastatic PDAC in combination with standard-of-care chemotherapy (mFOLFIRINOX or GEMNabP) versus chemotherapy alone. Results from the Phase 3 study are anticipated in 2028. A Phase 3 study evaluating INCB161734 as adjuvant therapy following surgical resection in patients with PDAC is expected to initiate in 2027.</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2026, data from the ongoing Phase 1 trial evaluating INCB161734 in combination with standard-of-care chemotherapy (mFOLFOX and GemNabP) as a first-line treatment in patients with metastatic PDAC, as well as data evaluating INCB161734 in combination with cetuximab in patients with advanced/metastatic colorectal cancer (“CRC”), were presented as rapid oral presentations at the 2026 ESMO Congress.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 Phase 3 study (DAWN-302) evaluating INCB161734 in combination with cetuximab in patients with previously treated CRC is anticipated to initiate in the first half of 2027.</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INCA33890 is a TGFβR2xPD-1 bispecific antibody developed by Incyte using Merus N.V.’s licensed bispecific platform to avoid the known toxicity of broad TGFβ pathway blockade by specifically blocking TGFβ signaling in cells co-expressing PD-1.</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Microsatellite Stable Colorectal Cancer. </w:t>
      </w:r>
      <w:r>
        <w:rPr>
          <w:rFonts w:ascii="Times New Roman" w:cs="Times New Roman" w:eastAsia="Times New Roman" w:hAnsi="Times New Roman"/>
          <w:sz w:val="18"/>
          <w:szCs w:val="18"/>
          <w:color w:val="auto"/>
        </w:rPr>
        <w:t>In October 2025, we presented data from the ongoing Phase 1 study at the 2025 ESMO Congress.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INCA33890 demonstrated clinical efficacy across multiple tumor types, including microsatellite stable colorectal cancer (“MSS CRC”) in patients with and without active liver metastases. INCA33890 was generally well tolerated as monotherapy and in combination with standard-of-care treatments in patients with metastatic CRC.</w:t>
      </w:r>
    </w:p>
    <w:p>
      <w:pPr>
        <w:spacing w:after="0" w:line="17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the fourth quarter of 2025, a Phase 3 study evaluating INCA33890 in combination with standard-of-care chemotherapy and bevacizumab as a first-line treatment in patients with MSS CRC was initiated. In October 2026, data from the ongoing Phase 1 trial evaluating INCA33890 in combination with standard-of-care therapies as a first-line treatment in patients with MSS CRC were presented as a rapid oral presentation at the 2026 ESMO Congress. Also in October 2026, a Phase 2 study (NEXERA-204) evaluating INCA33890 for the treatment of circulating tumor DNA-positive stage II/III MSS CRC after curative resection and chemotherapy was initiated.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Inflammation and Autoimmunity franchise is comprised of one approved product, OPZELURA (ruxolitinib) cream, with several clinical programs in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Approved Products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the FDA approved OPZELURA (ruxolitinib) cream for the topical short-term and non-continuous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mild to moderate atopic dermatitis (“AD”) in non-immunocompromised patients 12 years of age and older whose disease is not adequately controlled with topical prescription therapies, or when those therapies are not advisable. AD is a skin disorder that causes long term inflammation of the skin resulting in itchy, red, swollen and cracked skin.</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2025, the FDA approved the supplemental New Drug Application (“NDA”) for OPZELURA for the short-term and non-continuous chronic treatment of mild to moderate AD in non-immunocompromised children two years of age and older whose disease is not well controlled with topical prescription therapies, or when those therapies are not advisable.</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July 2026, the European Commission approved OPZELURA for the treatment of moderate AD in adult patients for whom topical corticosteroids (“TCSs”) and topical calcineurin inhibitors (“TCIs”) are inadequate or inappropriate. OPZELURA is the first steroid-free topical JAK inhibitor approved in the EU for adults with moderate AD. This approval represents OPZELURA’s second approved indication in the EU.</w:t>
      </w:r>
    </w:p>
    <w:p>
      <w:pPr>
        <w:spacing w:after="0" w:line="17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the FDA approved OPZELURA for the topical treatment of nonsegmental vitiligo in adult and pediatric patients 12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 and older. Vitiligo is a chronic autoimmune depigmenting skin disease characterized by patches of the skin losing their pigment. OPZELURA is the first and only FDA approved treatment for repigmentation of vitiligo lesions. OPZELURA was approved for continuous use and no limits to duration as a treatment for nonsegmental vitiligo.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2023, the European Commission approved OPZELURA for the topical treatment of nonsegmental vitiligo with facial involvement in adults and adolescents 12 years and older following a positive opinion from the Committee for Medicinal Products for Human Use (“CHMP”). In October 2024, OPZELURA cream 1.5% was granted a Notice of Compliance by Health Canada for the topical treatment of both mild to moderate AD and nonsegmental vitiligo in patients 12 years of age and 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IAI</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Ruxolitinib cream is a potent, selective inhibitor of JAK1 and JAK2 that provides the opportunity to directly target diverse pathogenic pathways that underlie certain immune-mediated dermatologic conditions.</w:t>
      </w:r>
    </w:p>
    <w:p>
      <w:pPr>
        <w:spacing w:after="0" w:line="161"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In January 2024, we announced positive topline results from a randomized controlled Phase 2 study evaluating ruxolitinib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cream in hidradenitis suppurativa (“HS”). Ruxolitinib 1.5% cream twice daily met the primary efficacy endpoint as measured by a change from baseline in abscess and nodule count at Week 16 versus placebo in patients with mild to moderate HS. Ruxolitinib cream was well tolerated and consistent with its known safety profile. In June 2025, two Phase 3 studies (TRuE-HS1 and TRuE-HS2) evaluating ruxolitinib cream in mild to moderate HS were initiated, with topline results anticipated in the fourth quarter of 2026.</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Povorcitinib, an oral small molecule selective JAK1 inhibitor, is being evaluated for the treatment of HS, nonsegmental vitiligo, prurigo nodularis (“PN”) and asthma.</w:t>
      </w:r>
    </w:p>
    <w:p>
      <w:pPr>
        <w:spacing w:after="0" w:line="161"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In March 2025, we shared positive results from two Phase 3 studies (STOP-HS1 and STOP-HS2) evaluating povorcitinib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patients with moderate to severe HS. Both studies met their primary endpoint of Hidradenitis Suppurativa Clinical Response (“HiSCR”) at Week 12 and at both tested doses (45mg and 75mg). In addition, at Week 12, patients treated with povorcitinib achieved deep levels of clinical response with a greater proportion achieving HiSCR75, reduction in flares, and a greater than 3-point decrease in the Skin Pain NRS score and Skin Pain NRS30. Furthermore, povorcitinib demonstrated rapid onset of response, including rapid skin pain reduction.</w:t>
      </w:r>
    </w:p>
    <w:p>
      <w:pPr>
        <w:spacing w:after="0" w:line="18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2026, the CHMP issued a positive opinion recommending the approval of POVOFORTAY (povorcitinib) for the treatment of active moderate to severe HS in adults who have responded inadequately to, or who are intolerant or contraindicated to, an anti-TNF therapy. We anticipate a regulatory decision from the European Commission in the fourth quarter of 2026. The NDA submission for povorcitinib in patients with moderate to severe HS was accepted by the FDA in the first quarter of 2026 and we anticipate a potential approval in the U.S. in the first quarter of 2027.</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and October 2023, we presented results from the Phase 2b clinical study evaluating povorcitinib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extensive nonsegmental vitiligo. The results demonstrated that treatment with oral povorcitinib was associated with substantial total body and facial repigmentation, as measured by Total Vitiligo Area Scoring Index. Based on these results, two Phase 3 studies (STOP-V1 and STOP-V2) evaluating povorcitinib (30mg) in participants with extensive nonsegmental vitiligo were initiated in late 2023. In April 2026, we announced positive results from the Phase 3 program. In both STOP-V1 and STOP-V2, povorcitinib achieved the primary endpoint of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75% reduction in Facial Vitiligo Area Scoring Index from baseline at Week 52. Across both studies, statistically significant and clinically meaningful differences were also observed in key secondary endpoints, including a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highlight w:val="white"/>
        </w:rPr>
        <w:t>50% reduction in Total Vitiligo Area Scoring Index at Week 52. The overall safety and tolerability profile of povorcitinib through 52 weeks was</w:t>
      </w:r>
      <w:r>
        <w:rPr>
          <w:rFonts w:ascii="Times New Roman" w:cs="Times New Roman" w:eastAsia="Times New Roman" w:hAnsi="Times New Roman"/>
          <w:sz w:val="18"/>
          <w:szCs w:val="18"/>
          <w:color w:val="auto"/>
        </w:rPr>
        <w:t xml:space="preserve"> consistent with prior studies, with no new safety signals observed. Positive results from these studies will support regulatory applications for povorcitinib in vitiligo which are planned for the first half of 2027.</w:t>
      </w:r>
    </w:p>
    <w:p>
      <w:pPr>
        <w:spacing w:after="0" w:line="18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and safety of povorcitinib in participants with PN had met its primary endpoint. In October 2024, following the positive Phase 2 results, two Phase 3 studies (STOP-PN1 and STOP-PN2) evaluating povorcitinib in patients with moderate to severe PN were initiated. Data from the Phase 3 studies are anticipated in the fourth quarter of 2026.</w:t>
      </w:r>
    </w:p>
    <w:p>
      <w:pPr>
        <w:spacing w:after="0" w:line="17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Asthma. </w:t>
      </w:r>
      <w:r>
        <w:rPr>
          <w:rFonts w:ascii="Times New Roman" w:cs="Times New Roman" w:eastAsia="Times New Roman" w:hAnsi="Times New Roman"/>
          <w:sz w:val="18"/>
          <w:szCs w:val="18"/>
          <w:color w:val="auto"/>
        </w:rPr>
        <w:t>In July 2023, we initiated a Phase 2 study evaluating povorcitinib in patients with moderate to severe uncontrolled asthma. Proof-of-concept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from this study are anticipated by year-end 2026.</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 to third parties. These include OLUMIANT (baricitinib), which is licensed to our collaborative partner Eli Lilly and Company (“Lilly”), and JAKAVI (ruxolitinib) and TABRECTA (capmatinib), which are licensed to Novartis.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6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In February 2017, the European Commission approved baricitinib as OLUMIANT for the treatment of moderate-to-severe rheumatoid arthritis in adult patients who have responded inadequately to, or who are intolerant to, one or more disease-modifying antirheumatic drugs.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8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In October 2020, the European Commission approved baricitinib as OLUMIANT for the treatment of moderate-to-severe AD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adult patients who are candidates for systemic therapy. In December 2020, baricitinib was approved by the MHLW for the treatment of patients with moderate-to-severe AD.</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2022, the FDA approved 2mg and 4mg doses of OLUMIANT for the treatment of adults with severe alopecia areata, becoming the first and only systemic treatment in the indication. Also in June 2022, OLUMIANT was approved as a treatment for alopecia areata in Europe and Japan.</w:t>
      </w:r>
    </w:p>
    <w:p>
      <w:pPr>
        <w:spacing w:after="0" w:line="173"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COVID-19. </w:t>
      </w:r>
      <w:r>
        <w:rPr>
          <w:rFonts w:ascii="Times New Roman" w:cs="Times New Roman" w:eastAsia="Times New Roman" w:hAnsi="Times New Roman"/>
          <w:sz w:val="18"/>
          <w:szCs w:val="18"/>
          <w:color w:val="auto"/>
        </w:rPr>
        <w:t>In May 2020, we amended our agreement with Lilly to enable Lilly to commercialize baricitinib for the treatment of COVID-19.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FDA’s Emergency Use Authorization provides for the use of baricitinib for the treatment of COVID-19 in hospitalized adults and pediatric patients two years of age or older requiring supplemental oxygen, non-invasive or invasive mechanical ventilation or extracorporeal membrane oxygenation (“ECMO”). In June 2022, the FDA approved baricitinib as OLUMIANT for the treatment of COVID-19 in hospitalized adults requiring supplemental oxygen, non-invasive or invasive mechanical ventilation or ECMO.</w:t>
      </w:r>
    </w:p>
    <w:p>
      <w:pPr>
        <w:spacing w:after="0" w:line="181"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Type 1 Diabetes</w:t>
      </w:r>
      <w:r>
        <w:rPr>
          <w:rFonts w:ascii="Times New Roman" w:cs="Times New Roman" w:eastAsia="Times New Roman" w:hAnsi="Times New Roman"/>
          <w:sz w:val="18"/>
          <w:szCs w:val="18"/>
          <w:color w:val="auto"/>
        </w:rPr>
        <w:t>. In October 2025, we amended our agreement with Lilly to enable Lilly to commercialize baricitinib for the treatment of Type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diabetes mellitus.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Capmatinib is a potent and highly selective mesenchymal-epithelial-transition factor gene (“MET”) inhibitor. Under our agreement, Novartis received worldwide exclusive development and commercialization rights to capmatinib and certain back-up compounds in all indications. Capmatinib is being evaluated in patients with hepatocellular carcinoma, non-small cell lung cancer (“NSCLC”) and other solid tumors, and may have potential utility as a combination agent.</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May 2020, the FDA approved capmatinib as TABRECTA for the treatment of adult patients with metastatic NSCLC whose tumors have a mutation that leads to MET exon 14 (“METex14”) skipping as detected by an FDA-approved test. TABRECTA is the first and only treatment approved to specifically target NSCLC with this driver mutation and is approved for first-line and previously treated patients regardless of prior treatment type. In June 2020, the MHLW approved TABRECTA for METex14 mutation-positive advanced and/or recurrent unresectable NSCLC. In June 2022, the European Commission approved capmatinib as TABRECTA as a monotherapy treatment of adults with advanced NSCLC harboring alterations leading to METex14 skipping who require systemic therapy following prior treatment with immunotherapy and/or platinum-based chemotherapy.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1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May 2022, the European Commission approved ruxolitinib as JAKAVI for the treatment of acute or chronic GVHD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aged 12 years and older who have an inadequate response to corticosteroids or other systemic therapies. In August 2023, Novartis announced that JAKAVI had been approved in Japan for use in GVHD after HSCT.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8 of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Mirum</w:t>
      </w:r>
    </w:p>
    <w:p>
      <w:pPr>
        <w:spacing w:after="0" w:line="115"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April 2026, we entered into an exclusive license agreement with Mirum Pharmaceuticals, Inc. granting Mirum worldwide rights to ATEBRIOZ (zilurgisertib), an ALK2 inhibitor for fibrodysplasia ossificans progressiva (“FOP”). Under the terms of the agreement, we received an upfront payment, and are eligible for additional development and regulatory milestone payments, as well as sales-based milestones and tiered royalties in the mid-to-high single digit percent range on worldwide net sales. In September 2026, the FDA approved ATEBRIOZ (zilurgisertib) to reduce the volume of total new heterotopic ossification in adults and pediatric patients aged 12 years and older with FOP. In connection with the FDA approval, we received a Priority Review Voucher.</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 and, in October 2025, we further amended the agreement to enable Lilly to commercialize baricitinib for the treatment of Type 1 diabetes mellitus. We received an upfront payment of $100.0 million in connection with the 2025 amendment, which amendment also restructured the royalty obligations on net sales of baricitinib, certain developmental and regulatory milestones associated with baricitinib, and the marketing and sales support obligations of Lilly. On baricitinib sales for any indication, we are now eligible to receive either a fixed royalty amount or tiered royalties based on a defined level of quarterly global net sales, with the tiered royalties up to a rate in the mid-teens. Additionally, for the treatment of COVID-19, we still receive a premium on royalties.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Collaborators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also entered into certain agreements with other collaboration partners for the rights to develop and commercialize other assets in our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“Item 7. Management’s Discussion and Analysis of Financial Condition and Results of Operations” in our Annual Report on Form 10-K for the year ended December 31, 2025. There have been no significant changes to our critical accounting policies or estimates during the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a discussion of recently issued accounting standards, refer to Note 2 in the Notes to the Condensed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recorded net loss of $784.8 million and basic and diluted net loss per share of $3.86 for the three months ended September 30, 2026, as compared to net income of $424.2 million and basic net income per share of $2.17 and diluted net income per share of $2.11 in the corresponding period in 2025. We recorded net income of $104.1 million and basic net income per share of $0.52 and diluted net income per share of $0.50 for the nine months ended September 30, 2026, as compared to net income of $987.4 million and basic net income per share of $5.08 and diluted net income per share of $4.95 in the corresponding period in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net sales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r>
      <w:tr>
        <w:trPr>
          <w:trHeight w:val="26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net sales</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6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net sales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net sales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net sales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net sales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6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net sales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58"/>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w:t>
            </w:r>
          </w:p>
        </w:tc>
      </w:tr>
      <w:tr>
        <w:trPr>
          <w:trHeight w:val="2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5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89"/>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80" w:hanging="74"/>
        <w:spacing w:after="0"/>
        <w:tabs>
          <w:tab w:leader="none" w:pos="8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2026 net sales include JAKAFI and JAKAFI XR following the launch of JAKAFI XR in the second quarter of 2026.</w:t>
      </w:r>
    </w:p>
    <w:p>
      <w:pPr>
        <w:spacing w:after="0" w:line="81" w:lineRule="exact"/>
        <w:rPr>
          <w:sz w:val="20"/>
          <w:szCs w:val="20"/>
          <w:color w:val="auto"/>
        </w:rPr>
      </w:pPr>
    </w:p>
    <w:p>
      <w:pPr>
        <w:ind w:firstLine="6"/>
        <w:spacing w:after="0" w:line="290" w:lineRule="auto"/>
        <w:tabs>
          <w:tab w:leader="none" w:pos="91"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OPZELURA net sales for the nine months ended September 30, 2026 includes $246.0 million related to our agreement with CMS to resolve our litigation related to the application of Medicaid rebate rules to OPZELURA. Refer below for further information.</w:t>
      </w:r>
    </w:p>
    <w:p>
      <w:pPr>
        <w:spacing w:after="0" w:line="17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increase in JAKAFI net sales for the three months ended September 30, 2026 as compared to the corresponding period in 2025 was comprised of a volume increase of $102.8 million, offset in part by a price decrease of $67.4 million. The increase in JAKAFI net sales for the nine months ended September 30, 2026 as compared to the corresponding period in 2025 reflected a volume increase of $231.6 million, offset in part by a price decrease of $95.0 million. The volume increase was primarily driven by an increase in paid demand of 12% and 9% for the three and nine months ended September 30, 2026, respectively, reflecting continued demand growth across all indications. JAKAFI inventory levels were within normal range at the end of the third quarter of 2026.</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CMS alleging that a regulation issued by CMS on the definition of “line extension” for purposes of the Medicaid rebate program was too broad and had the unintended consequence of treating OPZELURA as a “line extension” of JAKAFI under this program. In the second quarter of 2026, we reached an agreement with CMS to resolve our litigation related to the application of Medicaid rebate rules to OPZELURA (ruxolitinib) cream. Under the agreement, CMS will not apply the line extension regulation to OPZELURA as if it were a line extension of JAKAFI (ruxolitinib). In the second quarter of 2026, we recorded a one-time, non-cash benefit of $246.0 million in net sales on the condensed consolidated statements of operations, associated with the reversal of previously established accrual balances through March 31, 2026, related to liabilities associated with the potential application of the line extension regulations to OPZELURA. We will no longer accrue for the potential application of the line extension regulations to OPZELURA and we expect an improvement to OPZELURA’s gross-to-net on a go-forward basis.</w:t>
      </w:r>
    </w:p>
    <w:p>
      <w:pPr>
        <w:spacing w:after="0" w:line="19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increase in OPZELURA net sales for the three months ended September 30, 2026 as compared to the corresponding period in 2025 was comprised of a volume increase of $48.5 million and a price increase of $18.4 million. Excluding this $246.0 million impact discussed above, the increase in OPZELURA net sales for the nine months ended September 30, 2026 as compared to the corresponding period in 2025 reflected a volume increase of $141.6 million, offset in part by a price decrease of $11.2 million. The volume increase was primarily due to increased patient demand in the U.S. in both atopic dermatitis and vitiligo. Additionally, OPZELURA net sales from outside the U.S. were $46.9 million and $126.4 million during the three and nine months ended September 30, 2026, respectively, as compared to $44.4 million and $100.2 million for the three and nine months ended September 30, 2025, respectively, with the increase in both periods primarily driven by continued uptake in Canada and Italy, as well as entry into new markets. OPZELURA inventory levels were within normal range at the end of the third quarter of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increase in other hematology and oncology net sales for the three and nine months ended September 30, 2026 as compared to the corresponding periods in 2025 was primarily driven by increased demand of NIKTIMVO, MONJUVI/MINJUVI and ZYNYZ, reflecting continued strong uptake of these products in the U.S. and their entry into new markets outside of the U.S. The impact from changes in price was not material.</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net sales may fluctuate from quarter to quarter due to our customers’ purchasing patterns over the course of the year, including as a result of increased inventory building by customers in advance of expected or announced price increases. Net sales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Commercial &amp;</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562,167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646,091</w:t>
            </w:r>
          </w:p>
        </w:tc>
        <w:tc>
          <w:tcPr>
            <w:tcW w:w="0" w:type="dxa"/>
            <w:vAlign w:val="bottom"/>
          </w:tcPr>
          <w:p>
            <w:pPr>
              <w:spacing w:after="0"/>
              <w:rPr>
                <w:sz w:val="1"/>
                <w:szCs w:val="1"/>
                <w:color w:val="auto"/>
              </w:rPr>
            </w:pPr>
          </w:p>
        </w:tc>
      </w:tr>
      <w:tr>
        <w:trPr>
          <w:trHeight w:val="259"/>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2,045,070</w:t>
            </w:r>
          </w:p>
        </w:tc>
        <w:tc>
          <w:tcPr>
            <w:tcW w:w="0" w:type="dxa"/>
            <w:vAlign w:val="bottom"/>
          </w:tcPr>
          <w:p>
            <w:pPr>
              <w:spacing w:after="0"/>
              <w:rPr>
                <w:sz w:val="1"/>
                <w:szCs w:val="1"/>
                <w:color w:val="auto"/>
              </w:rPr>
            </w:pPr>
          </w:p>
        </w:tc>
      </w:tr>
      <w:tr>
        <w:trPr>
          <w:trHeight w:val="271"/>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(227,427)</w:t>
            </w:r>
          </w:p>
        </w:tc>
        <w:tc>
          <w:tcPr>
            <w:tcW w:w="0" w:type="dxa"/>
            <w:vAlign w:val="bottom"/>
          </w:tcPr>
          <w:p>
            <w:pPr>
              <w:spacing w:after="0"/>
              <w:rPr>
                <w:sz w:val="1"/>
                <w:szCs w:val="1"/>
                <w:color w:val="auto"/>
              </w:rPr>
            </w:pPr>
          </w:p>
        </w:tc>
      </w:tr>
      <w:tr>
        <w:trPr>
          <w:trHeight w:val="259"/>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(1,262,260)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(1,535,359)</w:t>
            </w:r>
          </w:p>
        </w:tc>
        <w:tc>
          <w:tcPr>
            <w:tcW w:w="0" w:type="dxa"/>
            <w:vAlign w:val="bottom"/>
          </w:tcPr>
          <w:p>
            <w:pPr>
              <w:spacing w:after="0"/>
              <w:rPr>
                <w:sz w:val="1"/>
                <w:szCs w:val="1"/>
                <w:color w:val="auto"/>
              </w:rPr>
            </w:pPr>
          </w:p>
        </w:tc>
      </w:tr>
      <w:tr>
        <w:trPr>
          <w:trHeight w:val="265"/>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(230,307)</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(296,911)</w:t>
            </w:r>
          </w:p>
        </w:tc>
        <w:tc>
          <w:tcPr>
            <w:tcW w:w="0" w:type="dxa"/>
            <w:vAlign w:val="bottom"/>
          </w:tcPr>
          <w:p>
            <w:pPr>
              <w:spacing w:after="0"/>
              <w:rPr>
                <w:sz w:val="1"/>
                <w:szCs w:val="1"/>
                <w:color w:val="auto"/>
              </w:rPr>
            </w:pPr>
          </w:p>
        </w:tc>
      </w:tr>
      <w:tr>
        <w:trPr>
          <w:trHeight w:val="26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526,347</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631,464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net sales. We adjust our estimates for government rebates and chargebacks based on new information regarding actual rebates as it becomes available.</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sales, particularly for drugs like OPZELURA. We also adjust our allowance for product returns based on new information regarding actual returns as it becomes available.</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volume of purchases eligible for government mandated discounts and rebates as well as changes in discount percentages which are impacted by potential future price increases, rate of inflation, and other factors.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The increase in total royalty revenues for the three and nine months ended September 30, 2026 as compared to the corresponding periods in 2025 was primarily driven by growth in JAKAVI royalty revenue.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milestone and contract revenues for the three and nine months ended September 30, 2026 were primarily derived from developmental and regulatory milestones received from our third party collaborators, as well as out-licensing arrangements with our third party collaborators. Our milestone and contract revenues for the three and nine months ended September 30, 2025, were primarily derived from a combination of upfront payments received from our third party collaborators for the transfer of functional intellectual property, as well as developmental milestones received from our third party collaborators.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3"/>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6"/>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share</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5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89"/>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Cost of sales includes all product related costs, reserves for obsolescence, employee personnel costs, including stock compensation, for those employees dedicated to the production of our commercial products, royalties and profit sharing under our collaborative agreements and amortization of our licensed intellectual property rights for ICLUSIG and capitalized milestone payments. The increase in cost of sales for the three and nine months ended September 30, 2026 as compared to the corresponding periods in 2025 was primarily driven by increased royalty expense and NIKTIMVO profit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Dispute Settlement</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As described further in Note 8 of Notes to the Condensed Consolidated Financial Statements, during May 2025, we and Novartis entered into a settlement agreement with respect to litigation initiated by Novartis relating to the duration of royalty payments owed by us to Novartis under our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The reduced royalty paid for the quarter ended March 31, 2025, was approximately $14.9 million. The difference of $242.2 million between the total accrued royalties and the total amount paid by us to Novartis as disclosed above was recorded in contract dispute settlement on our condensed consolidated statement of operations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5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3"/>
            <w:shd w:val="clear" w:color="auto" w:fill="CCEEFF"/>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3"/>
            <w:shd w:val="clear" w:color="auto" w:fill="CCEEFF"/>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Borders>
              <w:bottom w:val="single" w:sz="8" w:color="CCEEFF"/>
            </w:tcBorders>
            <w:shd w:val="clear" w:color="auto" w:fill="CCEEFF"/>
          </w:tcPr>
          <w:p>
            <w:pPr>
              <w:spacing w:after="0"/>
              <w:rPr>
                <w:sz w:val="17"/>
                <w:szCs w:val="17"/>
                <w:color w:val="auto"/>
              </w:rPr>
            </w:pPr>
          </w:p>
        </w:tc>
      </w:tr>
      <w:tr>
        <w:trPr>
          <w:trHeight w:val="25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2"/>
                <w:szCs w:val="22"/>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22"/>
                <w:szCs w:val="22"/>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22"/>
                <w:szCs w:val="22"/>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5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Vega IPR&amp;D expense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r>
      <w:tr>
        <w:trPr>
          <w:trHeight w:val="25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and nine months ended September 30, 2026 as compared to the corresponding periods in 2025 was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2026 also include the $1.23 billion of expense related to the acquired in-process research and development assets as part of the Vega acquisition, as described in Note 6 to the Condensed Consolidated Financial Statements. The increase in clinical research and outside services expense for the three and nine months ended September 30, 2026 as compared to the corresponding periods in 2025, was primarily due to continued investment in our late-stage development assets. Research and development expenses for the three and nine months ended September 30, 2026 and 2025 were net of $4.0 million, $12.8 million, $4.3 million and $10.8 million, respectively, of costs reimbursed by our collaborative partners.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6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6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right="20" w:firstLine="636"/>
        <w:spacing w:after="0" w:line="282" w:lineRule="auto"/>
        <w:rPr>
          <w:sz w:val="20"/>
          <w:szCs w:val="20"/>
          <w:color w:val="auto"/>
        </w:rPr>
      </w:pPr>
      <w:r>
        <w:rPr>
          <w:rFonts w:ascii="Times New Roman" w:cs="Times New Roman" w:eastAsia="Times New Roman" w:hAnsi="Times New Roman"/>
          <w:sz w:val="17"/>
          <w:szCs w:val="17"/>
          <w:color w:val="auto"/>
        </w:rPr>
        <w:t>The increase in salary and benefits related expense for the three and nine months ended September 30, 2026 as compared to the corresponding periods in 2025 was due primarily to increased headcount.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Asset impairment and related disposal costs</w:t>
      </w:r>
    </w:p>
    <w:p>
      <w:pPr>
        <w:spacing w:after="0" w:line="219"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As described further in Note 9 of Notes to the Condensed Consolidated Financial Statements, during December 2025, the downtown Wilmington, Delaware properties that we acquired in May 2024 met the criteria to be classified as assets held for sale. As a result of this classification, we recorded an asset impairment charge of $76.3 million on our consolidated statement of operations for the year ended December 31, 2025 relating to the downtown Wilmington properties in order to reflect the properties at the lower of their carrying amount or estimated fair value less cost to sell as of December 31, 2025. The estimated fair value less cost to sell of the properties was recorded within the Prepaid expenses and other current assets line item on our consolidated balance sheet as of December 31, 2025. During the first quarter of 2026, we sold these downtown properties, and recognized an additional $23.2 million of expenses relating to disposal costs, which are included in Asset impairment and related disposal costs in the condensed consolidated statements of operations.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(gain) on change in fair value of acquisition-related contingent consideration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and nine months ended September 30, 2026 was a loss of $0.9 million and $3.2 million, respectively, which is recorded in loss (gain) on change in fair value of acquisition-related contingent consideration on the condensed consolidated statements of operations. The change in fair value of the acquisition-related contingent consideration for the three and nine months ended September 30, 2025 was a gain of $12.2 million and a loss of $22.1 million, respectively, which is recorded in loss (gain) on change in fair value of acquisition-related contingent consideration on the condensed consolidated statements of operations. The change in fair value of the contingent consideration during the three and nine months ended September 30, 2026 and 2025 was due primarily to updated projections of future net sales of ICLUSIG, including the impacts from fluctuations in foreign currency exchange rates, and the passage of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Interest income for the three and nine months ended September 30, 2026 was $32.2 million and $104.0 million, respectively. Interest income for the three and nine months ended September 30, 2025 was $26.8 million and $74.8 million, respectively. The increase in Interest income for the three and nine months ended September 30, 2026 is primarily due to higher cash and cash equivalent balances in the first nine months of 2026 as compared to the corresponding periods in 2025.</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gain on equity investments</w:t>
      </w:r>
    </w:p>
    <w:p>
      <w:pPr>
        <w:spacing w:after="0" w:line="219"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Losses and gains on equity investments will fluctuate from period to period, based on sales of securities and the change in fair value of the securities we hold in our publicly held collaboration partners. The following table provides a summary of those (losses) gains: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3"/>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gridSpan w:val="3"/>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8"/>
        </w:trPr>
        <w:tc>
          <w:tcPr>
            <w:tcW w:w="50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50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gridSpan w:val="3"/>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21"/>
              <w:spacing w:after="0"/>
              <w:rPr>
                <w:sz w:val="20"/>
                <w:szCs w:val="20"/>
                <w:color w:val="auto"/>
              </w:rPr>
            </w:pPr>
            <w:r>
              <w:rPr>
                <w:rFonts w:ascii="Times New Roman" w:cs="Times New Roman" w:eastAsia="Times New Roman" w:hAnsi="Times New Roman"/>
                <w:sz w:val="18"/>
                <w:szCs w:val="18"/>
                <w:color w:val="auto"/>
                <w:w w:val="98"/>
              </w:rPr>
              <w:t>(3.1)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Prelude</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3"/>
                <w:szCs w:val="23"/>
                <w:color w:val="auto"/>
              </w:rPr>
            </w:pP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8"/>
                <w:szCs w:val="18"/>
                <w:color w:val="auto"/>
                <w:w w:val="97"/>
              </w:rPr>
              <w:t>6.3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gain on equity investments</w:t>
            </w:r>
          </w:p>
        </w:tc>
        <w:tc>
          <w:tcPr>
            <w:tcW w:w="88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center"/>
              <w:ind w:left="161"/>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2026 was $96.0 million and $302.1 million, respectively. The provision for income taxes for the three and nine months ended September 30, 2025 was $58.1 million and $287.1 million,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effective tax rates for the three and nine months ended September 30, 2026 were unfavorably impacted by a one-time non-deductible charge of $1.23 billion associated with the acquisition of Vega and a net increase in valuation allowances against certain U.S. federal and state deferred tax assets. This was partially offset by tax benefits associated with the generation of tax credits, stock compensation related tax deductions and foreign tax effects. In addition, our effective tax rate for the nine months ended September 30, 2026 was favorably impacted by changes in unrecognized tax benefits.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was favorably impacted by a net decrease in our valuation allowance against certain U.S. federal deferred tax assets, resulting from the 2025 U.S. tax law changes described below. Our effective tax rate for the nine months ended September 30, 2025 was unfavorably impacted by an increase in our valuation allowance against certain U.S. federal and state deferred tax assets. This was partially offset by tax rate benefits associated with the generation of tax credits, the effect of cross-border tax laws and a decrease in a prior year valuation allowance against certain U.S. federal deferred tax assets, resulting from the 2025 U.S. tax law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At September 30, 2026, we had available cash, cash equivalents and marketable securities of $3.9 billion. Our cash and marketable securities balances are primarily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2026 and 2025 was $201.7 million and $870.2 million, respectively. The decrease in cash provided by operating activities was due primarily to the cash consideration paid to acquire Vega.</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investing activities, other than purchases and maturities of marketable securities, have consisted predominantly of capital expenditures and purchases of long term investments. Net cash used in investing activities was $184.3 million for the nine months ended September 30, 2026, which primarily represented purchases of marketable securities of $246.8 million, purchases of long term investments of $40.0 million and capital expenditures of $38.2 million, offset in part by maturities of marketable securities of $145.7 million. Net cash used in investing activities was $65.2 million for the nine months ended September 30, 2025, which primarily represented purchases of marketable securities of $212.9 million, capital expenditures of $37.0 million and payments for intangible assets of $25.0 million, offset in part by maturities of marketable securities of $209.6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Net cash provided by financing activities was $164.2 million for the nine months ended September 30, 2026, primarily representing proceeds from issuance of common stock under our stock plans, partially offset by cash paid for tax withholdings related to restricted stock unit and performance share vesting. Net cash used in financing activities was $36.7 million for the nine months ended September 30, 2025, primarily representing cash paid for excise taxes relating to the June 2024 share repurchase, cash paid for tax withholdings related to restricted and performance share vesting and cash paid to ARIAD/Takeda for contingent consideration, partially offset by proceeds from issuance of common stock under our stock plans.</w:t>
      </w:r>
    </w:p>
    <w:p>
      <w:pPr>
        <w:spacing w:after="0" w:line="18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September 30, 2026, we had no outstanding borrowings and were in compliance with all covenants under this facility. The Credit Agreement is described further in Note 16 of Notes to the Condensed Consolidated Financial Statements.</w:t>
      </w:r>
    </w:p>
    <w:p>
      <w:pPr>
        <w:spacing w:after="0" w:line="16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enactment of the One Big Beautiful Bill Act in July 2025 modified key provisions of the Tax Cuts and Jobs Act of 2017. The change related to the expensing of domestic research costs materially reduced our U.S. tax liabilities in 2025 and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8 of Notes to the Condensed Consolidated Financial Statements.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September 30, 2026, marketable securities were $578.7 million. Due to the nature of these investments, if market interest rates were to increase immediately and uniformly by 10% from levels as of September 30, 2026, the decline in fair value would not be material.</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the extent that we continue to hold strategic equity investments in publicly traded companies, we expect that due to the volatility of the stock price of biotechnology companies, our (gain) loss on equity investments will fluctuate in future periods based on increases or decreases in the fair value of our strategic equity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 reporting (as defined in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13a-15(f) and 15d-15(f) under the Exchange Act) for the three months ended September 30, 2026,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16 to our Condensed Consolidated Financial Statements included in this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JAKAFI/JAKAVI or those revenues decrease, our business may be materially harmed.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JAKAFI is the first product marketed by us to be approved for sale in the United States. While we also sell our and our licensors’ other approved products ICLUSIG, PEMAZYRE, MONJUVI/MINJUVI, OPZELURA, ZYNYZ and NIKTIMVO and our exclusive licensees sell OLUMIANT and TABRECTA, we anticipate that JAKAFI product sales (including JAKAFI XR) will continue to contribute a significant percentage of our total revenues over the next several years. However, we expect that JAKAFI product sales will begin to decline upon the expiration of our patent exclusivity in 2028.</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continued commercial success of JAKAFI and our ability to maintain and continue to increase revenues from the sale of JAKAFI will depend on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diagnosed with intermediate or high-risk myelofibrosis, uncontrolled polycythemia vera or steroid-refractory graft-versus-host disease and the number of such patients that may be treated with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U.S. Food and Drug Administration (FDA);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w:t>
      </w:r>
    </w:p>
    <w:p>
      <w:pPr>
        <w:spacing w:after="0" w:line="217"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JAKAFI in the United States for additional indications or in combination with other therapeutic modalities;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 with Novartis Pharmaceutical International Ltd. for sales of JAKAVI outside the United States and TABRECTA globally and our agreement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and other healthcare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the drug products marketed by us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European Union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(PBMs), other similar organizations and payors can limit coverage to specific products on an approved list, or formulary, which might not include all of the approved products for a particular indication, and they can exclude drugs from their formularies in favor of competitor drugs or alternative treatments, place drugs on formulary tiers with higher patient co-pay obligations, and mandate stricter utilization criteria. Formulary exclusion effectively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Payors could decide to excludeour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obtaining and maintaining broad coverage and reimbursement for our products, our anticipated revenue from and growth prospects for our products could be negatively affected.</w:t>
      </w:r>
    </w:p>
    <w:p>
      <w:pPr>
        <w:spacing w:after="0" w:line="191"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the ability of non-profit organizations to provide assistance to patients is dependent on funding from external sources, and we cannot guarantee that such funding will be provided at adequate levels, or at all.</w:t>
      </w:r>
    </w:p>
    <w:p>
      <w:pPr>
        <w:spacing w:after="0" w:line="16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healthcare reform measures are described below under “Other Risks Relating to our Business—Healthcare reform measures, including federal and state drug pricing reforms, could impact the pricing and profitability of pharmaceuticals, and adversely affect the commercial viability of our or our collaborators’ products and drug candidates.”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Lilly are affected by similar considerations for the drugs that they market and for which we may receive royalties.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our products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our products. Successful commercialization of our drug candidates requires us to establish new physician and payor relationships, PBM and pharmacy network relationships, reimbursement strategies and governmental interactions, separate from our existing capabilities. Our inability to successfully commercialize our products could harm our business and operating results.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 and we could face increased costs, penalties and a loss of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It is possible that future sales of JAKAFI and OPZELURA could be negatively affected as a result of the “boxed” warnings, which could have a material and adverse effect on our business, results of operations and prospects.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17"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Furthermore, disruptions at the FDA and other regulatory agencies could prevent those agencies from performing normal business functions on which the operation of our business relies, which could negatively impact our business.</w:t>
      </w:r>
    </w:p>
    <w:p>
      <w:pPr>
        <w:spacing w:after="0" w:line="15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60"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The testing, manufacturing, marketing and sale of our products could expose us to product liability and other risks. Side effects and other problems experienced by patients from the use of our products could:</w:t>
      </w:r>
    </w:p>
    <w:p>
      <w:pPr>
        <w:spacing w:after="0" w:line="163" w:lineRule="exact"/>
        <w:rPr>
          <w:sz w:val="20"/>
          <w:szCs w:val="20"/>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our approved products in diseases for potential additional indications in controlled clinical settings, and independent investigators are doing so as well. In the event of any new risks or adverse effects discovered as new patients are treated and as our products are studied in or used by patients for off-label indications, regulatory authorities may delay or revoke their approvals, we may be required to conduct additional clinical trials, make changes in labeling of our products, reformulate our products or make changes and obtain new approvals. We may also experience a significant drop in the sales of our products, experience harm to our reputation and the reputation of our products in the marketplace or become subject to lawsuits, including class actions. Any of these results could decrease or prevent sales of our products or substantially increase the costs and expenses of commercializing our products.</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Factors similar to those listed above also apply to our collaborators in the jurisdictions in which they have development and commercialization rights.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or state-financed healthcare program.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EU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U.S. federal government has enacted the Physician Payment Sunshine provisions. These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healthcare industry, we could face increased costs, penalties and a loss of business” below.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Business—Competition” in our Annual Report on Form 10-K for the year ended December 31, 2025 for additional information regarding the effects of competition. If we are unable to compete successfully, our commercial opportunities will be reduced and our business, results of operations and financial conditions may be materially harmed.</w:t>
      </w:r>
    </w:p>
    <w:p>
      <w:pPr>
        <w:spacing w:after="0" w:line="198"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or other version of an innovative pharmaceutical by filing with the FDA an Abbreviated New Drug Application (“ANDA”) or a New Drug Application (“NDA”) pursuant to section 505(b)(2) of the Federal Food, Drug, and Cosmetic Act (the “FDCA”). The Hatch-Waxman Act provides significant incentives to generic manufacturers to challenge U.S. patents on successful innovative pharmaceutical products. We have received notice letters from Apotex, Inc., Hikma Pharmaceuticals USA Inc., Sun Pharmaceutical Industries Inc., Granules India Ltd., Dr. Reddy’s Laboratories, Inc., Eugia Pharma Specialties, Ltd., Alkem Laboratories Ltd., Alembic Pharmaceuticals Ltd., MSN Pharmaceuticals Inc. and MSN Laboratories Pvt. Ltd. (together “MSN”) and Hetero USA Inc., Hetero Labs Limited Unit-V, and Hetero Labs Limited (together “Hetero”), which we refer to as the Generic JAKAFI Manufacturers, notifying us that each has filed an ANDA requesting approval to market a generic version of JAKAFI and that contain a paragraph IV certification purporting to challenge one or more patents covering ruxolitinib composition of matter and its use that expire (with pediatric extension) in June 2028 and patents covering ruxolitinib phosphate and its use that expire (with pediatric extension) in December 2028. We have also received a separate notice letter from Apotex, Inc. regarding its filing of an NDA pursuant to section 505(b)(2) of the FDCA that requested to rely, in part, on the FDA’s previously published findings of safety and efficacy for JAKAFI and that contains a paragraph IV certification purporting to challenge patents covering ruxolitinib composition of matter and its use that expire (with pediatric extension) in June 2028 and patents covering ruxolitinib phosphate and its use that expire (with pediatric extension) in December 2028. In response, we filed patent infringement actions against each of the Generic JAKAFI Manufacturers (including with respect to both the ANDA and 505(b)(2) NDA for Apotex, Inc.) in the U.S. District Court for the District of New Jersey asserting certain FDA Orange-Book-listed patents for JAKAFI. We subsequently entered into confidential settlement agreements with Hikma Pharmaceuticals USA Inc., Granules India Ltd., Dr. Reddy’s Laboratories, Inc., Eugia Pharma Specialties, Ltd., Alkem Laboratories Ltd. and Sun Pharmaceuticals Industries Inc., respectively, settling all outstanding claims in the litigations against those Generic JAKAFI Manufacturers. The actions against the other Generic JAKAFI Manufacturers remain pending.</w:t>
      </w:r>
    </w:p>
    <w:p>
      <w:pPr>
        <w:spacing w:after="0" w:line="19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(“CML”) who are resistant or intolerant to prior tyrosine kinase inhibitor (“TKI”) therapies, on the basis of, among other things, efficacy, cost, breadth of approved use and the safety and side-effect profile. In addition, generic versions of imatinib are available. Given ICLUSIG’s various indication statements globally that are currently focused on resistant or intolerant CML, we currently believe that generic versions of imatinib will not materially impact our commercialization of ICLUSIG but we cannot be certain how physicians, payors, patients, regulatory authorities and other market participants will respond to the availability of generic versions of imatinib.</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and prescription topical treatments, as well as oral and injectable therapies, from major pharmaceutical and biotechnology companies, and companies that produce generic versions of prescription treatments. We have received notice letters from Padagis Israel Pharmaceuticals Ltd., Taro Pharmaceuticals Inc., Zydus Lifesciences Limited and Encube Ethicals Private Limited, which we refer to as the Generic OPZELURA Manufacturers, notifying us that each has filed an ANDA requesting approval to market a generic version of OPZELURA and that contain a paragraph IV certification purporting to challenge one or more patents covering ruxolitinib phosphate cream and its uses that expire in 2031 and 2040. None of the notice letters challenge the ruxolitinib or ruxolitinib phosphate composition of matter patents, providing patent coverage (with pediatric extension) until December 2028. In response to the notice letters, we filed patent infringement actions against each of the Generic OPZELURA Manufacturers in the U.S. District Court for the District of New Jersey asserting certain FDA Orange Book-listed patents for OPZELURA. Each of these actions remains pending.</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There can be no assurance that our patents will be upheld or that any litigation in which we might engage with any generic manufacturer will be successful in protecting the exclusivity of our products. The entry of a competitive drug product from another company or a generic version of one of our products could result in a decrease in sales of our products and materially harm our business, operating results and financial condition.</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the jurisdictions in which it has commercialization rights and to our collaborator Lilly for OLUMIANT in all jurisdictions.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collaborators may be unsuccessful in our efforts to discover and develop drug candidates and commercialize drug products.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8" w:lineRule="exact"/>
        <w:rPr>
          <w:sz w:val="20"/>
          <w:szCs w:val="20"/>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execute our commercial product launch strategies;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1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and our collaborators and licensees, must continuously decide whether to discontinue development of any or all of our drug candidates at any time for commercial, scientific or other reasons. Even if a drug candidate receives marketing approval, it may not be able to achieve market acceptance or compete successfully with our competitors’ products and we may never realize a return on the significant amount of time and money invested in the drug candidate, which could adversely affect our operating results and financial condition as well as our business plans. Of the compounds or biologics that we identify as potential drug products or that we in-license from other companies, including potential products for which we are conducting clinical trials, only a few, if any, are likely to lead to successful drug development programs and commercialized drug products.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or our collaborators’ products to gain acceptance in the marketplace could negatively impact demand for our products and could materially and adversely affect our results of operations and financial condition.</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Even if our or our collaborators’ drug candidates receive regulatory approval in the United States or foreign jurisdictions, the market success of these products will be adversely affected if they are unable to achieve and maintain market acceptance by patients, providers and payors. Demand for our products could be adversely affected if providers elect a course of treatment which does not include our or our collaborators’ approved products. The market success of our products depends on our ability to successfully communicate the safety and efficacy of our and our collaborator’s products, and the failure to do so could adversely impact our results of operations and financial condition.</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or foreign jurisdictions, we or our collaborators will not be permitted to commercialize products resulting from our research.</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5" w:lineRule="exact"/>
        <w:rPr>
          <w:sz w:val="20"/>
          <w:szCs w:val="20"/>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17"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Delays in FDA approval of drug candidates may also result from other factors such as funding limitations, staffing reductions or other resource restrictions, any of which could have an adverse effect on the regulatory approval process. Further,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 release tablets, which identified additional requirements for approval.</w:t>
      </w:r>
    </w:p>
    <w:p>
      <w:pPr>
        <w:spacing w:after="0" w:line="19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the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our investment thesis for drug candidates, resulting in withdrawal of approval applications.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Healthcare reform measures, including federal and state drug pricing reforms, could impact the pricing and profitability of pharmaceuticals and adversely affect the commercial viability of our or our collaborators’ products and drug candidates.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recent years, the U.S. federal government has enacted significant healthcare and drug pricing reforms through legislation and regulation. These reforms include modifications to Medicare reimbursement, increased manufacturer rebate obligations under certain government healthcare programs and the establishment of new mechanisms intended to reduce prescription drug spending. For example, the American Rescue Plan Act of 2021 included a provision that became effective in January 2024 that eliminated the statutory cap on rebates that drug manufacturers pay to Medicaid. It is expected that this provision, as implemented by the Centers for Medicare and Medicaid Services (“CMS”), will have the effect of increasing Medicaid rebate liability, particularly in the case of medicines that have experienced price increases at a rate in excess of inflation.</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the Inflation Reduction Act of 2022 (the “IRA”) introduced several significant changes to Medicare, including: requiring CMS to negotiate prices for certain high-expenditure, single source Medicare drugs; imposing inflation-based rebates on manufacturers whose prices increase faster than inflation; redesigning the Medicare Part D benefit to cap beneficiary out-of-pocket costs while requiring manufacturers to provide mandatory discounts under the Medicare Part D Manufacturer Discount Program beginning in 2025; and establishing penalties for manufacturers that fail to comply with applicable Medicare Drug Price Negotiation Program requirements. The IRA provides phased implementation of the Medicare Part D Manufacturer Discount Program for certain qualifying products. Certain Incyte products currently qualify for this phase-in, although our manufacturer discount obligations will increase over time as those provisions phase out.</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In 2025, Congress enacted the ORPHAN Cures Act, which amended certain provisions of the Medicare Drug Price Negotiation Program established under the IRA. As a result, the timeline under which the ruxolitinib phosphate active moiety could become eligible for Medicare drug price negotiation has been extended. While the ORPHAN Cures Act delayed the timing of potential Medicare drug price negotiation applicable to ruxolitinib phosphate, future policy actions could modify, repeal or further amend these provisions, or otherwise expand government authority over pharmaceutical pricing.</w:t>
      </w:r>
    </w:p>
    <w:p>
      <w:pPr>
        <w:spacing w:after="0" w:line="16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More broadly, reforms or other changes to Medicare, Medicaid or other government healthcare programs, as well as changes in reimbursement policies adopted by private insurers and other third-party payors, may alter reimbursement methodologies, reduce reimbursement rates or product pricing or increase manufacturer liabilities. Changes to Medicare Part B reimbursement methodologies, payment rates or site-of-care payment policies applicable to physician-administered drugs could adversely affect provider purchasing decisions, product utilization, reimbursement and revenues. These reforms may affect future investments in our drug development should they affect our risk-benefit analysis of investing in drug candidates, reduce the price that we or any of our collaborators or licensees receive for our products and adversely affect our business strategy, operations and financial results.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legislative and enforcement interest in the United States with respect to drug pricing practices has increased.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subject to government control. We expect that the healthcare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material adverse affects to our revenue and the curtailing or, in some cases, the ceasing of our research and development efforts.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6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and reduced market acceptance and demand, which could adversely affect our financial results and growth prospects.</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the trend toward managed healthcare in the United States, as well as legislative and regulatory proposals to reform healthcare or address the cost of government insurance programs, may result in lower prices for, or rejection of, our products. Managed healthcare organizations could control or significantly influence the purchase of healthcare services and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government pricing policies, including the enactment of “most favored nation” legislation and actions, could adversely affect our business.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revenue, results of operations and cash flows could be materially and adversely affected by changes in government pricing policies, including recently proposed or enacted “most favored nation” (MFN) pricing legislation or executive actions. For example, an executive order issued on May 12, 2025, directed the Department of Health and Human Services to establish MFN price targets, and, if progress toward these targets is insufficient, to pursue rulemaking that could require sale of certain products in the U.S. at prices no higher than those in comparable developed nations. The extent, timing, and ultimate effect of this policy are uncertain, and we cannot predict the potential impact on our pricing, reimbursement or profitability.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our out-licensed drug candidates.</w:t>
      </w:r>
    </w:p>
    <w:p>
      <w:pPr>
        <w:spacing w:after="0" w:line="18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and lead to our loss of potential revenues from product sales and milestones.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and license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in addition to other circumstances. If any of our collaborators or licensees terminates its agreement with us, or terminates its rights with respect to certain indications or drug candidates, we may not be able to find a replacement collaborator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We cannot be sure that potential conflicts will not arise or be alleged among our existing or future collaborations. If a business combination involving a collaborator or licensee and a third-party were to occur, the effect could be to terminate or cause delays in the development of our drug candidate.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enter into additional licensing agreements or if these arrangements are unsuccessful, our business and operations might be adversely affected.</w:t>
      </w:r>
    </w:p>
    <w:p>
      <w:pPr>
        <w:spacing w:after="0" w:line="233"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 targets that fit within our focus, such as our collaborations with MacroGenics, Inc. (“MacroGenics”), Merus N.V. (“Merus”)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Inc. and Syros Pharmaceuticals, Inc.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have been applied for other uses or we may have to expend funds that were not otherwise budgeted or anticipated in connection with the collaboration, and such developments could have a material adverse effect on our stock price and our ability to pursue other transactions. As discussed above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have also licensed, and may in the future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with the potential to severely impact our business, results of operations and financial condition. These disruptions can include the following: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entity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for manufacture of certain of our drug products and drug candidates could result in a short supply of the drugs, delays in clinical trials or drug development, increased costs, and withdrawal or denial of a regulatory authority’s approval.</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commercial products, including JAKAFI, PEMAZYRE, ICLUSIG, OPZELURA, ZYNYZ and NIKTIMVO, and our drug candidates. Our current manufacturing strategy for these products and drug candidates is to contract with third parties to manufacture the related raw materials, active pharmaceutical ingredient (“API”), and finished drug product. We have a biologics production facility located in Yverdon, Switzerland which is currently registered for MONJUVI/MINJUVI drug substance manufacturing. We are responsible for the sourcing and manufacturing of ZYNYZ together with our collaborator MacroGenics.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8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7"/>
          <w:szCs w:val="17"/>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raw materials, API and finished product of our drug products and our other drug candidates.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 drug candidates or drug products, whether through conditions affecting the cost and availability of raw materials, such as inflation, decreases in available manufacturing capacity, or otherwise, would adversely affect our results of operations.</w:t>
      </w:r>
    </w:p>
    <w:p>
      <w:pPr>
        <w:spacing w:after="0" w:line="18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Swiss facility or in obtaining necessary regulatory approvals and registrations to do so.</w:t>
      </w:r>
    </w:p>
    <w:p>
      <w:pPr>
        <w:spacing w:after="0" w:line="19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Our manufacturing facility in Switzerland is subject to similar risks as those described above in relation to our third-party manufacturers. This facility may encounter unanticipated delays and expenses in operations due to a number of factors, including regulatory requirements. For example, our manufacturing facilities are subject to inspection in connection with clinical development and new drug approvals as well as ongoing, periodic inspections by regulatory agencies. Any failures or deficiencies identified by such inspections could delay or prevent our manufacturing activities. If our manufacturing operations are delayed, we may not be able to manufacture sufficient quantities of our drug candidates and approved drug products which could limit our development and commercialization activities and adversely affect our business.</w:t>
      </w:r>
    </w:p>
    <w:p>
      <w:pPr>
        <w:spacing w:after="0" w:line="18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healthcare industry, we could face increased costs, penalties and a loss of business.</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and we have previously been subject to an inquiry relating to our speaker programs and patient assistance programs.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February 2024 we acquired the rights to tafasitamab (MONJUVI/MINJUVI) from MorphoSys AG and MorphoSys US Inc. that resulted in our holding exclusive global development and commercialization rights to tafasitamab, and in July 2026 we acquired Vega Therapeutics and its novel antibody therapies for rare blood disorders.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90" w:lineRule="exact"/>
        <w:rPr>
          <w:sz w:val="20"/>
          <w:szCs w:val="20"/>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acquired products, product candidates or technologies or to achieve other strategic objectives;</w:t>
      </w:r>
    </w:p>
    <w:p>
      <w:pPr>
        <w:spacing w:after="0" w:line="228"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markets in which we have no or limited direct prior experience or where competitors in such markets have stronger market positions;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the key business relationships of any business we acquire;</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processes in the U.S. and foreign jurisdictions may cause approvals to take longer than anticipated to obtain, or may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18"/>
          <w:szCs w:val="18"/>
          <w:color w:val="auto"/>
        </w:rPr>
        <w:t>As a result of these or other problems and risks, the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For example, in 2024 we acquired Escient Pharmaceuticals, Inc., but later in that year we stopped development of the two lead compounds acquired from Escient. We cannot be sure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several quarters of the last three fiscal years we recorded unrealized losses related to our investments in our collaboration partners, and we may experience additional losses related to our investments in future periods. In addition, if we choose to issue equity securities as consideration for any acquisition, dilution to our stockholders could result.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European operations and plan to continue to expand our operations and conduct certain development activities outside of the United States. For example, as part of our plans to expand our activities outside of the United States, we conduct some of our operations in Canada, have commercial and clinical development activities in Japan, maintain an office in China and are working with collaborative partners in additional markets. International operations and business expansion plans are subject to numerous additional risks, including:</w:t>
      </w:r>
    </w:p>
    <w:p>
      <w:pPr>
        <w:spacing w:after="0" w:line="180" w:lineRule="exact"/>
        <w:rPr>
          <w:sz w:val="20"/>
          <w:szCs w:val="20"/>
          <w:color w:val="auto"/>
        </w:rPr>
      </w:pPr>
    </w:p>
    <w:p>
      <w:pPr>
        <w:jc w:val="both"/>
        <w:ind w:left="960" w:hanging="318"/>
        <w:spacing w:after="0" w:line="259"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and cost as we enter into additional jurisdictions;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exposure to foreign currency exchange rate fluctuations and increased costs due to tariffs;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6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damage our reputation, cause participants and investigators to withdraw from clinical trials, and encourage potential collaborators or licensees to seek other partners, any of which could impact our results of operations.</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 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and uncertainties could seriously harm our operations, future revenues and financial condition and increase our costs and expenses.</w:t>
      </w:r>
    </w:p>
    <w:p>
      <w:pPr>
        <w:spacing w:after="0" w:line="23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business disruptions as a result of natural disasters, power and other infrastructure failures or shortages, public health pandemics or epidemics, and other natural or man-made disasters, as well as other business uncertainties as a result of international trade policies, including tariff and trade disputes, trade sanctions and import and export licensing requirements.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or other uncertainties could seriously harm our operations, future revenues and financial condition and increase our costs and expenses.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47"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and if we are unable to generate revenues from our marketed drug products sufficient to offset our expenses we may incur losses in future periods. Our revenues, expenses and net income (loss) may fluctuate, even significantly, due to the risks described in these “Risk Factors” and the factors discussed in “Management’s Discussion and Analysis of Financial Condition and Results of Operations” appearing in Part I, Item 2 of this Quarterly Report on Form 10-Q, as well as the timing of charges and expenses that we may take, including those relating to transactions such as acquisitions and the entry into collaborative agreements. In addition, revenues from JAKAFI currently make up the substantial majority of our total revenues, but we expect that revenues from JAKAFI will begin to decline once patent exclusivity expires in 2028. We cannot assure you that we will be able to generate revenues from our other marketed drug products to offset the expected decline in revenues from JAKAFI.</w:t>
      </w:r>
    </w:p>
    <w:p>
      <w:pPr>
        <w:spacing w:after="0" w:line="19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expand our focus on the studies, including preclinical tests and clinical trials prior to seeking regulatory approval, that are required before we can sell a drug product.</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We cannot be sure that we will generate substantial revenues from any drug candidates that we license or develop for several years, if ever.</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our marketed drug products, we may incur losses if our drug products do not generate significant revenues.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rights;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marketable securities and equity investments are subject to risks that could adversely affect our overall financial position.</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discussed under “Other Risks Relating to Our Business—We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Any loss in value of our equity investments could adversely affect our financial position on the consolidated balance sheets and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in July 2025, U.S. federal tax legislation commonly referred to as the One Big Beautiful Bill Act was enacted, which, among other things, allows domestic research and development expenditures to be expensed for tax years beginning on or after January 1, 2025, with retroactive elections for such expenditures paid or incurred in the two prior years but also increases the effective tax rate on foreign-derived deduction eligible income (formerly known as “foreign-derived intangible income”) for tax years beginning on or after January 1, 2026. As another example, in August 2022, the Inflation Reduction Act of 2022 was enacted, which, among other things, includes a new 15% alternative minimum tax on the adjusted financial statement income of certain large corporations for tax years beginning after December 31, 2022.</w:t>
      </w:r>
    </w:p>
    <w:p>
      <w:pPr>
        <w:spacing w:after="0" w:line="19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In January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However, in January 2026, the OECD/G20 Inclusive Framework released its Side-by-Side (“SbS”) Safe Harbor package, which is intended to work “side-by-side” with the Pillar Two framework, offering a streamlined compliance pathway for large multinational enterprises. If an eligible multinational enterprise group elects the SbS Safe Harbor, any top-up tax under Pillar Two’s income inclusion rule and undertaxed profits rule is treated as zero for the group’s controlled domestic and foreign operations. The SbS Safe Harbor does not apply to 2024 and 2025. While we anticipate making the SbS Safe Harbor election for our tax year beginning on January 1, 2026, if we do not obtain side-by-side tax treatment, we could experience adverse consequences for tax provisions, tax liabilities and effective tax rate. Any new tax legislation or initiatives could not only significantly increase our tax provision, cash tax liabilities, compliance costs and effective tax rate, but could also significantly increase tax uncertainty due to differing interpretations and increased audit scrutiny.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subject to income tax in the United States and the foreign jurisdictions in which we operate. We must make certain judgments in determining our worldwide tax liabilities, and our effective tax rate is derived from the applicable statutory tax rates and relative income in each taxing jurisdiction. We record liabilities for uncertain tax positions that involve significant estimation uncertainty or management judgments. Taxing authorities in the jurisdictions in which we operate may disagree with our interpretation of tax law or with the positions we may take with respect to particular tax issues.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and changes in tax laws or regulations.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derive a substantial portion of our total revenues from product royalties and milestone payments under our collaboration agreements, with royalties on JAKAVI and OLUMIANT representing most of our product royalty, milestone and contract revenues in each of the three most recently completed fiscal years. Future revenues from research and development collaborations depend upon the continuation of the collaborations, the achievement of milestones, and any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success of our drug discovery and development efforts will depend on our ability to develop new compounds, drugs and technologies without infringing or misappropriating the proprietary rights of others. The technology that we use to make and develop our drug products, the technology that we incorporate in our products, and the products we are developing may be subject to claims that they infringe the patents or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3" w:lineRule="exact"/>
        <w:rPr>
          <w:sz w:val="20"/>
          <w:szCs w:val="20"/>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our approved products and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our approved products or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harm our business and result in a decrease in our revenue,” potential generic drug company competitors have challenged certain patents relating to JAKAFI and OPZELURA.</w:t>
      </w:r>
    </w:p>
    <w:p>
      <w:pPr>
        <w:spacing w:after="0" w:line="19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rights, such as a drug candidate in-licensed to us or subject to a collaboration with a third-party, the protection of such intellectual property rights may not be in our hands. If we do not control the intellectual property rights in-licensed to us with respect to a drug candidate and the entity that controls such intellectual property rights does not adequately protect those rights, our rights may be impaired, which may impact our ability to develop, market and commercialize the in-licensed drug candidate.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or if we need to refile some of our patent applications, the value of our patent portfolio and the revenues we derive from it may be decreased.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U.S.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U.S.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Other changes in U.S.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8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manufacturing operations. There are inherent costs and risks associated with implementing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9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the Health Insurance Portability and Accountability Act,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9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or are proposing privacy and data protection laws and regulations which govern the collection and use of personal information and which may impose large fines and penalties for noncompliance. For example, in the EU under the General Data Protection Regulation, potential fines for noncompliance are up to €20 million or 4% of annual global revenue, whichever is greater. Further, some jurisdictions provide for private rights of action if data breaches result in the loss or theft of personal data. These laws and regulations may also require, as applicable, that we:</w:t>
      </w:r>
    </w:p>
    <w:p>
      <w:pPr>
        <w:spacing w:after="0" w:line="185" w:lineRule="exact"/>
        <w:rPr>
          <w:sz w:val="20"/>
          <w:szCs w:val="20"/>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individuals to whom personal information relates are informed about how their personal information is collected and processed;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17"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and our employees are increasingly using social media tools as a means of communication both internally and externally. Despite our efforts to monitor evolving social media communication, our internal guidelines regarding the appropriate use of social media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artificial intelligence-based software and tools creates new risks and challenges that could adversely affect our business or cause reputational harm.</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use of artificial intelligence is increasing in the biopharmaceutical industry for research, marketing, manufacturing and commercialization purposes, and we anticipate increasing our use of technology that incorporates artificial intelligence in the future. As with many developing technologies, artificial intelligence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may also lead to the release of confidential proprietary information, which may impact our ability to realize the benefit of our intellectual property.</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failures or disruptions in any artificial intelligence functionality we incorporate into our business activities or products could adversely impact our business or result in delays or errors. Conversely, any failure to successfully develop and deploy artificial intelligence in our business activities or products could adversely affect our competitiveness (particularly if our competitors successfully deploy artificial intelligence in their businesses, products and services), and the development and deployment of artificial intelligence will require additional investment and increase our costs. The use of artificial intelligence is subject to rapidly evolving laws and regulations. Compliance with these laws and regulations may impose operational costs and limit our ability to use artificial intelligence-based software and tools, and failure to comply may result in potential government actions, litigation, fines, penalties, and brand or reputational 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ind w:firstLine="642"/>
        <w:spacing w:after="0" w:line="259" w:lineRule="auto"/>
        <w:tabs>
          <w:tab w:leader="none" w:pos="8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2026, the following officers (as defined in Rule 16a-1(f) under the Securities Exchange Act of 1934 (the “Exchange Act”)) of our Company adopted or terminated, as described below, a prearranged trading plan relating to our common stock and intended to satisfy the affirmative defense of Rule 10b5-1(c) under the Exchange Act: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Steven Stein, our Executive Vice President, Chief Medical Officer and Head of Late-Stage Development, adopted a trading plan on August 7, 2026 providing for the sale of up to an aggregate of 282,480 shares of our common stock until August 7, 2027. On July 29, 2026, Dr. Stein terminated a trading plan which was previously adopted on March 16, 2026 and provided for the sale of up to an aggregate of 207,534 shares of our common stock until March 17, 2027. No sales were executed under the terminated trading plan.</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Lee Heeson, our Executive Vice President and Head of Incyte International, adopted a trading plan on August 14, 2026 providing for the sale of up to an aggregate of 10,694 shares of our common stock until August 17, 2027.</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Thomas Tray, our Vice President, Finance and Chief Accounting Officer, adopted a trading plan on July 31, 2026 providing for the sale of up to an aggregate of 4,128 shares of our common stock until July 31, 2027.</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(as defined in Rule 16a-1(f) under the Exchange Act)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7980" w:type="dxa"/>
            <w:vAlign w:val="bottom"/>
            <w:tcBorders>
              <w:top w:val="single" w:sz="8" w:color="auto"/>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Preferability Letter from Ernst &amp; Young LLP, dated October 29, 2026, relating to change in accounting principle</w:t>
            </w:r>
          </w:p>
        </w:tc>
        <w:tc>
          <w:tcPr>
            <w:tcW w:w="1800" w:type="dxa"/>
            <w:vAlign w:val="bottom"/>
            <w:tcBorders>
              <w:top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39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Rule 13a-14(a) Certification of Chief Financial Officer.</w:t>
            </w:r>
          </w:p>
        </w:tc>
        <w:tc>
          <w:tcPr>
            <w:tcW w:w="58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85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Statement of the Chief Financial Officer under Section 906 of the Sarbanes-Oxley Act of 2002 (18 U.S.C. Section 1350).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520" w:type="dxa"/>
            <w:vAlign w:val="bottom"/>
            <w:gridSpan w:val="4"/>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60" w:hanging="1436"/>
        <w:spacing w:after="0"/>
        <w:tabs>
          <w:tab w:leader="none" w:pos="14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340" w:type="dxa"/>
            <w:vAlign w:val="bottom"/>
          </w:tcPr>
          <w:p>
            <w:pPr>
              <w:spacing w:after="0"/>
              <w:rPr>
                <w:sz w:val="20"/>
                <w:szCs w:val="20"/>
                <w:color w:val="auto"/>
              </w:rPr>
            </w:pPr>
          </w:p>
        </w:tc>
        <w:tc>
          <w:tcPr>
            <w:tcW w:w="78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2026</w:t>
            </w: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MEURY</w:t>
            </w:r>
          </w:p>
        </w:tc>
      </w:tr>
      <w:tr>
        <w:trPr>
          <w:trHeight w:val="252"/>
        </w:trPr>
        <w:tc>
          <w:tcPr>
            <w:tcW w:w="3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William J. Meury</w:t>
            </w:r>
          </w:p>
        </w:tc>
      </w:tr>
      <w:tr>
        <w:trPr>
          <w:trHeight w:val="265"/>
        </w:trPr>
        <w:tc>
          <w:tcPr>
            <w:tcW w:w="33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65"/>
        </w:trPr>
        <w:tc>
          <w:tcPr>
            <w:tcW w:w="33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2026</w:t>
            </w: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SUKETU UPADHYAY</w:t>
            </w:r>
          </w:p>
        </w:tc>
      </w:tr>
      <w:tr>
        <w:trPr>
          <w:trHeight w:val="252"/>
        </w:trPr>
        <w:tc>
          <w:tcPr>
            <w:tcW w:w="3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Suketu Upadhyay</w:t>
            </w:r>
          </w:p>
        </w:tc>
      </w:tr>
    </w:tbl>
    <w:p>
      <w:pPr>
        <w:spacing w:after="0" w:line="3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sectPr>
      </w:pPr>
    </w:p>
    <w:bookmarkStart w:id="82" w:name="page83"/>
    <w:bookmarkEnd w:id="82"/>
    <w:p>
      <w:pPr>
        <w:spacing w:after="0" w:line="9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Exhibit 18.1</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Preferability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October 29, 2026</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Board of Directors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Incyte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1801 Augustine Cut-Off</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Wilmington, DE 19803</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Note 2 of Notes to the condensed consolidated financial statements of Incyte Corporation included in its Form 10-Q for the periods ended September 30, 2026 describes a change in the method of accounting for inventory costing from the specific identification method to the first-in-first-out (FIFO) method for commercial product manufactured by third-party contract manufacturers. There are no authoritative criteria for determining a 'preferable' inventory costing method based on the particular circumstances; however, we conclude that such change in the method of accounting is to an acceptable alternative method which, based on your business judgment to make this change and for the stated reasons, is preferable in your circumstances. We have not conducted an audit in accordance with the standards of the Public Company Accounting Oversight Board (United States) of any financial statements of the Company as of any date or for any period subsequent to December 31, 2025, and therefore we do not express any opinion on any financial statements of Incyte Corporation subsequent to that date.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Philadelphia, Pennsylvania</w:t>
      </w:r>
    </w:p>
    <w:p>
      <w:pPr>
        <w:sectPr>
          <w:pgSz w:w="11900" w:h="16838" w:orient="portrait"/>
          <w:cols w:equalWidth="0" w:num="1">
            <w:col w:w="11240"/>
          </w:cols>
          <w:pgMar w:left="320" w:top="144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Meury, certify that:</w:t>
      </w:r>
    </w:p>
    <w:p>
      <w:pPr>
        <w:spacing w:after="0" w:line="217" w:lineRule="exact"/>
        <w:rPr>
          <w:sz w:val="20"/>
          <w:szCs w:val="20"/>
          <w:color w:val="auto"/>
        </w:rPr>
      </w:pPr>
    </w:p>
    <w:p>
      <w:pPr>
        <w:ind w:left="640" w:hanging="63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J.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7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J. Meury</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29, 2026</w:t>
      </w:r>
    </w:p>
    <w:p>
      <w:pPr>
        <w:sectPr>
          <w:pgSz w:w="11900" w:h="16838" w:orient="portrait"/>
          <w:cols w:equalWidth="0" w:num="1">
            <w:col w:w="11240"/>
          </w:cols>
          <w:pgMar w:left="320" w:top="112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Suketu Upadhyay, certify that:</w:t>
      </w:r>
    </w:p>
    <w:p>
      <w:pPr>
        <w:spacing w:after="0" w:line="217" w:lineRule="exact"/>
        <w:rPr>
          <w:sz w:val="20"/>
          <w:szCs w:val="20"/>
          <w:color w:val="auto"/>
        </w:rPr>
      </w:pPr>
    </w:p>
    <w:p>
      <w:pPr>
        <w:ind w:left="640" w:hanging="63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 SUKETU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14605</wp:posOffset>
            </wp:positionV>
            <wp:extent cx="36766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76650" cy="8255"/>
                    </a:xfrm>
                    <a:prstGeom prst="rect">
                      <a:avLst/>
                    </a:prstGeom>
                    <a:noFill/>
                  </pic:spPr>
                </pic:pic>
              </a:graphicData>
            </a:graphic>
          </wp:anchor>
        </w:drawing>
      </w:r>
    </w:p>
    <w:p>
      <w:pPr>
        <w:spacing w:after="0" w:line="2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Suketu Upadhyay</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October 29, 2026</w:t>
      </w:r>
    </w:p>
    <w:p>
      <w:pPr>
        <w:sectPr>
          <w:pgSz w:w="11900" w:h="16838" w:orient="portrait"/>
          <w:cols w:equalWidth="0" w:num="1">
            <w:col w:w="11240"/>
          </w:cols>
          <w:pgMar w:left="320" w:top="112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2026, as filed with the Securities and Exchange Commission on the date hereof (the “Report”), I, William J. Meury, Chief Executive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96" w:lineRule="auto"/>
        <w:tabs>
          <w:tab w:leader="none" w:pos="3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WILLIAM J.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-177800</wp:posOffset>
            </wp:positionV>
            <wp:extent cx="3567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William J. Meury</w:t>
      </w:r>
    </w:p>
    <w:p>
      <w:pPr>
        <w:spacing w:after="0" w:line="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29, 2026</w:t>
      </w:r>
    </w:p>
    <w:p>
      <w:pPr>
        <w:sectPr>
          <w:pgSz w:w="11900" w:h="16838" w:orient="portrait"/>
          <w:cols w:equalWidth="0" w:num="1">
            <w:col w:w="11240"/>
          </w:cols>
          <w:pgMar w:left="320" w:top="112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2026, as filed with the Securities and Exchange Commission on the date hereof (the “Report”), I, Suketu Upadhyay, Chief Financial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300" w:right="740" w:hanging="5294"/>
        <w:spacing w:after="0" w:line="568" w:lineRule="auto"/>
        <w:tabs>
          <w:tab w:leader="none" w:pos="3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SUKETU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-172085</wp:posOffset>
            </wp:positionV>
            <wp:extent cx="37103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1030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8"/>
          <w:szCs w:val="18"/>
          <w:color w:val="auto"/>
        </w:rPr>
        <w:t>Suketu Upadhyay</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October 29, 2026</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bullet"/>
      <w:start w:val="1"/>
    </w:lvl>
  </w:abstractNum>
  <w:abstractNum w:abstractNumId="4">
    <w:nsid w:val="333AB105"/>
    <w:multiLevelType w:val="hybridMultilevel"/>
    <w:lvl w:ilvl="0">
      <w:lvlJc w:val="left"/>
      <w:lvlText w:val="2"/>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bullet"/>
      <w:start w:val="1"/>
    </w:lvl>
  </w:abstractNum>
  <w:abstractNum w:abstractNumId="13">
    <w:nsid w:val="B03E0C6"/>
    <w:multiLevelType w:val="hybridMultilevel"/>
    <w:lvl w:ilvl="0">
      <w:lvlJc w:val="left"/>
      <w:lvlText w:val="2"/>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3"/>
    </w:lvl>
  </w:abstractNum>
  <w:abstractNum w:abstractNumId="32">
    <w:nsid w:val="440BADFC"/>
    <w:multiLevelType w:val="hybridMultilevel"/>
    <w:lvl w:ilvl="0">
      <w:lvlJc w:val="left"/>
      <w:lvlText w:val="*"/>
      <w:numFmt w:val="bullet"/>
      <w:start w:val="1"/>
    </w:lvl>
    <w:lvl w:ilvl="1">
      <w:lvlJc w:val="left"/>
      <w:lvlText w:val="%2"/>
      <w:numFmt w:val="decimal"/>
      <w:start w:val="104"/>
    </w:lvl>
  </w:abstractNum>
  <w:abstractNum w:abstractNumId="33">
    <w:nsid w:val="5072367"/>
    <w:multiLevelType w:val="hybridMultilevel"/>
    <w:lvl w:ilvl="0">
      <w:lvlJc w:val="left"/>
      <w:lvlText w:val="**"/>
      <w:numFmt w:val="bullet"/>
      <w:start w:val="1"/>
    </w:lvl>
    <w:lvl w:ilvl="1">
      <w:lvlJc w:val="left"/>
      <w:lvlText w:val="%2"/>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2026-10-29T15:30:50Z</dcterms:created>
  <dcterms:modified xsi:type="dcterms:W3CDTF">2026-10-29T15:30:50Z</dcterms:modified>
</cp:coreProperties>
</file>