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8149.xml.htm"/>
      <w:bookmarkStart w:id="1" w:name="kswkform4_17845781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Issa Mohamed Khairie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Head of U.S. Commercial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115.01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7,857</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71,797</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19,643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33,918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award of restricted stock units ("RSUs") that will vest 25% annually over four years. The RSUs may be settled only for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the July 16, 2026 grant, this includes an aggregate of 71,797 shares of common stock issuable pursuant to previously reported restricted stock units that have not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share represents the right to receive up to 200% of one share of common stock. Such shares may be earned based upon the issuer's relative total shareholder return ("TSR") over a three-year performance period beginning on January 1, 2026 as compared to the TSR of companies in a fixed peer group, as set forth in the Performance Share Award Agreement. The earned shares will vest on the third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July 16, 2026 options become exercisable in 37 installments, with the first 25% vesting after one year and the remainder vesting monthly over three years. Remarks: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0035"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4170</Characters>
  <CharactersWithSpaces>4846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