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ind w:left="3700"/>
        <w:spacing w:after="0" w:line="238" w:lineRule="auto"/>
        <w:rPr>
          <w:sz w:val="20"/>
          <w:szCs w:val="20"/>
          <w:color w:val="auto"/>
        </w:rPr>
      </w:pPr>
      <w:r>
        <w:rPr>
          <w:rFonts w:ascii="Courier New" w:cs="Courier New" w:eastAsia="Courier New" w:hAnsi="Courier New"/>
          <w:sz w:val="18"/>
          <w:szCs w:val="18"/>
          <w:color w:val="auto"/>
        </w:rPr>
        <w:t>UNITED STATES</w:t>
      </w: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7"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9" w:lineRule="exact"/>
        <w:rPr>
          <w:sz w:val="24"/>
          <w:szCs w:val="24"/>
          <w:color w:val="auto"/>
        </w:rPr>
      </w:pPr>
    </w:p>
    <w:p>
      <w:pPr>
        <w:ind w:left="1380" w:right="3039" w:hanging="1372"/>
        <w:spacing w:after="0" w:line="235" w:lineRule="auto"/>
        <w:tabs>
          <w:tab w:leader="none" w:pos="13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quarterly period ended June 30, 1996</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0" w:lineRule="exact"/>
        <w:rPr>
          <w:sz w:val="24"/>
          <w:szCs w:val="24"/>
          <w:color w:val="auto"/>
        </w:rPr>
      </w:pPr>
    </w:p>
    <w:p>
      <w:pPr>
        <w:spacing w:after="0" w:line="209" w:lineRule="exact"/>
        <w:rPr>
          <w:sz w:val="24"/>
          <w:szCs w:val="24"/>
          <w:color w:val="auto"/>
        </w:rPr>
      </w:pPr>
    </w:p>
    <w:p>
      <w:pPr>
        <w:ind w:left="1380" w:right="2839" w:hanging="1372"/>
        <w:spacing w:after="0" w:line="235" w:lineRule="auto"/>
        <w:tabs>
          <w:tab w:leader="none" w:pos="2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REPORTS PURSUANT TO SECTION 13 OR 15(d) OF THE SECURITIES EXCHANGE ACT OF 1934</w:t>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 _____________________ to ______________________</w:t>
      </w:r>
    </w:p>
    <w:p>
      <w:pPr>
        <w:spacing w:after="0" w:line="200" w:lineRule="exact"/>
        <w:rPr>
          <w:sz w:val="24"/>
          <w:szCs w:val="24"/>
          <w:color w:val="auto"/>
        </w:rPr>
      </w:pPr>
    </w:p>
    <w:p>
      <w:pPr>
        <w:spacing w:after="0" w:line="22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0-27488</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INCYTE PHARMACEUTICALS,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94-3136539</w:t>
      </w:r>
    </w:p>
    <w:p>
      <w:pPr>
        <w:spacing w:after="0" w:line="4"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(IRS Employer Identification No.)</w:t>
      </w:r>
    </w:p>
    <w:p>
      <w:pPr>
        <w:spacing w:after="0" w:line="419" w:lineRule="exact"/>
        <w:rPr>
          <w:sz w:val="24"/>
          <w:szCs w:val="24"/>
          <w:color w:val="auto"/>
        </w:rPr>
      </w:pPr>
    </w:p>
    <w:p>
      <w:pPr>
        <w:sectPr>
          <w:pgSz w:w="11900" w:h="16838" w:orient="portrait"/>
          <w:cols w:equalWidth="0" w:num="2">
            <w:col w:w="3720" w:space="720"/>
            <w:col w:w="5779"/>
          </w:cols>
          <w:pgMar w:left="240" w:top="244" w:right="1440" w:bottom="1440" w:gutter="0" w:footer="0" w:header="0"/>
          <w:type w:val="continuous"/>
        </w:sectPr>
      </w:pPr>
    </w:p>
    <w:p>
      <w:pPr>
        <w:spacing w:after="0" w:line="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3174 Porter Drive</w:t>
      </w:r>
    </w:p>
    <w:p>
      <w:pPr>
        <w:ind w:left="2860"/>
        <w:spacing w:after="0" w:line="238" w:lineRule="auto"/>
        <w:rPr>
          <w:sz w:val="20"/>
          <w:szCs w:val="20"/>
          <w:color w:val="auto"/>
        </w:rPr>
      </w:pPr>
      <w:r>
        <w:rPr>
          <w:rFonts w:ascii="Courier New" w:cs="Courier New" w:eastAsia="Courier New" w:hAnsi="Courier New"/>
          <w:sz w:val="18"/>
          <w:szCs w:val="18"/>
          <w:color w:val="auto"/>
        </w:rPr>
        <w:t>Palo Alto, California 94304</w:t>
      </w:r>
    </w:p>
    <w:p>
      <w:pPr>
        <w:spacing w:after="0" w:line="5" w:lineRule="exact"/>
        <w:rPr>
          <w:sz w:val="24"/>
          <w:szCs w:val="24"/>
          <w:color w:val="auto"/>
        </w:rPr>
      </w:pPr>
    </w:p>
    <w:p>
      <w:pPr>
        <w:ind w:left="212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1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(415) 855-0555</w:t>
      </w:r>
    </w:p>
    <w:p>
      <w:pPr>
        <w:sectPr>
          <w:pgSz w:w="11900" w:h="16838" w:orient="portrait"/>
          <w:cols w:equalWidth="0" w:num="1">
            <w:col w:w="10219"/>
          </w:cols>
          <w:pgMar w:left="240" w:top="244" w:right="1440" w:bottom="1440" w:gutter="0" w:footer="0" w:header="0"/>
          <w:type w:val="continuous"/>
        </w:sectPr>
      </w:pP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by Section 13 or 15(d) of the Securities Exchange Act of 1934 during the preceding 12 months (or for such shorter period that the registrant was required to file such reports), and (2) has been subject to such filing requirements for the past 90 days. [ X ] Yes [ ] No</w:t>
      </w:r>
    </w:p>
    <w:p>
      <w:pPr>
        <w:spacing w:after="0" w:line="209" w:lineRule="exact"/>
        <w:rPr>
          <w:sz w:val="24"/>
          <w:szCs w:val="24"/>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number of outstanding shares of the registrant's Common Stock, $0.001 par value, was 10,121,460 as of July 31, 1996.</w:t>
      </w:r>
    </w:p>
    <w:p>
      <w:pPr>
        <w:spacing w:after="0" w:line="200" w:lineRule="exact"/>
        <w:rPr>
          <w:sz w:val="24"/>
          <w:szCs w:val="24"/>
          <w:color w:val="auto"/>
        </w:rPr>
      </w:pPr>
    </w:p>
    <w:p>
      <w:pPr>
        <w:spacing w:after="0" w:line="205"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Page 1 of 15</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INCYTE PHARMACEUTICALS, INC.</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INDEX</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 FINANCIAL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19"/>
        <w:spacing w:after="0"/>
        <w:rPr>
          <w:sz w:val="20"/>
          <w:szCs w:val="20"/>
          <w:color w:val="auto"/>
        </w:rPr>
      </w:pPr>
      <w:r>
        <w:rPr>
          <w:rFonts w:ascii="Courier New" w:cs="Courier New" w:eastAsia="Courier New" w:hAnsi="Courier New"/>
          <w:sz w:val="18"/>
          <w:szCs w:val="18"/>
          <w:color w:val="auto"/>
        </w:rPr>
        <w:t>PAGE</w:t>
      </w:r>
    </w:p>
    <w:p>
      <w:pPr>
        <w:jc w:val="right"/>
        <w:ind w:right="41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 - Unaudited</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Condensed Balance Sheets - June 30, 1996 and</w:t>
      </w:r>
    </w:p>
    <w:p>
      <w:pPr>
        <w:ind w:left="1700"/>
        <w:spacing w:after="0"/>
        <w:tabs>
          <w:tab w:leader="dot" w:pos="9580" w:val="left"/>
        </w:tabs>
        <w:rPr>
          <w:sz w:val="20"/>
          <w:szCs w:val="20"/>
          <w:color w:val="auto"/>
        </w:rPr>
      </w:pPr>
      <w:r>
        <w:rPr>
          <w:rFonts w:ascii="Courier New" w:cs="Courier New" w:eastAsia="Courier New" w:hAnsi="Courier New"/>
          <w:sz w:val="18"/>
          <w:szCs w:val="18"/>
          <w:color w:val="auto"/>
        </w:rPr>
        <w:t>December 31, 1995</w:t>
      </w:r>
      <w:r>
        <w:rPr>
          <w:sz w:val="20"/>
          <w:szCs w:val="20"/>
          <w:color w:val="auto"/>
        </w:rPr>
        <w:tab/>
      </w:r>
      <w:r>
        <w:rPr>
          <w:rFonts w:ascii="Courier New" w:cs="Courier New" w:eastAsia="Courier New" w:hAnsi="Courier New"/>
          <w:sz w:val="16"/>
          <w:szCs w:val="16"/>
          <w:color w:val="auto"/>
        </w:rPr>
        <w:t>3</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Condensed Statements of Operations - three and six month</w:t>
      </w:r>
    </w:p>
    <w:p>
      <w:pPr>
        <w:ind w:left="1700"/>
        <w:spacing w:after="0"/>
        <w:tabs>
          <w:tab w:leader="dot" w:pos="9580" w:val="left"/>
        </w:tabs>
        <w:rPr>
          <w:sz w:val="20"/>
          <w:szCs w:val="20"/>
          <w:color w:val="auto"/>
        </w:rPr>
      </w:pPr>
      <w:r>
        <w:rPr>
          <w:rFonts w:ascii="Courier New" w:cs="Courier New" w:eastAsia="Courier New" w:hAnsi="Courier New"/>
          <w:sz w:val="18"/>
          <w:szCs w:val="18"/>
          <w:color w:val="auto"/>
        </w:rPr>
        <w:t>periods ended June 30, 1996 and 1995</w:t>
      </w:r>
      <w:r>
        <w:rPr>
          <w:sz w:val="20"/>
          <w:szCs w:val="20"/>
          <w:color w:val="auto"/>
        </w:rPr>
        <w:tab/>
      </w:r>
      <w:r>
        <w:rPr>
          <w:rFonts w:ascii="Courier New" w:cs="Courier New" w:eastAsia="Courier New" w:hAnsi="Courier New"/>
          <w:sz w:val="16"/>
          <w:szCs w:val="16"/>
          <w:color w:val="auto"/>
        </w:rPr>
        <w:t>4</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Condensed Statements of Cash Flows - six months ended</w:t>
      </w:r>
    </w:p>
    <w:p>
      <w:pPr>
        <w:ind w:left="1700"/>
        <w:spacing w:after="0"/>
        <w:tabs>
          <w:tab w:leader="dot" w:pos="9580" w:val="left"/>
        </w:tabs>
        <w:rPr>
          <w:sz w:val="20"/>
          <w:szCs w:val="20"/>
          <w:color w:val="auto"/>
        </w:rPr>
      </w:pPr>
      <w:r>
        <w:rPr>
          <w:rFonts w:ascii="Courier New" w:cs="Courier New" w:eastAsia="Courier New" w:hAnsi="Courier New"/>
          <w:sz w:val="18"/>
          <w:szCs w:val="18"/>
          <w:color w:val="auto"/>
        </w:rPr>
        <w:t>June 30, 1996 and 1995</w:t>
      </w:r>
      <w:r>
        <w:rPr>
          <w:sz w:val="20"/>
          <w:szCs w:val="20"/>
          <w:color w:val="auto"/>
        </w:rPr>
        <w:tab/>
      </w:r>
      <w:r>
        <w:rPr>
          <w:rFonts w:ascii="Courier New" w:cs="Courier New" w:eastAsia="Courier New" w:hAnsi="Courier New"/>
          <w:sz w:val="16"/>
          <w:szCs w:val="16"/>
          <w:color w:val="auto"/>
        </w:rPr>
        <w:t>5</w:t>
      </w:r>
    </w:p>
    <w:p>
      <w:pPr>
        <w:spacing w:after="0" w:line="202" w:lineRule="exact"/>
        <w:rPr>
          <w:sz w:val="20"/>
          <w:szCs w:val="20"/>
          <w:color w:val="auto"/>
        </w:rPr>
      </w:pPr>
    </w:p>
    <w:p>
      <w:pPr>
        <w:ind w:left="1700"/>
        <w:spacing w:after="0"/>
        <w:tabs>
          <w:tab w:leader="dot" w:pos="9580" w:val="left"/>
        </w:tabs>
        <w:rPr>
          <w:sz w:val="20"/>
          <w:szCs w:val="20"/>
          <w:color w:val="auto"/>
        </w:rPr>
      </w:pPr>
      <w:r>
        <w:rPr>
          <w:rFonts w:ascii="Courier New" w:cs="Courier New" w:eastAsia="Courier New" w:hAnsi="Courier New"/>
          <w:sz w:val="18"/>
          <w:szCs w:val="18"/>
          <w:color w:val="auto"/>
        </w:rPr>
        <w:t>Notes to Condensed Financial Statements</w:t>
      </w:r>
      <w:r>
        <w:rPr>
          <w:sz w:val="20"/>
          <w:szCs w:val="20"/>
          <w:color w:val="auto"/>
        </w:rPr>
        <w:tab/>
      </w:r>
      <w:r>
        <w:rPr>
          <w:rFonts w:ascii="Courier New" w:cs="Courier New" w:eastAsia="Courier New" w:hAnsi="Courier New"/>
          <w:sz w:val="16"/>
          <w:szCs w:val="16"/>
          <w:color w:val="auto"/>
        </w:rPr>
        <w:t>6</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 Condition</w:t>
      </w:r>
    </w:p>
    <w:p>
      <w:pPr>
        <w:ind w:left="1700"/>
        <w:spacing w:after="0"/>
        <w:tabs>
          <w:tab w:leader="dot" w:pos="9580" w:val="left"/>
        </w:tabs>
        <w:rPr>
          <w:sz w:val="20"/>
          <w:szCs w:val="20"/>
          <w:color w:val="auto"/>
        </w:rPr>
      </w:pPr>
      <w:r>
        <w:rPr>
          <w:rFonts w:ascii="Courier New" w:cs="Courier New" w:eastAsia="Courier New" w:hAnsi="Courier New"/>
          <w:sz w:val="18"/>
          <w:szCs w:val="18"/>
          <w:color w:val="auto"/>
        </w:rPr>
        <w:t>and Results of Operations</w:t>
      </w:r>
      <w:r>
        <w:rPr>
          <w:sz w:val="20"/>
          <w:szCs w:val="20"/>
          <w:color w:val="auto"/>
        </w:rPr>
        <w:tab/>
      </w: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OTHER INFORMATION</w:t>
      </w:r>
    </w:p>
    <w:p>
      <w:pPr>
        <w:spacing w:after="0" w:line="201" w:lineRule="exact"/>
        <w:rPr>
          <w:sz w:val="20"/>
          <w:szCs w:val="20"/>
          <w:color w:val="auto"/>
        </w:rPr>
      </w:pPr>
    </w:p>
    <w:p>
      <w:pPr>
        <w:spacing w:after="0"/>
        <w:tabs>
          <w:tab w:leader="none" w:pos="1680" w:val="left"/>
          <w:tab w:leader="dot" w:pos="94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8"/>
          <w:szCs w:val="18"/>
          <w:color w:val="auto"/>
        </w:rPr>
        <w:t>Legal Proceedings</w:t>
      </w:r>
      <w:r>
        <w:rPr>
          <w:sz w:val="20"/>
          <w:szCs w:val="20"/>
          <w:color w:val="auto"/>
        </w:rPr>
        <w:tab/>
      </w:r>
      <w:r>
        <w:rPr>
          <w:rFonts w:ascii="Courier New" w:cs="Courier New" w:eastAsia="Courier New" w:hAnsi="Courier New"/>
          <w:sz w:val="18"/>
          <w:szCs w:val="18"/>
          <w:color w:val="auto"/>
        </w:rPr>
        <w:t>11</w:t>
      </w:r>
    </w:p>
    <w:p>
      <w:pPr>
        <w:spacing w:after="0" w:line="201" w:lineRule="exact"/>
        <w:rPr>
          <w:sz w:val="20"/>
          <w:szCs w:val="20"/>
          <w:color w:val="auto"/>
        </w:rPr>
      </w:pPr>
    </w:p>
    <w:p>
      <w:pPr>
        <w:spacing w:after="0"/>
        <w:tabs>
          <w:tab w:leader="none" w:pos="1680" w:val="left"/>
          <w:tab w:leader="dot" w:pos="94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Changes in Securities</w:t>
      </w:r>
      <w:r>
        <w:rPr>
          <w:sz w:val="20"/>
          <w:szCs w:val="20"/>
          <w:color w:val="auto"/>
        </w:rPr>
        <w:tab/>
      </w:r>
      <w:r>
        <w:rPr>
          <w:rFonts w:ascii="Courier New" w:cs="Courier New" w:eastAsia="Courier New" w:hAnsi="Courier New"/>
          <w:sz w:val="18"/>
          <w:szCs w:val="18"/>
          <w:color w:val="auto"/>
        </w:rPr>
        <w:t>11</w:t>
      </w:r>
    </w:p>
    <w:p>
      <w:pPr>
        <w:spacing w:after="0" w:line="201" w:lineRule="exact"/>
        <w:rPr>
          <w:sz w:val="20"/>
          <w:szCs w:val="20"/>
          <w:color w:val="auto"/>
        </w:rPr>
      </w:pPr>
    </w:p>
    <w:p>
      <w:pPr>
        <w:spacing w:after="0"/>
        <w:tabs>
          <w:tab w:leader="none" w:pos="1680" w:val="left"/>
          <w:tab w:leader="dot" w:pos="94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Defaults Upon Senior Securities</w:t>
      </w:r>
      <w:r>
        <w:rPr>
          <w:sz w:val="20"/>
          <w:szCs w:val="20"/>
          <w:color w:val="auto"/>
        </w:rPr>
        <w:tab/>
      </w:r>
      <w:r>
        <w:rPr>
          <w:rFonts w:ascii="Courier New" w:cs="Courier New" w:eastAsia="Courier New" w:hAnsi="Courier New"/>
          <w:sz w:val="18"/>
          <w:szCs w:val="18"/>
          <w:color w:val="auto"/>
        </w:rPr>
        <w:t>11</w:t>
      </w:r>
    </w:p>
    <w:p>
      <w:pPr>
        <w:spacing w:after="0" w:line="201" w:lineRule="exact"/>
        <w:rPr>
          <w:sz w:val="20"/>
          <w:szCs w:val="20"/>
          <w:color w:val="auto"/>
        </w:rPr>
      </w:pPr>
    </w:p>
    <w:p>
      <w:pPr>
        <w:spacing w:after="0"/>
        <w:tabs>
          <w:tab w:leader="none" w:pos="1680" w:val="left"/>
          <w:tab w:leader="dot" w:pos="94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Submission of Matters to a Vote of Security Holders</w:t>
      </w:r>
      <w:r>
        <w:rPr>
          <w:sz w:val="20"/>
          <w:szCs w:val="20"/>
          <w:color w:val="auto"/>
        </w:rPr>
        <w:tab/>
      </w:r>
      <w:r>
        <w:rPr>
          <w:rFonts w:ascii="Courier New" w:cs="Courier New" w:eastAsia="Courier New" w:hAnsi="Courier New"/>
          <w:sz w:val="18"/>
          <w:szCs w:val="18"/>
          <w:color w:val="auto"/>
        </w:rPr>
        <w:t>11</w:t>
      </w:r>
    </w:p>
    <w:p>
      <w:pPr>
        <w:spacing w:after="0" w:line="201" w:lineRule="exact"/>
        <w:rPr>
          <w:sz w:val="20"/>
          <w:szCs w:val="20"/>
          <w:color w:val="auto"/>
        </w:rPr>
      </w:pPr>
    </w:p>
    <w:p>
      <w:pPr>
        <w:spacing w:after="0"/>
        <w:tabs>
          <w:tab w:leader="none" w:pos="1680" w:val="left"/>
          <w:tab w:leader="dot" w:pos="9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Other Information</w:t>
      </w:r>
      <w:r>
        <w:rPr>
          <w:sz w:val="20"/>
          <w:szCs w:val="20"/>
          <w:color w:val="auto"/>
        </w:rPr>
        <w:tab/>
      </w:r>
      <w:r>
        <w:rPr>
          <w:rFonts w:ascii="Courier New" w:cs="Courier New" w:eastAsia="Courier New" w:hAnsi="Courier New"/>
          <w:sz w:val="18"/>
          <w:szCs w:val="18"/>
          <w:color w:val="auto"/>
        </w:rPr>
        <w:t>12</w:t>
      </w:r>
    </w:p>
    <w:p>
      <w:pPr>
        <w:spacing w:after="0" w:line="201" w:lineRule="exact"/>
        <w:rPr>
          <w:sz w:val="20"/>
          <w:szCs w:val="20"/>
          <w:color w:val="auto"/>
        </w:rPr>
      </w:pPr>
    </w:p>
    <w:p>
      <w:pPr>
        <w:spacing w:after="0"/>
        <w:tabs>
          <w:tab w:leader="none" w:pos="1680" w:val="left"/>
          <w:tab w:leader="dot" w:pos="94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Exhibits and Reports on Form 8-K</w:t>
      </w:r>
      <w:r>
        <w:rPr>
          <w:sz w:val="20"/>
          <w:szCs w:val="20"/>
          <w:color w:val="auto"/>
        </w:rPr>
        <w:tab/>
      </w:r>
      <w:r>
        <w:rPr>
          <w:rFonts w:ascii="Courier New" w:cs="Courier New" w:eastAsia="Courier New" w:hAnsi="Courier New"/>
          <w:sz w:val="18"/>
          <w:szCs w:val="18"/>
          <w:color w:val="auto"/>
        </w:rPr>
        <w:t>12</w:t>
      </w:r>
    </w:p>
    <w:p>
      <w:pPr>
        <w:spacing w:after="0" w:line="201" w:lineRule="exact"/>
        <w:rPr>
          <w:sz w:val="20"/>
          <w:szCs w:val="20"/>
          <w:color w:val="auto"/>
        </w:rPr>
      </w:pPr>
    </w:p>
    <w:p>
      <w:pPr>
        <w:ind w:left="1700"/>
        <w:spacing w:after="0"/>
        <w:tabs>
          <w:tab w:leader="dot" w:pos="9460" w:val="left"/>
        </w:tabs>
        <w:rPr>
          <w:sz w:val="20"/>
          <w:szCs w:val="20"/>
          <w:color w:val="auto"/>
        </w:rPr>
      </w:pPr>
      <w:r>
        <w:rPr>
          <w:rFonts w:ascii="Courier New" w:cs="Courier New" w:eastAsia="Courier New" w:hAnsi="Courier New"/>
          <w:sz w:val="18"/>
          <w:szCs w:val="18"/>
          <w:color w:val="auto"/>
        </w:rPr>
        <w:t>Exhibit Index</w:t>
      </w:r>
      <w:r>
        <w:rPr>
          <w:sz w:val="20"/>
          <w:szCs w:val="20"/>
          <w:color w:val="auto"/>
        </w:rPr>
        <w:tab/>
      </w:r>
      <w:r>
        <w:rPr>
          <w:rFonts w:ascii="Courier New" w:cs="Courier New" w:eastAsia="Courier New" w:hAnsi="Courier New"/>
          <w:sz w:val="18"/>
          <w:szCs w:val="18"/>
          <w:color w:val="auto"/>
        </w:rPr>
        <w:t>13</w:t>
      </w:r>
    </w:p>
    <w:p>
      <w:pPr>
        <w:spacing w:after="0" w:line="201" w:lineRule="exact"/>
        <w:rPr>
          <w:sz w:val="20"/>
          <w:szCs w:val="20"/>
          <w:color w:val="auto"/>
        </w:rPr>
      </w:pPr>
    </w:p>
    <w:p>
      <w:pPr>
        <w:ind w:left="1700"/>
        <w:spacing w:after="0"/>
        <w:tabs>
          <w:tab w:leader="dot" w:pos="9460" w:val="left"/>
        </w:tabs>
        <w:rPr>
          <w:sz w:val="20"/>
          <w:szCs w:val="20"/>
          <w:color w:val="auto"/>
        </w:rPr>
      </w:pPr>
      <w:r>
        <w:rPr>
          <w:rFonts w:ascii="Courier New" w:cs="Courier New" w:eastAsia="Courier New" w:hAnsi="Courier New"/>
          <w:sz w:val="18"/>
          <w:szCs w:val="18"/>
          <w:color w:val="auto"/>
        </w:rPr>
        <w:t>Signatures</w:t>
      </w:r>
      <w:r>
        <w:rPr>
          <w:sz w:val="20"/>
          <w:szCs w:val="20"/>
          <w:color w:val="auto"/>
        </w:rPr>
        <w:tab/>
      </w: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Page 2 of 15</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PART I - FINANCIAL INFORMATION</w:t>
      </w: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0" w:lineRule="exact"/>
        <w:rPr>
          <w:sz w:val="20"/>
          <w:szCs w:val="20"/>
          <w:color w:val="auto"/>
        </w:rPr>
      </w:pPr>
    </w:p>
    <w:p>
      <w:pPr>
        <w:spacing w:after="0" w:line="203" w:lineRule="exact"/>
        <w:rPr>
          <w:sz w:val="20"/>
          <w:szCs w:val="20"/>
          <w:color w:val="auto"/>
        </w:rPr>
      </w:pPr>
    </w:p>
    <w:p>
      <w:pPr>
        <w:jc w:val="center"/>
        <w:ind w:right="2200"/>
        <w:spacing w:after="0"/>
        <w:rPr>
          <w:sz w:val="20"/>
          <w:szCs w:val="20"/>
          <w:color w:val="auto"/>
        </w:rPr>
      </w:pPr>
      <w:r>
        <w:rPr>
          <w:rFonts w:ascii="Courier New" w:cs="Courier New" w:eastAsia="Courier New" w:hAnsi="Courier New"/>
          <w:sz w:val="18"/>
          <w:szCs w:val="18"/>
          <w:color w:val="auto"/>
        </w:rPr>
        <w:t>INCYTE PHARMACEUTICALS, INC.</w:t>
      </w:r>
    </w:p>
    <w:p>
      <w:pPr>
        <w:jc w:val="center"/>
        <w:ind w:right="2200"/>
        <w:spacing w:after="0" w:line="238" w:lineRule="auto"/>
        <w:rPr>
          <w:sz w:val="20"/>
          <w:szCs w:val="20"/>
          <w:color w:val="auto"/>
        </w:rPr>
      </w:pPr>
      <w:r>
        <w:rPr>
          <w:rFonts w:ascii="Courier New" w:cs="Courier New" w:eastAsia="Courier New" w:hAnsi="Courier New"/>
          <w:sz w:val="18"/>
          <w:szCs w:val="18"/>
          <w:color w:val="auto"/>
        </w:rPr>
        <w:t>CONDENSED BALANCE SHEETS</w:t>
      </w:r>
    </w:p>
    <w:p>
      <w:pPr>
        <w:jc w:val="center"/>
        <w:ind w:right="2200"/>
        <w:spacing w:after="0"/>
        <w:rPr>
          <w:sz w:val="20"/>
          <w:szCs w:val="20"/>
          <w:color w:val="auto"/>
        </w:rPr>
      </w:pPr>
      <w:r>
        <w:rPr>
          <w:rFonts w:ascii="Courier New" w:cs="Courier New" w:eastAsia="Courier New" w:hAnsi="Courier New"/>
          <w:sz w:val="18"/>
          <w:szCs w:val="18"/>
          <w:color w:val="auto"/>
        </w:rPr>
        <w:t>(in thousands)</w:t>
      </w:r>
    </w:p>
    <w:tbl>
      <w:tblPr>
        <w:tblLayout w:type="fixed"/>
        <w:tblInd w:w="0" w:type="dxa"/>
        <w:tblCellMar>
          <w:top w:w="0" w:type="dxa"/>
          <w:left w:w="0" w:type="dxa"/>
          <w:bottom w:w="0" w:type="dxa"/>
          <w:right w:w="0" w:type="dxa"/>
        </w:tblCellMar>
      </w:tblPr>
      <w:tr>
        <w:trPr>
          <w:trHeight w:val="202"/>
        </w:trPr>
        <w:tc>
          <w:tcPr>
            <w:tcW w:w="7440" w:type="dxa"/>
            <w:vAlign w:val="bottom"/>
          </w:tcPr>
          <w:p>
            <w:pPr>
              <w:ind w:left="3700"/>
              <w:spacing w:after="0" w:line="202" w:lineRule="exact"/>
              <w:rPr>
                <w:sz w:val="20"/>
                <w:szCs w:val="20"/>
                <w:color w:val="auto"/>
              </w:rPr>
            </w:pPr>
            <w:r>
              <w:rPr>
                <w:rFonts w:ascii="Courier New" w:cs="Courier New" w:eastAsia="Courier New" w:hAnsi="Courier New"/>
                <w:sz w:val="18"/>
                <w:szCs w:val="18"/>
                <w:color w:val="auto"/>
              </w:rPr>
              <w:t>(unaudited)</w:t>
            </w: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810"/>
        </w:trPr>
        <w:tc>
          <w:tcPr>
            <w:tcW w:w="7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7"/>
              </w:rPr>
              <w:t>JUNE 30,</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7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1996</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1995</w:t>
            </w:r>
          </w:p>
        </w:tc>
      </w:tr>
      <w:tr>
        <w:trPr>
          <w:trHeight w:val="405"/>
        </w:trPr>
        <w:tc>
          <w:tcPr>
            <w:tcW w:w="744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7,172</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$ 10,386</w:t>
            </w:r>
          </w:p>
        </w:tc>
      </w:tr>
      <w:tr>
        <w:trPr>
          <w:trHeight w:val="203"/>
        </w:trPr>
        <w:tc>
          <w:tcPr>
            <w:tcW w:w="7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Marketable securities - available-for-sale</w:t>
            </w:r>
          </w:p>
        </w:tc>
        <w:tc>
          <w:tcPr>
            <w:tcW w:w="4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30,348</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30,634</w:t>
            </w:r>
          </w:p>
        </w:tc>
      </w:tr>
      <w:tr>
        <w:trPr>
          <w:trHeight w:val="203"/>
        </w:trPr>
        <w:tc>
          <w:tcPr>
            <w:tcW w:w="7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4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9,365</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7,233</w:t>
            </w:r>
          </w:p>
        </w:tc>
      </w:tr>
      <w:tr>
        <w:trPr>
          <w:trHeight w:val="203"/>
        </w:trPr>
        <w:tc>
          <w:tcPr>
            <w:tcW w:w="7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Prepaid expenses and other current assets</w:t>
            </w:r>
          </w:p>
        </w:tc>
        <w:tc>
          <w:tcPr>
            <w:tcW w:w="4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955</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749</w:t>
            </w:r>
          </w:p>
        </w:tc>
      </w:tr>
      <w:tr>
        <w:trPr>
          <w:trHeight w:val="203"/>
        </w:trPr>
        <w:tc>
          <w:tcPr>
            <w:tcW w:w="7440" w:type="dxa"/>
            <w:vAlign w:val="bottom"/>
          </w:tcPr>
          <w:p>
            <w:pPr>
              <w:spacing w:after="0"/>
              <w:rPr>
                <w:sz w:val="17"/>
                <w:szCs w:val="17"/>
                <w:color w:val="auto"/>
              </w:rPr>
            </w:pPr>
          </w:p>
        </w:tc>
        <w:tc>
          <w:tcPr>
            <w:tcW w:w="16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4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47,840</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49,002</w:t>
            </w:r>
          </w:p>
        </w:tc>
      </w:tr>
      <w:tr>
        <w:trPr>
          <w:trHeight w:val="405"/>
        </w:trPr>
        <w:tc>
          <w:tcPr>
            <w:tcW w:w="7440" w:type="dxa"/>
            <w:vAlign w:val="bottom"/>
          </w:tcPr>
          <w:p>
            <w:pPr>
              <w:spacing w:after="0"/>
              <w:rPr>
                <w:sz w:val="20"/>
                <w:szCs w:val="20"/>
                <w:color w:val="auto"/>
              </w:rPr>
            </w:pPr>
            <w:r>
              <w:rPr>
                <w:rFonts w:ascii="Courier New" w:cs="Courier New" w:eastAsia="Courier New" w:hAnsi="Courier New"/>
                <w:sz w:val="18"/>
                <w:szCs w:val="18"/>
                <w:color w:val="auto"/>
              </w:rPr>
              <w:t>Property and equipment, net</w:t>
            </w:r>
          </w:p>
        </w:tc>
        <w:tc>
          <w:tcPr>
            <w:tcW w:w="46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17,777</w:t>
            </w:r>
          </w:p>
        </w:tc>
        <w:tc>
          <w:tcPr>
            <w:tcW w:w="15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8,704</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Deposits and other assets</w:t>
            </w:r>
          </w:p>
        </w:tc>
        <w:tc>
          <w:tcPr>
            <w:tcW w:w="4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431</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118</w:t>
            </w:r>
          </w:p>
        </w:tc>
      </w:tr>
      <w:tr>
        <w:trPr>
          <w:trHeight w:val="203"/>
        </w:trPr>
        <w:tc>
          <w:tcPr>
            <w:tcW w:w="7440" w:type="dxa"/>
            <w:vAlign w:val="bottom"/>
          </w:tcPr>
          <w:p>
            <w:pPr>
              <w:spacing w:after="0"/>
              <w:rPr>
                <w:sz w:val="17"/>
                <w:szCs w:val="17"/>
                <w:color w:val="auto"/>
              </w:rPr>
            </w:pPr>
          </w:p>
        </w:tc>
        <w:tc>
          <w:tcPr>
            <w:tcW w:w="16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Total assets</w:t>
            </w:r>
          </w:p>
        </w:tc>
        <w:tc>
          <w:tcPr>
            <w:tcW w:w="16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$ 66,048</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$ 57,824</w:t>
            </w:r>
          </w:p>
        </w:tc>
      </w:tr>
      <w:tr>
        <w:trPr>
          <w:trHeight w:val="203"/>
        </w:trPr>
        <w:tc>
          <w:tcPr>
            <w:tcW w:w="7440" w:type="dxa"/>
            <w:vAlign w:val="bottom"/>
          </w:tcPr>
          <w:p>
            <w:pPr>
              <w:spacing w:after="0"/>
              <w:rPr>
                <w:sz w:val="17"/>
                <w:szCs w:val="17"/>
                <w:color w:val="auto"/>
              </w:rPr>
            </w:pPr>
          </w:p>
        </w:tc>
        <w:tc>
          <w:tcPr>
            <w:tcW w:w="16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4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Accounts payable</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4,950</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2,246</w:t>
            </w:r>
          </w:p>
        </w:tc>
      </w:tr>
      <w:tr>
        <w:trPr>
          <w:trHeight w:val="203"/>
        </w:trPr>
        <w:tc>
          <w:tcPr>
            <w:tcW w:w="7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4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1,843</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840</w:t>
            </w:r>
          </w:p>
        </w:tc>
      </w:tr>
      <w:tr>
        <w:trPr>
          <w:trHeight w:val="203"/>
        </w:trPr>
        <w:tc>
          <w:tcPr>
            <w:tcW w:w="7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Deferred revenue</w:t>
            </w:r>
          </w:p>
        </w:tc>
        <w:tc>
          <w:tcPr>
            <w:tcW w:w="4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15,295</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7,267</w:t>
            </w:r>
          </w:p>
        </w:tc>
      </w:tr>
      <w:tr>
        <w:trPr>
          <w:trHeight w:val="203"/>
        </w:trPr>
        <w:tc>
          <w:tcPr>
            <w:tcW w:w="7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Current portion of capital lease obligations</w:t>
            </w:r>
          </w:p>
        </w:tc>
        <w:tc>
          <w:tcPr>
            <w:tcW w:w="4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59</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7440" w:type="dxa"/>
            <w:vAlign w:val="bottom"/>
          </w:tcPr>
          <w:p>
            <w:pPr>
              <w:spacing w:after="0"/>
              <w:rPr>
                <w:sz w:val="17"/>
                <w:szCs w:val="17"/>
                <w:color w:val="auto"/>
              </w:rPr>
            </w:pPr>
          </w:p>
        </w:tc>
        <w:tc>
          <w:tcPr>
            <w:tcW w:w="16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4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22,147</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10,409</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portion of capital lease obligations</w:t>
            </w:r>
          </w:p>
        </w:tc>
        <w:tc>
          <w:tcPr>
            <w:tcW w:w="4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portion of accrued rent</w:t>
            </w:r>
          </w:p>
        </w:tc>
        <w:tc>
          <w:tcPr>
            <w:tcW w:w="4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506</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536</w:t>
            </w:r>
          </w:p>
        </w:tc>
      </w:tr>
      <w:tr>
        <w:trPr>
          <w:trHeight w:val="405"/>
        </w:trPr>
        <w:tc>
          <w:tcPr>
            <w:tcW w:w="744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7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Capital stock</w:t>
            </w:r>
          </w:p>
        </w:tc>
        <w:tc>
          <w:tcPr>
            <w:tcW w:w="4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7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4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77,470</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76,908</w:t>
            </w:r>
          </w:p>
        </w:tc>
      </w:tr>
      <w:tr>
        <w:trPr>
          <w:trHeight w:val="203"/>
        </w:trPr>
        <w:tc>
          <w:tcPr>
            <w:tcW w:w="7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Unrealized gains (losses) on securities available-for-sale</w:t>
            </w:r>
          </w:p>
        </w:tc>
        <w:tc>
          <w:tcPr>
            <w:tcW w:w="4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(323)</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7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4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7"/>
              </w:rPr>
              <w:t>(33,775)</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(30,114)</w:t>
            </w:r>
          </w:p>
        </w:tc>
      </w:tr>
      <w:tr>
        <w:trPr>
          <w:trHeight w:val="203"/>
        </w:trPr>
        <w:tc>
          <w:tcPr>
            <w:tcW w:w="7440" w:type="dxa"/>
            <w:vAlign w:val="bottom"/>
          </w:tcPr>
          <w:p>
            <w:pPr>
              <w:spacing w:after="0"/>
              <w:rPr>
                <w:sz w:val="17"/>
                <w:szCs w:val="17"/>
                <w:color w:val="auto"/>
              </w:rPr>
            </w:pPr>
          </w:p>
        </w:tc>
        <w:tc>
          <w:tcPr>
            <w:tcW w:w="16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4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43,382</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46,837</w:t>
            </w:r>
          </w:p>
        </w:tc>
      </w:tr>
      <w:tr>
        <w:trPr>
          <w:trHeight w:val="203"/>
        </w:trPr>
        <w:tc>
          <w:tcPr>
            <w:tcW w:w="7440" w:type="dxa"/>
            <w:vAlign w:val="bottom"/>
          </w:tcPr>
          <w:p>
            <w:pPr>
              <w:spacing w:after="0"/>
              <w:rPr>
                <w:sz w:val="17"/>
                <w:szCs w:val="17"/>
                <w:color w:val="auto"/>
              </w:rPr>
            </w:pPr>
          </w:p>
        </w:tc>
        <w:tc>
          <w:tcPr>
            <w:tcW w:w="16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40" w:type="dxa"/>
            <w:vAlign w:val="bottom"/>
          </w:tcPr>
          <w:p>
            <w:pPr>
              <w:ind w:left="148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16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$ 66,048</w:t>
            </w:r>
          </w:p>
        </w:tc>
        <w:tc>
          <w:tcPr>
            <w:tcW w:w="15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$ 57,824</w:t>
            </w:r>
          </w:p>
        </w:tc>
      </w:tr>
      <w:tr>
        <w:trPr>
          <w:trHeight w:val="203"/>
        </w:trPr>
        <w:tc>
          <w:tcPr>
            <w:tcW w:w="7440" w:type="dxa"/>
            <w:vAlign w:val="bottom"/>
          </w:tcPr>
          <w:p>
            <w:pPr>
              <w:spacing w:after="0"/>
              <w:rPr>
                <w:sz w:val="17"/>
                <w:szCs w:val="17"/>
                <w:color w:val="auto"/>
              </w:rPr>
            </w:pPr>
          </w:p>
        </w:tc>
        <w:tc>
          <w:tcPr>
            <w:tcW w:w="16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Page 3 of 15</w:t>
      </w:r>
    </w:p>
    <w:p>
      <w:pPr>
        <w:ind w:left="3060"/>
        <w:spacing w:after="0" w:line="238" w:lineRule="auto"/>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640"/>
          </w:cols>
          <w:pgMar w:left="240" w:top="312" w:right="1019"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PART I - FINANCIAL INFORMATION</w:t>
      </w: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0" w:lineRule="exact"/>
        <w:rPr>
          <w:sz w:val="20"/>
          <w:szCs w:val="20"/>
          <w:color w:val="auto"/>
        </w:rPr>
      </w:pPr>
    </w:p>
    <w:p>
      <w:pPr>
        <w:jc w:val="center"/>
        <w:ind w:right="3060"/>
        <w:spacing w:after="0"/>
        <w:rPr>
          <w:sz w:val="20"/>
          <w:szCs w:val="20"/>
          <w:color w:val="auto"/>
        </w:rPr>
      </w:pPr>
      <w:r>
        <w:rPr>
          <w:rFonts w:ascii="Courier New" w:cs="Courier New" w:eastAsia="Courier New" w:hAnsi="Courier New"/>
          <w:sz w:val="18"/>
          <w:szCs w:val="18"/>
          <w:color w:val="auto"/>
        </w:rPr>
        <w:t>INCYTE PHARMACEUTICALS, INC.</w:t>
      </w:r>
    </w:p>
    <w:p>
      <w:pPr>
        <w:jc w:val="center"/>
        <w:ind w:right="3060"/>
        <w:spacing w:after="0" w:line="238" w:lineRule="auto"/>
        <w:rPr>
          <w:sz w:val="20"/>
          <w:szCs w:val="20"/>
          <w:color w:val="auto"/>
        </w:rPr>
      </w:pPr>
      <w:r>
        <w:rPr>
          <w:rFonts w:ascii="Courier New" w:cs="Courier New" w:eastAsia="Courier New" w:hAnsi="Courier New"/>
          <w:sz w:val="18"/>
          <w:szCs w:val="18"/>
          <w:color w:val="auto"/>
        </w:rPr>
        <w:t>CONDENSED STATEMENTS OF OPERATIONS</w:t>
      </w:r>
    </w:p>
    <w:p>
      <w:pPr>
        <w:jc w:val="center"/>
        <w:ind w:right="3060"/>
        <w:spacing w:after="0"/>
        <w:rPr>
          <w:sz w:val="20"/>
          <w:szCs w:val="20"/>
          <w:color w:val="auto"/>
        </w:rPr>
      </w:pPr>
      <w:r>
        <w:rPr>
          <w:rFonts w:ascii="Courier New" w:cs="Courier New" w:eastAsia="Courier New" w:hAnsi="Courier New"/>
          <w:sz w:val="18"/>
          <w:szCs w:val="18"/>
          <w:color w:val="auto"/>
        </w:rPr>
        <w:t>(in thousands, except per share amounts)</w:t>
      </w:r>
    </w:p>
    <w:p>
      <w:pPr>
        <w:jc w:val="center"/>
        <w:ind w:right="2960"/>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w w:val="96"/>
              </w:rPr>
              <w:t>THREE MONTHS ENDED</w:t>
            </w:r>
          </w:p>
        </w:tc>
        <w:tc>
          <w:tcPr>
            <w:tcW w:w="328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JUNE 30,</w:t>
            </w:r>
          </w:p>
        </w:tc>
        <w:tc>
          <w:tcPr>
            <w:tcW w:w="2220" w:type="dxa"/>
            <w:vAlign w:val="bottom"/>
            <w:gridSpan w:val="2"/>
          </w:tcPr>
          <w:p>
            <w:pPr>
              <w:ind w:left="1380"/>
              <w:spacing w:after="0" w:line="203" w:lineRule="exact"/>
              <w:rPr>
                <w:sz w:val="20"/>
                <w:szCs w:val="20"/>
                <w:color w:val="auto"/>
              </w:rPr>
            </w:pPr>
            <w:r>
              <w:rPr>
                <w:rFonts w:ascii="Courier New" w:cs="Courier New" w:eastAsia="Courier New" w:hAnsi="Courier New"/>
                <w:sz w:val="18"/>
                <w:szCs w:val="18"/>
                <w:color w:val="auto"/>
                <w:w w:val="94"/>
              </w:rPr>
              <w:t>JUNE 30,</w:t>
            </w:r>
          </w:p>
        </w:tc>
        <w:tc>
          <w:tcPr>
            <w:tcW w:w="106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w:t>
            </w:r>
          </w:p>
        </w:tc>
        <w:tc>
          <w:tcPr>
            <w:tcW w:w="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c>
          <w:tcPr>
            <w:tcW w:w="96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1995</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1996</w:t>
            </w:r>
          </w:p>
        </w:tc>
        <w:tc>
          <w:tcPr>
            <w:tcW w:w="480" w:type="dxa"/>
            <w:vAlign w:val="bottom"/>
          </w:tcPr>
          <w:p>
            <w:pPr>
              <w:spacing w:after="0"/>
              <w:rPr>
                <w:sz w:val="17"/>
                <w:szCs w:val="17"/>
                <w:color w:val="auto"/>
              </w:rPr>
            </w:pPr>
          </w:p>
        </w:tc>
        <w:tc>
          <w:tcPr>
            <w:tcW w:w="10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540" w:type="dxa"/>
            <w:vAlign w:val="bottom"/>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w:t>
            </w:r>
          </w:p>
        </w:tc>
        <w:tc>
          <w:tcPr>
            <w:tcW w:w="2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62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7,630</w:t>
            </w:r>
          </w:p>
        </w:tc>
        <w:tc>
          <w:tcPr>
            <w:tcW w:w="960" w:type="dxa"/>
            <w:vAlign w:val="bottom"/>
          </w:tcPr>
          <w:p>
            <w:pPr>
              <w:ind w:left="740"/>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1,953</w:t>
            </w:r>
          </w:p>
        </w:tc>
        <w:tc>
          <w:tcPr>
            <w:tcW w:w="174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$ 13,213</w:t>
            </w:r>
          </w:p>
        </w:tc>
        <w:tc>
          <w:tcPr>
            <w:tcW w:w="48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3,435</w:t>
            </w:r>
          </w:p>
        </w:tc>
      </w:tr>
      <w:tr>
        <w:trPr>
          <w:trHeight w:val="608"/>
        </w:trPr>
        <w:tc>
          <w:tcPr>
            <w:tcW w:w="4540" w:type="dxa"/>
            <w:vAlign w:val="bottom"/>
          </w:tcPr>
          <w:p>
            <w:pPr>
              <w:spacing w:after="0"/>
              <w:rPr>
                <w:sz w:val="20"/>
                <w:szCs w:val="20"/>
                <w:color w:val="auto"/>
              </w:rPr>
            </w:pPr>
            <w:r>
              <w:rPr>
                <w:rFonts w:ascii="Courier New" w:cs="Courier New" w:eastAsia="Courier New" w:hAnsi="Courier New"/>
                <w:sz w:val="18"/>
                <w:szCs w:val="18"/>
                <w:color w:val="auto"/>
              </w:rPr>
              <w:t>Costs and expenses:</w:t>
            </w: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6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8,831</w:t>
            </w:r>
          </w:p>
        </w:tc>
        <w:tc>
          <w:tcPr>
            <w:tcW w:w="960" w:type="dxa"/>
            <w:vAlign w:val="bottom"/>
          </w:tcPr>
          <w:p>
            <w:pPr>
              <w:spacing w:after="0"/>
              <w:rPr>
                <w:sz w:val="17"/>
                <w:szCs w:val="17"/>
                <w:color w:val="auto"/>
              </w:rPr>
            </w:pPr>
          </w:p>
        </w:tc>
        <w:tc>
          <w:tcPr>
            <w:tcW w:w="13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4,443</w:t>
            </w:r>
          </w:p>
        </w:tc>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16,202</w:t>
            </w:r>
          </w:p>
        </w:tc>
        <w:tc>
          <w:tcPr>
            <w:tcW w:w="480" w:type="dxa"/>
            <w:vAlign w:val="bottom"/>
          </w:tcPr>
          <w:p>
            <w:pPr>
              <w:spacing w:after="0"/>
              <w:rPr>
                <w:sz w:val="17"/>
                <w:szCs w:val="17"/>
                <w:color w:val="auto"/>
              </w:rPr>
            </w:pP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7,688</w:t>
            </w: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6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1,001</w:t>
            </w:r>
          </w:p>
        </w:tc>
        <w:tc>
          <w:tcPr>
            <w:tcW w:w="960" w:type="dxa"/>
            <w:vAlign w:val="bottom"/>
          </w:tcPr>
          <w:p>
            <w:pPr>
              <w:spacing w:after="0"/>
              <w:rPr>
                <w:sz w:val="17"/>
                <w:szCs w:val="17"/>
                <w:color w:val="auto"/>
              </w:rPr>
            </w:pPr>
          </w:p>
        </w:tc>
        <w:tc>
          <w:tcPr>
            <w:tcW w:w="13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686</w:t>
            </w:r>
          </w:p>
        </w:tc>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1,949</w:t>
            </w:r>
          </w:p>
        </w:tc>
        <w:tc>
          <w:tcPr>
            <w:tcW w:w="480" w:type="dxa"/>
            <w:vAlign w:val="bottom"/>
          </w:tcPr>
          <w:p>
            <w:pPr>
              <w:spacing w:after="0"/>
              <w:rPr>
                <w:sz w:val="17"/>
                <w:szCs w:val="17"/>
                <w:color w:val="auto"/>
              </w:rPr>
            </w:pP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1,223</w:t>
            </w:r>
          </w:p>
        </w:tc>
      </w:tr>
      <w:tr>
        <w:trPr>
          <w:trHeight w:val="203"/>
        </w:trPr>
        <w:tc>
          <w:tcPr>
            <w:tcW w:w="4540" w:type="dxa"/>
            <w:vAlign w:val="bottom"/>
          </w:tcPr>
          <w:p>
            <w:pPr>
              <w:spacing w:after="0"/>
              <w:rPr>
                <w:sz w:val="17"/>
                <w:szCs w:val="17"/>
                <w:color w:val="auto"/>
              </w:rPr>
            </w:pP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Total costs and expenses</w:t>
            </w:r>
          </w:p>
        </w:tc>
        <w:tc>
          <w:tcPr>
            <w:tcW w:w="62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9,832</w:t>
            </w:r>
          </w:p>
        </w:tc>
        <w:tc>
          <w:tcPr>
            <w:tcW w:w="960" w:type="dxa"/>
            <w:vAlign w:val="bottom"/>
          </w:tcPr>
          <w:p>
            <w:pPr>
              <w:spacing w:after="0"/>
              <w:rPr>
                <w:sz w:val="24"/>
                <w:szCs w:val="24"/>
                <w:color w:val="auto"/>
              </w:rPr>
            </w:pPr>
          </w:p>
        </w:tc>
        <w:tc>
          <w:tcPr>
            <w:tcW w:w="13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5,129</w:t>
            </w:r>
          </w:p>
        </w:tc>
        <w:tc>
          <w:tcPr>
            <w:tcW w:w="174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18,151</w:t>
            </w:r>
          </w:p>
        </w:tc>
        <w:tc>
          <w:tcPr>
            <w:tcW w:w="480" w:type="dxa"/>
            <w:vAlign w:val="bottom"/>
          </w:tcPr>
          <w:p>
            <w:pPr>
              <w:spacing w:after="0"/>
              <w:rPr>
                <w:sz w:val="24"/>
                <w:szCs w:val="24"/>
                <w:color w:val="auto"/>
              </w:rPr>
            </w:pPr>
          </w:p>
        </w:tc>
        <w:tc>
          <w:tcPr>
            <w:tcW w:w="10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8,911</w:t>
            </w:r>
          </w:p>
        </w:tc>
      </w:tr>
      <w:tr>
        <w:trPr>
          <w:trHeight w:val="405"/>
        </w:trPr>
        <w:tc>
          <w:tcPr>
            <w:tcW w:w="4540" w:type="dxa"/>
            <w:vAlign w:val="bottom"/>
          </w:tcPr>
          <w:p>
            <w:pPr>
              <w:spacing w:after="0"/>
              <w:rPr>
                <w:sz w:val="24"/>
                <w:szCs w:val="24"/>
                <w:color w:val="auto"/>
              </w:rPr>
            </w:pPr>
          </w:p>
        </w:tc>
        <w:tc>
          <w:tcPr>
            <w:tcW w:w="13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Loss from operations</w:t>
            </w:r>
          </w:p>
        </w:tc>
        <w:tc>
          <w:tcPr>
            <w:tcW w:w="6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(2,202)</w:t>
            </w:r>
          </w:p>
        </w:tc>
        <w:tc>
          <w:tcPr>
            <w:tcW w:w="960" w:type="dxa"/>
            <w:vAlign w:val="bottom"/>
          </w:tcPr>
          <w:p>
            <w:pPr>
              <w:spacing w:after="0"/>
              <w:rPr>
                <w:sz w:val="24"/>
                <w:szCs w:val="24"/>
                <w:color w:val="auto"/>
              </w:rPr>
            </w:pPr>
          </w:p>
        </w:tc>
        <w:tc>
          <w:tcPr>
            <w:tcW w:w="1360" w:type="dxa"/>
            <w:vAlign w:val="bottom"/>
          </w:tcPr>
          <w:p>
            <w:pPr>
              <w:jc w:val="right"/>
              <w:ind w:right="532"/>
              <w:spacing w:after="0"/>
              <w:rPr>
                <w:sz w:val="20"/>
                <w:szCs w:val="20"/>
                <w:color w:val="auto"/>
              </w:rPr>
            </w:pPr>
            <w:r>
              <w:rPr>
                <w:rFonts w:ascii="Courier New" w:cs="Courier New" w:eastAsia="Courier New" w:hAnsi="Courier New"/>
                <w:sz w:val="18"/>
                <w:szCs w:val="18"/>
                <w:color w:val="auto"/>
                <w:w w:val="95"/>
              </w:rPr>
              <w:t>(3,176)</w:t>
            </w:r>
          </w:p>
        </w:tc>
        <w:tc>
          <w:tcPr>
            <w:tcW w:w="17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(4,938)</w:t>
            </w:r>
          </w:p>
        </w:tc>
        <w:tc>
          <w:tcPr>
            <w:tcW w:w="48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(5,476)</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Interest and other income, net</w:t>
            </w:r>
          </w:p>
        </w:tc>
        <w:tc>
          <w:tcPr>
            <w:tcW w:w="62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599</w:t>
            </w:r>
          </w:p>
        </w:tc>
        <w:tc>
          <w:tcPr>
            <w:tcW w:w="960" w:type="dxa"/>
            <w:vAlign w:val="bottom"/>
          </w:tcPr>
          <w:p>
            <w:pPr>
              <w:spacing w:after="0"/>
              <w:rPr>
                <w:sz w:val="24"/>
                <w:szCs w:val="24"/>
                <w:color w:val="auto"/>
              </w:rPr>
            </w:pPr>
          </w:p>
        </w:tc>
        <w:tc>
          <w:tcPr>
            <w:tcW w:w="13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283</w:t>
            </w:r>
          </w:p>
        </w:tc>
        <w:tc>
          <w:tcPr>
            <w:tcW w:w="174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1,277</w:t>
            </w:r>
          </w:p>
        </w:tc>
        <w:tc>
          <w:tcPr>
            <w:tcW w:w="480" w:type="dxa"/>
            <w:vAlign w:val="bottom"/>
          </w:tcPr>
          <w:p>
            <w:pPr>
              <w:spacing w:after="0"/>
              <w:rPr>
                <w:sz w:val="24"/>
                <w:szCs w:val="24"/>
                <w:color w:val="auto"/>
              </w:rPr>
            </w:pPr>
          </w:p>
        </w:tc>
        <w:tc>
          <w:tcPr>
            <w:tcW w:w="10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619</w:t>
            </w:r>
          </w:p>
        </w:tc>
      </w:tr>
      <w:tr>
        <w:trPr>
          <w:trHeight w:val="203"/>
        </w:trPr>
        <w:tc>
          <w:tcPr>
            <w:tcW w:w="4540" w:type="dxa"/>
            <w:vAlign w:val="bottom"/>
          </w:tcPr>
          <w:p>
            <w:pPr>
              <w:spacing w:after="0"/>
              <w:rPr>
                <w:sz w:val="17"/>
                <w:szCs w:val="17"/>
                <w:color w:val="auto"/>
              </w:rPr>
            </w:pP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Net loss</w:t>
            </w:r>
          </w:p>
        </w:tc>
        <w:tc>
          <w:tcPr>
            <w:tcW w:w="620" w:type="dxa"/>
            <w:vAlign w:val="bottom"/>
          </w:tcPr>
          <w:p>
            <w:pPr>
              <w:ind w:left="420"/>
              <w:spacing w:after="0"/>
              <w:rPr>
                <w:sz w:val="20"/>
                <w:szCs w:val="20"/>
                <w:color w:val="auto"/>
              </w:rPr>
            </w:pPr>
            <w:r>
              <w:rPr>
                <w:rFonts w:ascii="Courier New" w:cs="Courier New" w:eastAsia="Courier New" w:hAnsi="Courier New"/>
                <w:sz w:val="18"/>
                <w:szCs w:val="18"/>
                <w:color w:val="auto"/>
                <w:w w:val="83"/>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1,603)</w:t>
            </w:r>
          </w:p>
        </w:tc>
        <w:tc>
          <w:tcPr>
            <w:tcW w:w="232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($ 2,893)</w:t>
            </w:r>
          </w:p>
        </w:tc>
        <w:tc>
          <w:tcPr>
            <w:tcW w:w="17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($ 3,661)</w:t>
            </w:r>
          </w:p>
        </w:tc>
        <w:tc>
          <w:tcPr>
            <w:tcW w:w="480" w:type="dxa"/>
            <w:vAlign w:val="bottom"/>
          </w:tcPr>
          <w:p>
            <w:pPr>
              <w:ind w:left="260"/>
              <w:spacing w:after="0"/>
              <w:rPr>
                <w:sz w:val="20"/>
                <w:szCs w:val="20"/>
                <w:color w:val="auto"/>
              </w:rPr>
            </w:pPr>
            <w:r>
              <w:rPr>
                <w:rFonts w:ascii="Courier New" w:cs="Courier New" w:eastAsia="Courier New" w:hAnsi="Courier New"/>
                <w:sz w:val="18"/>
                <w:szCs w:val="18"/>
                <w:color w:val="auto"/>
                <w:w w:val="92"/>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4,857)</w:t>
            </w:r>
          </w:p>
        </w:tc>
      </w:tr>
      <w:tr>
        <w:trPr>
          <w:trHeight w:val="203"/>
        </w:trPr>
        <w:tc>
          <w:tcPr>
            <w:tcW w:w="4540" w:type="dxa"/>
            <w:vAlign w:val="bottom"/>
          </w:tcPr>
          <w:p>
            <w:pPr>
              <w:spacing w:after="0"/>
              <w:rPr>
                <w:sz w:val="17"/>
                <w:szCs w:val="17"/>
                <w:color w:val="auto"/>
              </w:rPr>
            </w:pP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540" w:type="dxa"/>
            <w:vAlign w:val="bottom"/>
          </w:tcPr>
          <w:p>
            <w:pPr>
              <w:spacing w:after="0"/>
              <w:rPr>
                <w:sz w:val="20"/>
                <w:szCs w:val="20"/>
                <w:color w:val="auto"/>
              </w:rPr>
            </w:pPr>
            <w:r>
              <w:rPr>
                <w:rFonts w:ascii="Courier New" w:cs="Courier New" w:eastAsia="Courier New" w:hAnsi="Courier New"/>
                <w:sz w:val="18"/>
                <w:szCs w:val="18"/>
                <w:color w:val="auto"/>
              </w:rPr>
              <w:t>Net loss per share</w:t>
            </w:r>
          </w:p>
        </w:tc>
        <w:tc>
          <w:tcPr>
            <w:tcW w:w="620" w:type="dxa"/>
            <w:vAlign w:val="bottom"/>
          </w:tcPr>
          <w:p>
            <w:pPr>
              <w:ind w:left="420"/>
              <w:spacing w:after="0"/>
              <w:rPr>
                <w:sz w:val="20"/>
                <w:szCs w:val="20"/>
                <w:color w:val="auto"/>
              </w:rPr>
            </w:pPr>
            <w:r>
              <w:rPr>
                <w:rFonts w:ascii="Courier New" w:cs="Courier New" w:eastAsia="Courier New" w:hAnsi="Courier New"/>
                <w:sz w:val="18"/>
                <w:szCs w:val="18"/>
                <w:color w:val="auto"/>
                <w:w w:val="83"/>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0.16)</w:t>
            </w:r>
          </w:p>
        </w:tc>
        <w:tc>
          <w:tcPr>
            <w:tcW w:w="960" w:type="dxa"/>
            <w:vAlign w:val="bottom"/>
          </w:tcPr>
          <w:p>
            <w:pPr>
              <w:ind w:left="740"/>
              <w:spacing w:after="0"/>
              <w:rPr>
                <w:sz w:val="20"/>
                <w:szCs w:val="20"/>
                <w:color w:val="auto"/>
              </w:rPr>
            </w:pPr>
            <w:r>
              <w:rPr>
                <w:rFonts w:ascii="Courier New" w:cs="Courier New" w:eastAsia="Courier New" w:hAnsi="Courier New"/>
                <w:sz w:val="18"/>
                <w:szCs w:val="18"/>
                <w:color w:val="auto"/>
                <w:w w:val="92"/>
              </w:rPr>
              <w:t>($</w:t>
            </w:r>
          </w:p>
        </w:tc>
        <w:tc>
          <w:tcPr>
            <w:tcW w:w="13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0.36)</w:t>
            </w:r>
          </w:p>
        </w:tc>
        <w:tc>
          <w:tcPr>
            <w:tcW w:w="17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  0.37)</w:t>
            </w:r>
          </w:p>
        </w:tc>
        <w:tc>
          <w:tcPr>
            <w:tcW w:w="480" w:type="dxa"/>
            <w:vAlign w:val="bottom"/>
          </w:tcPr>
          <w:p>
            <w:pPr>
              <w:ind w:left="260"/>
              <w:spacing w:after="0"/>
              <w:rPr>
                <w:sz w:val="20"/>
                <w:szCs w:val="20"/>
                <w:color w:val="auto"/>
              </w:rPr>
            </w:pPr>
            <w:r>
              <w:rPr>
                <w:rFonts w:ascii="Courier New" w:cs="Courier New" w:eastAsia="Courier New" w:hAnsi="Courier New"/>
                <w:sz w:val="18"/>
                <w:szCs w:val="18"/>
                <w:color w:val="auto"/>
                <w:w w:val="92"/>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0.61)</w:t>
            </w:r>
          </w:p>
        </w:tc>
      </w:tr>
      <w:tr>
        <w:trPr>
          <w:trHeight w:val="203"/>
        </w:trPr>
        <w:tc>
          <w:tcPr>
            <w:tcW w:w="4540" w:type="dxa"/>
            <w:vAlign w:val="bottom"/>
          </w:tcPr>
          <w:p>
            <w:pPr>
              <w:spacing w:after="0"/>
              <w:rPr>
                <w:sz w:val="17"/>
                <w:szCs w:val="17"/>
                <w:color w:val="auto"/>
              </w:rPr>
            </w:pP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540" w:type="dxa"/>
            <w:vAlign w:val="bottom"/>
          </w:tcPr>
          <w:p>
            <w:pPr>
              <w:spacing w:after="0"/>
              <w:rPr>
                <w:sz w:val="20"/>
                <w:szCs w:val="20"/>
                <w:color w:val="auto"/>
              </w:rPr>
            </w:pPr>
            <w:r>
              <w:rPr>
                <w:rFonts w:ascii="Courier New" w:cs="Courier New" w:eastAsia="Courier New" w:hAnsi="Courier New"/>
                <w:sz w:val="18"/>
                <w:szCs w:val="18"/>
                <w:color w:val="auto"/>
              </w:rPr>
              <w:t>Shares used in computing net</w:t>
            </w: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loss per share</w:t>
            </w:r>
          </w:p>
        </w:tc>
        <w:tc>
          <w:tcPr>
            <w:tcW w:w="6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9,900</w:t>
            </w:r>
          </w:p>
        </w:tc>
        <w:tc>
          <w:tcPr>
            <w:tcW w:w="960" w:type="dxa"/>
            <w:vAlign w:val="bottom"/>
          </w:tcPr>
          <w:p>
            <w:pPr>
              <w:spacing w:after="0"/>
              <w:rPr>
                <w:sz w:val="17"/>
                <w:szCs w:val="17"/>
                <w:color w:val="auto"/>
              </w:rPr>
            </w:pPr>
          </w:p>
        </w:tc>
        <w:tc>
          <w:tcPr>
            <w:tcW w:w="13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7,934</w:t>
            </w:r>
          </w:p>
        </w:tc>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9,865</w:t>
            </w:r>
          </w:p>
        </w:tc>
        <w:tc>
          <w:tcPr>
            <w:tcW w:w="480" w:type="dxa"/>
            <w:vAlign w:val="bottom"/>
          </w:tcPr>
          <w:p>
            <w:pPr>
              <w:spacing w:after="0"/>
              <w:rPr>
                <w:sz w:val="17"/>
                <w:szCs w:val="17"/>
                <w:color w:val="auto"/>
              </w:rPr>
            </w:pP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7,932</w:t>
            </w:r>
          </w:p>
        </w:tc>
      </w:tr>
      <w:tr>
        <w:trPr>
          <w:trHeight w:val="203"/>
        </w:trPr>
        <w:tc>
          <w:tcPr>
            <w:tcW w:w="4540" w:type="dxa"/>
            <w:vAlign w:val="bottom"/>
          </w:tcPr>
          <w:p>
            <w:pPr>
              <w:spacing w:after="0"/>
              <w:rPr>
                <w:sz w:val="17"/>
                <w:szCs w:val="17"/>
                <w:color w:val="auto"/>
              </w:rPr>
            </w:pP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Page 4 of 15</w:t>
      </w:r>
    </w:p>
    <w:p>
      <w:pPr>
        <w:ind w:left="3060"/>
        <w:spacing w:after="0" w:line="238" w:lineRule="auto"/>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1500"/>
          </w:cols>
          <w:pgMar w:left="240" w:top="312" w:right="159"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PART I - FINANCIAL INFORMATION</w:t>
      </w: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INCYTE PHARMACEUTICALS,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CONDENSED STATEMENTS OF CASH FLOWS</w:t>
      </w:r>
    </w:p>
    <w:p>
      <w:pPr>
        <w:jc w:val="center"/>
        <w:ind w:right="1779"/>
        <w:spacing w:after="0"/>
        <w:rPr>
          <w:sz w:val="20"/>
          <w:szCs w:val="20"/>
          <w:color w:val="auto"/>
        </w:rPr>
      </w:pPr>
      <w:r>
        <w:rPr>
          <w:rFonts w:ascii="Courier New" w:cs="Courier New" w:eastAsia="Courier New" w:hAnsi="Courier New"/>
          <w:sz w:val="18"/>
          <w:szCs w:val="18"/>
          <w:color w:val="auto"/>
        </w:rPr>
        <w:t>(in thousands)</w:t>
      </w:r>
    </w:p>
    <w:tbl>
      <w:tblPr>
        <w:tblLayout w:type="fixed"/>
        <w:tblInd w:w="0" w:type="dxa"/>
        <w:tblCellMar>
          <w:top w:w="0" w:type="dxa"/>
          <w:left w:w="0" w:type="dxa"/>
          <w:bottom w:w="0" w:type="dxa"/>
          <w:right w:w="0" w:type="dxa"/>
        </w:tblCellMar>
      </w:tblPr>
      <w:tr>
        <w:trPr>
          <w:trHeight w:val="202"/>
        </w:trPr>
        <w:tc>
          <w:tcPr>
            <w:tcW w:w="6180" w:type="dxa"/>
            <w:vAlign w:val="bottom"/>
          </w:tcPr>
          <w:p>
            <w:pPr>
              <w:ind w:left="3700"/>
              <w:spacing w:after="0" w:line="202" w:lineRule="exact"/>
              <w:rPr>
                <w:sz w:val="20"/>
                <w:szCs w:val="20"/>
                <w:color w:val="auto"/>
              </w:rPr>
            </w:pPr>
            <w:r>
              <w:rPr>
                <w:rFonts w:ascii="Courier New" w:cs="Courier New" w:eastAsia="Courier New" w:hAnsi="Courier New"/>
                <w:sz w:val="18"/>
                <w:szCs w:val="18"/>
                <w:color w:val="auto"/>
              </w:rPr>
              <w:t>(unaudited)</w:t>
            </w: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810"/>
        </w:trPr>
        <w:tc>
          <w:tcPr>
            <w:tcW w:w="6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40" w:type="dxa"/>
            <w:vAlign w:val="bottom"/>
            <w:gridSpan w:val="3"/>
          </w:tcPr>
          <w:p>
            <w:pPr>
              <w:jc w:val="right"/>
              <w:ind w:right="45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6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JUNE 30,</w:t>
            </w:r>
          </w:p>
        </w:tc>
        <w:tc>
          <w:tcPr>
            <w:tcW w:w="840" w:type="dxa"/>
            <w:vAlign w:val="bottom"/>
          </w:tcPr>
          <w:p>
            <w:pPr>
              <w:spacing w:after="0"/>
              <w:rPr>
                <w:sz w:val="17"/>
                <w:szCs w:val="17"/>
                <w:color w:val="auto"/>
              </w:rPr>
            </w:pPr>
          </w:p>
        </w:tc>
      </w:tr>
      <w:tr>
        <w:trPr>
          <w:trHeight w:val="203"/>
        </w:trPr>
        <w:tc>
          <w:tcPr>
            <w:tcW w:w="6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54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c>
          <w:tcPr>
            <w:tcW w:w="8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6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6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loss</w:t>
            </w:r>
          </w:p>
        </w:tc>
        <w:tc>
          <w:tcPr>
            <w:tcW w:w="1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($ 3,661)</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($ 4,857)</w:t>
            </w:r>
          </w:p>
        </w:tc>
      </w:tr>
      <w:tr>
        <w:trPr>
          <w:trHeight w:val="203"/>
        </w:trPr>
        <w:tc>
          <w:tcPr>
            <w:tcW w:w="6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Adjustments to reconcile net loss to net cash used</w:t>
            </w: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1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 operating activities:</w:t>
            </w: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1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4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2,258</w:t>
            </w:r>
          </w:p>
        </w:tc>
        <w:tc>
          <w:tcPr>
            <w:tcW w:w="8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1,010</w:t>
            </w:r>
          </w:p>
        </w:tc>
      </w:tr>
      <w:tr>
        <w:trPr>
          <w:trHeight w:val="203"/>
        </w:trPr>
        <w:tc>
          <w:tcPr>
            <w:tcW w:w="61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Changes in certain assets and liabilities:</w:t>
            </w: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1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4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(2,132)</w:t>
            </w:r>
          </w:p>
        </w:tc>
        <w:tc>
          <w:tcPr>
            <w:tcW w:w="8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(621)</w:t>
            </w:r>
          </w:p>
        </w:tc>
      </w:tr>
      <w:tr>
        <w:trPr>
          <w:trHeight w:val="203"/>
        </w:trPr>
        <w:tc>
          <w:tcPr>
            <w:tcW w:w="61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4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(519)</w:t>
            </w:r>
          </w:p>
        </w:tc>
        <w:tc>
          <w:tcPr>
            <w:tcW w:w="8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w:t>
            </w:r>
          </w:p>
        </w:tc>
      </w:tr>
      <w:tr>
        <w:trPr>
          <w:trHeight w:val="203"/>
        </w:trPr>
        <w:tc>
          <w:tcPr>
            <w:tcW w:w="61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Accounts payable</w:t>
            </w:r>
          </w:p>
        </w:tc>
        <w:tc>
          <w:tcPr>
            <w:tcW w:w="4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2,704</w:t>
            </w:r>
          </w:p>
        </w:tc>
        <w:tc>
          <w:tcPr>
            <w:tcW w:w="8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(322)</w:t>
            </w:r>
          </w:p>
        </w:tc>
      </w:tr>
      <w:tr>
        <w:trPr>
          <w:trHeight w:val="203"/>
        </w:trPr>
        <w:tc>
          <w:tcPr>
            <w:tcW w:w="61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4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973</w:t>
            </w:r>
          </w:p>
        </w:tc>
        <w:tc>
          <w:tcPr>
            <w:tcW w:w="8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341</w:t>
            </w:r>
          </w:p>
        </w:tc>
      </w:tr>
      <w:tr>
        <w:trPr>
          <w:trHeight w:val="203"/>
        </w:trPr>
        <w:tc>
          <w:tcPr>
            <w:tcW w:w="61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Deferred revenue</w:t>
            </w:r>
          </w:p>
        </w:tc>
        <w:tc>
          <w:tcPr>
            <w:tcW w:w="4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8,028</w:t>
            </w:r>
          </w:p>
        </w:tc>
        <w:tc>
          <w:tcPr>
            <w:tcW w:w="8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(1,001)</w:t>
            </w:r>
          </w:p>
        </w:tc>
      </w:tr>
      <w:tr>
        <w:trPr>
          <w:trHeight w:val="203"/>
        </w:trPr>
        <w:tc>
          <w:tcPr>
            <w:tcW w:w="6180" w:type="dxa"/>
            <w:vAlign w:val="bottom"/>
          </w:tcPr>
          <w:p>
            <w:pPr>
              <w:spacing w:after="0"/>
              <w:rPr>
                <w:sz w:val="17"/>
                <w:szCs w:val="17"/>
                <w:color w:val="auto"/>
              </w:rPr>
            </w:pP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4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11,312</w:t>
            </w:r>
          </w:p>
        </w:tc>
        <w:tc>
          <w:tcPr>
            <w:tcW w:w="8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(724)</w:t>
            </w:r>
          </w:p>
        </w:tc>
      </w:tr>
      <w:tr>
        <w:trPr>
          <w:trHeight w:val="203"/>
        </w:trPr>
        <w:tc>
          <w:tcPr>
            <w:tcW w:w="6180" w:type="dxa"/>
            <w:vAlign w:val="bottom"/>
          </w:tcPr>
          <w:p>
            <w:pPr>
              <w:spacing w:after="0"/>
              <w:rPr>
                <w:sz w:val="17"/>
                <w:szCs w:val="17"/>
                <w:color w:val="auto"/>
              </w:rPr>
            </w:pP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(used in) operating activities</w:t>
            </w:r>
          </w:p>
        </w:tc>
        <w:tc>
          <w:tcPr>
            <w:tcW w:w="4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7,651</w:t>
            </w:r>
          </w:p>
        </w:tc>
        <w:tc>
          <w:tcPr>
            <w:tcW w:w="8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(5,581)</w:t>
            </w:r>
          </w:p>
        </w:tc>
      </w:tr>
      <w:tr>
        <w:trPr>
          <w:trHeight w:val="203"/>
        </w:trPr>
        <w:tc>
          <w:tcPr>
            <w:tcW w:w="6180" w:type="dxa"/>
            <w:vAlign w:val="bottom"/>
          </w:tcPr>
          <w:p>
            <w:pPr>
              <w:spacing w:after="0"/>
              <w:rPr>
                <w:sz w:val="17"/>
                <w:szCs w:val="17"/>
                <w:color w:val="auto"/>
              </w:rPr>
            </w:pP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6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4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(11,331)</w:t>
            </w:r>
          </w:p>
        </w:tc>
        <w:tc>
          <w:tcPr>
            <w:tcW w:w="8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(2,783)</w:t>
            </w:r>
          </w:p>
        </w:tc>
      </w:tr>
      <w:tr>
        <w:trPr>
          <w:trHeight w:val="203"/>
        </w:trPr>
        <w:tc>
          <w:tcPr>
            <w:tcW w:w="6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Purchases of securities - available-for-sale</w:t>
            </w:r>
          </w:p>
        </w:tc>
        <w:tc>
          <w:tcPr>
            <w:tcW w:w="4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(11,181)</w:t>
            </w:r>
          </w:p>
        </w:tc>
        <w:tc>
          <w:tcPr>
            <w:tcW w:w="8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(11,641)</w:t>
            </w:r>
          </w:p>
        </w:tc>
      </w:tr>
      <w:tr>
        <w:trPr>
          <w:trHeight w:val="203"/>
        </w:trPr>
        <w:tc>
          <w:tcPr>
            <w:tcW w:w="6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Maturity of securities - available-for-sale</w:t>
            </w:r>
          </w:p>
        </w:tc>
        <w:tc>
          <w:tcPr>
            <w:tcW w:w="4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11,111</w:t>
            </w:r>
          </w:p>
        </w:tc>
        <w:tc>
          <w:tcPr>
            <w:tcW w:w="8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20,511</w:t>
            </w:r>
          </w:p>
        </w:tc>
      </w:tr>
      <w:tr>
        <w:trPr>
          <w:trHeight w:val="203"/>
        </w:trPr>
        <w:tc>
          <w:tcPr>
            <w:tcW w:w="6180" w:type="dxa"/>
            <w:vAlign w:val="bottom"/>
          </w:tcPr>
          <w:p>
            <w:pPr>
              <w:spacing w:after="0"/>
              <w:rPr>
                <w:sz w:val="17"/>
                <w:szCs w:val="17"/>
                <w:color w:val="auto"/>
              </w:rPr>
            </w:pP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Net cash provided by (used in) investing activities</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(11,401)</w:t>
            </w:r>
          </w:p>
        </w:tc>
        <w:tc>
          <w:tcPr>
            <w:tcW w:w="86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6,087</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6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Proceeds from issuances of common stock</w:t>
            </w:r>
          </w:p>
        </w:tc>
        <w:tc>
          <w:tcPr>
            <w:tcW w:w="4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562</w:t>
            </w:r>
          </w:p>
        </w:tc>
        <w:tc>
          <w:tcPr>
            <w:tcW w:w="8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6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Principal payments on capital lease obligations</w:t>
            </w:r>
          </w:p>
        </w:tc>
        <w:tc>
          <w:tcPr>
            <w:tcW w:w="4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c>
          <w:tcPr>
            <w:tcW w:w="8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6180" w:type="dxa"/>
            <w:vAlign w:val="bottom"/>
          </w:tcPr>
          <w:p>
            <w:pPr>
              <w:spacing w:after="0"/>
              <w:rPr>
                <w:sz w:val="17"/>
                <w:szCs w:val="17"/>
                <w:color w:val="auto"/>
              </w:rPr>
            </w:pP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financing activities</w:t>
            </w:r>
          </w:p>
        </w:tc>
        <w:tc>
          <w:tcPr>
            <w:tcW w:w="4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536</w:t>
            </w:r>
          </w:p>
        </w:tc>
        <w:tc>
          <w:tcPr>
            <w:tcW w:w="8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6180" w:type="dxa"/>
            <w:vAlign w:val="bottom"/>
          </w:tcPr>
          <w:p>
            <w:pPr>
              <w:spacing w:after="0"/>
              <w:rPr>
                <w:sz w:val="17"/>
                <w:szCs w:val="17"/>
                <w:color w:val="auto"/>
              </w:rPr>
            </w:pP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cash and cash equivalents</w:t>
            </w:r>
          </w:p>
        </w:tc>
        <w:tc>
          <w:tcPr>
            <w:tcW w:w="4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(3,214)</w:t>
            </w:r>
          </w:p>
        </w:tc>
        <w:tc>
          <w:tcPr>
            <w:tcW w:w="8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519</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Cash and cash equivalents at beginning of the period</w:t>
            </w:r>
          </w:p>
        </w:tc>
        <w:tc>
          <w:tcPr>
            <w:tcW w:w="46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10,386</w:t>
            </w:r>
          </w:p>
        </w:tc>
        <w:tc>
          <w:tcPr>
            <w:tcW w:w="86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6,846</w:t>
            </w:r>
          </w:p>
        </w:tc>
      </w:tr>
      <w:tr>
        <w:trPr>
          <w:trHeight w:val="203"/>
        </w:trPr>
        <w:tc>
          <w:tcPr>
            <w:tcW w:w="6180" w:type="dxa"/>
            <w:vAlign w:val="bottom"/>
          </w:tcPr>
          <w:p>
            <w:pPr>
              <w:spacing w:after="0"/>
              <w:rPr>
                <w:sz w:val="17"/>
                <w:szCs w:val="17"/>
                <w:color w:val="auto"/>
              </w:rPr>
            </w:pP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Cash and cash equivalents at end of the period</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7,172</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7,365</w:t>
            </w:r>
          </w:p>
        </w:tc>
      </w:tr>
      <w:tr>
        <w:trPr>
          <w:trHeight w:val="203"/>
        </w:trPr>
        <w:tc>
          <w:tcPr>
            <w:tcW w:w="6180" w:type="dxa"/>
            <w:vAlign w:val="bottom"/>
          </w:tcPr>
          <w:p>
            <w:pPr>
              <w:spacing w:after="0"/>
              <w:rPr>
                <w:sz w:val="17"/>
                <w:szCs w:val="17"/>
                <w:color w:val="auto"/>
              </w:rPr>
            </w:pP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6180" w:type="dxa"/>
            <w:vAlign w:val="bottom"/>
          </w:tcPr>
          <w:p>
            <w:pPr>
              <w:spacing w:after="0"/>
              <w:rPr>
                <w:sz w:val="20"/>
                <w:szCs w:val="20"/>
                <w:color w:val="auto"/>
              </w:rPr>
            </w:pPr>
            <w:r>
              <w:rPr>
                <w:rFonts w:ascii="Courier New" w:cs="Courier New" w:eastAsia="Courier New" w:hAnsi="Courier New"/>
                <w:sz w:val="18"/>
                <w:szCs w:val="18"/>
                <w:color w:val="auto"/>
              </w:rPr>
              <w:t>SUPPLEMENTAL SCHEDULE OF CASH FLOW INFORMATION:</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paid</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6180" w:type="dxa"/>
            <w:vAlign w:val="bottom"/>
          </w:tcPr>
          <w:p>
            <w:pPr>
              <w:spacing w:after="0"/>
              <w:rPr>
                <w:sz w:val="17"/>
                <w:szCs w:val="17"/>
                <w:color w:val="auto"/>
              </w:rPr>
            </w:pP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Page 5 of 15</w:t>
      </w:r>
    </w:p>
    <w:p>
      <w:pPr>
        <w:ind w:left="3060"/>
        <w:spacing w:after="0" w:line="238" w:lineRule="auto"/>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PART I - FINANCIAL INFORMATION</w:t>
      </w: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INCYTE PHARMACEUTICALS,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NOTES TO FINANCIAL STATEMENTS</w:t>
      </w:r>
    </w:p>
    <w:p>
      <w:pPr>
        <w:jc w:val="center"/>
        <w:ind w:right="1659"/>
        <w:spacing w:after="0"/>
        <w:rPr>
          <w:sz w:val="20"/>
          <w:szCs w:val="20"/>
          <w:color w:val="auto"/>
        </w:rPr>
      </w:pPr>
      <w:r>
        <w:rPr>
          <w:rFonts w:ascii="Courier New" w:cs="Courier New" w:eastAsia="Courier New" w:hAnsi="Courier New"/>
          <w:sz w:val="18"/>
          <w:szCs w:val="18"/>
          <w:color w:val="auto"/>
        </w:rPr>
        <w:t>JUNE 30, 1996</w:t>
      </w:r>
    </w:p>
    <w:p>
      <w:pPr>
        <w:ind w:left="3700"/>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accompanying unaudited condensed financial statements have been prepared in accordance with generally accepted accounting principles for interim financial information and with the instructions to Form 10-Q and Article 10 of Regulation S-X. The balance sheets as of June 30, 1996 and December 31, 1995, statements of operations for the three and six months ended June 30, 1996 and 1995 and the statements of cash flows for the six months ended June 30, 1996 and 1995 are unaudited, but include all adjustments (consisting of normal recurring adjustments) which the Company considers necessary for a fair presentation of the financial position, operating results and cash flows for the periods presented. Although the Company believes that the disclosures in these financial statements are adequate to make the information presented not misleading, certain information and footnote information normally included in financial statements prepared in accordance with generally accepted accounting principles have been condensed or omitted pursuant to the rules and regulations of the Securities and Exchange Commission.</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Results for any interim period are not necessarily indicative of results for any future interim period or for the entire year. The accompanying financial statements should be read in conjunction with the financial statements and notes thereto included in the Company's Annual Report on Form 10-K for the year ended December 31, 1995.</w:t>
      </w:r>
    </w:p>
    <w:p>
      <w:pPr>
        <w:spacing w:after="0" w:line="203"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 RECOGNITION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recognizes revenue for subscriptions to the LifeSeq database evenly over the subscription period. Revenue is deferred for fees received before earned. Revenues for custom orders, such as satellite databases, are recognized upon delivery.</w:t>
      </w:r>
    </w:p>
    <w:p>
      <w:pPr>
        <w:spacing w:after="0" w:line="202"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LOSS PER SHARE</w:t>
      </w:r>
    </w:p>
    <w:p>
      <w:pPr>
        <w:spacing w:after="0" w:line="207"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Net loss per share is computed using the weighted average number of shares of common stock outstanding. Common equivalent shares from stock options and warrants are excluded from the computation as their effect is antidilutive.</w:t>
      </w:r>
    </w:p>
    <w:p>
      <w:pPr>
        <w:spacing w:after="0" w:line="173"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EVENTS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July 1996, the Company issued 204,073 shares of common stock in exchange for all of the capital stock of Genome Systems, Inc., a privately held genomics company in St. Louis, Missouri. Genome Systems provides genomic research products and technical support services to scientists to assist them in the identification and isolation of novel genes. Genome Systems will maintain its name and operations and continue to operate as a wholly-owned subsidiary of Incyte.</w:t>
      </w:r>
    </w:p>
    <w:p>
      <w:pPr>
        <w:spacing w:after="0" w:line="200" w:lineRule="exact"/>
        <w:rPr>
          <w:sz w:val="20"/>
          <w:szCs w:val="20"/>
          <w:color w:val="auto"/>
        </w:rPr>
      </w:pPr>
    </w:p>
    <w:p>
      <w:pPr>
        <w:spacing w:after="0" w:line="20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 6 of 15</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PART I - FINANCIAL INFORMATION</w:t>
      </w: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MANAGEMENT'S DISCUSSION AND ANALYSIS</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 FINANCIAL CONDITION AND RESULTS OF OPERATIONS</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This Management's Discussion and Analysis of Financial Condition and Results of Operations as of June 30, 1996 and for the three and six month periods ended June 30, 1996 and 1995 should be read in conjunction with the Management's Discussion and Analysis of Financial Condition and Results of Operations included in the Company's Annual Report on Form 10-K for the year ended December 31, 1995 and with the section of the Company's Annual Report on Form 10-K for the year ended December 31, 1995 entitled "Item 1. Business - Factors That May Affect Results".</w:t>
      </w:r>
    </w:p>
    <w:p>
      <w:pPr>
        <w:spacing w:after="0" w:line="212"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When used in this discussion, the word "expects" and similar expressions are intended to identify forward-looking statements. Such statements are subject to risks and uncertainties that could cause actual results to differ materially from those projected. These risks and uncertainties include, but are not limited to, the ability of the Company to obtain additional customers; competition from other entities offering access to genomic databases or sequencing services; early termination of a database subscription agreement or failure to renew an agreement upon expiration; the need for the continued investment in the development of the existing and new databases and related products in advance of obtaining additional customers; cost of accessing technologies developed by other companies; the development of new, more advanced sequencing-related technologies not available to the Company; uncertainty as to the patentability of gene sequences and other genetic information; uncertainty as to the scope of coverage, enforceability or commercial protection from patents that issue; the ability to successfully integrate Genome Systems' operations; and the matters discussed in Item 1 of the Company's Form 10-K for the year ended December 31, 1995 under the caption "Business -- Factors That May Affect Results". These forward looking statements speak only as of the date hereof. The Company expressly disclaims any obligation or undertaking to release publicly any updates or revisions to any forward-looking statements contained herein to reflect any change in the Company's expectations with regard thereto or any change in events, conditions or circumstances on which any such statement is based.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Incyte Pharmaceuticals, Inc. (the "Company") designs, develops and markets genomic database products and services. These databases include the LifeSeq(TM) (Library of Information for Expressed SEQuences) gene expression and gene sequence database, the LifeSeq Atlas(TM) gene mapping database, the Microbial database and the Database of full-length genes. The Company's databases integrate bioinformatics software with proprietary and, when appropriate, publicly available genetic information to create information-based tools marketed to the pharmaceutical industry on a non-exclusive basis for use in drug discovery and development. In building its genomic databases, the Company utilizes high-throughput, computer-aided gene sequencing and analysis technologies to identify and characterize the expressed genes of the human genome. During the quarter ended June 30, 1996, three pharmaceutical companies were added as subscribers to the Company's databases. With the addition of Schering AG, Berlin, which was added in July 1996, the total number of subscribers is ten.</w:t>
      </w:r>
    </w:p>
    <w:p>
      <w:pPr>
        <w:spacing w:after="0" w:line="200" w:lineRule="exact"/>
        <w:rPr>
          <w:sz w:val="20"/>
          <w:szCs w:val="20"/>
          <w:color w:val="auto"/>
        </w:rPr>
      </w:pPr>
    </w:p>
    <w:p>
      <w:pPr>
        <w:spacing w:after="0" w:line="20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 7 of 15</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Revenues recognized are predominately nonexclusive database subscription fees. To a smaller extent, certain subscribers also engage Incyte for exclusive, custom or "satellite", database services. The Company's database subscription agreements also provide for future milestone payments and royalties from the sale of products derived from proprietary information obtained through the databases. There can be no assurance that the database subscribers will ever generate products from information contained within the database and thus that the Company will ever receive milestone payments or royalties. There can be no assurance that any of the Company's database subscription agreements will be renewed upon expiration, typically after a term of three years, or not terminated earlier if the Company breaches any material provision of the database subscription agreement.</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The Company has incurred operating losses since inception and, while it currently expects operating losses to continue only through 1996, the Company may never achieve or maintain significant revenues or profitable operations. There can be no assurance that the Company will be able to obtain and retain additional customers for the Company's database and sequencing products and services on acceptable terms or that such database products and services will produce revenues adequate to fund the Company's operating expenses.</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Revenues for the three and six months ended June 30, 1996 increased to $7.6 million and $13.2 million, respectively, compared to $2.0 million and $3.4 million for the corresponding periods in 1995. Revenues resulted primarily from database access fees and, to a much lesser extent from custom satellite database services. The increase in revenues in comparable quarters was due to an increase in the number of subscribers and higher satellite database fees recognized. Revenues were reported for seven subscribers for the three months ended June 30, 1996 compared to two for the same period in 1995.</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Total operating expenses for the three and six months ended June 30, 1996 were $9.8 million and $18.2 million, respectively, compared to $5.1 million and $8.9 million for the same periods of 1995. Research and development expenses represented over 90% of the increase in the comparable three month and six month periods. Total operating expenses are expected to continue to increase over the next several years, due to costs associated with continued expansion of the Company's facilities, continued investment in new technology, additional scientific and administrative personnel required to expand the Company's database development efforts and additional personnel needed to support existing subscribers and market to prospective subscribers.</w:t>
      </w:r>
    </w:p>
    <w:p>
      <w:pPr>
        <w:spacing w:after="0" w:line="215"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Research and development expenses increased to $8.8 million and $16.2 million for the three and six months ended June 30, 1996, respectively, compared to $4.4 million and $7.7 million for the same periods in 1995. The increase from 1995 to 1996 was primarily attributable to expansion of gene sequencing operations, an increase in bioinformatics and database development efforts and increased investment in intellectual property and new technologies. The Company expects research and development spending to increase over the next several years as the Company continues to expand its gene sequence and database operations, invests in new sequencing and database-related technologies and pursues the development of new database products and services.</w:t>
      </w:r>
    </w:p>
    <w:p>
      <w:pPr>
        <w:spacing w:after="0" w:line="18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Selling, general and administrative expenses increased to $1.0 and $1.9 million for the three and six months ended June 30, 1996, respectively, compared to $0.7 million and $1.2 million for the same periods in 1995. The increase is due primarily to expenses related to the recruitment and support of database subscribers and additional administrative personnel. Selling, general and administrative expenses are expected to continue to increase as the Company broadens its marketing and customer service support programs and adds management and support staff.</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Page 8 of 15</w:t>
      </w:r>
    </w:p>
    <w:p>
      <w:pPr>
        <w:sectPr>
          <w:pgSz w:w="11900" w:h="16838" w:orient="portrait"/>
          <w:cols w:equalWidth="0" w:num="1">
            <w:col w:w="10219"/>
          </w:cols>
          <w:pgMar w:left="240" w:top="312" w:right="1440" w:bottom="1440"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Interest and other income, net increased to $0.6 million and $1.3 million for the three and six months ended June 30, 1996, respectively, from $0.3 million and $0.6 million for the same periods in 1995 primarily as the result of higher average cash balances.</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The Company's net loss decreased to $1.6 million and $3.7 million for the three and six month ended June 30, 1996, respectively, from $2.9 million and $4.9 million for the three and six months ended June 30, 1995. The Company's operating results may fluctuate significantly in the future as a result of a variety of factors, including the timing of the addition of new database subscribers, the timing of the delivery of custom orders including satellite databases, the expiration or termination of existing subscription agreements, and costs related to the expansion of the Company's gene sequencing and database operations, including expenses related to investments in and/or acquisitions of new technologies. These factors will be influenced by changes in the demand for the Company's products and services resulting from changes in the research and development budgets of the Company's existing or prospective customers and/or the introduction of competitive databases or services. The Company believes that quarterly comparisons of its financial results will not necessarily be meaningful and should not be relied upon as an indication of future performance.</w:t>
      </w:r>
    </w:p>
    <w:p>
      <w:pPr>
        <w:spacing w:after="0" w:line="194"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The Company recorded a net loss per share of $0.16 and $0.37 for the three and six months ended June 30, 1996, respectively, representing a decrease from the net loss per share of $0.36 and $0.61 for the corresponding periods in 1995. The decrease in net loss per share for the comparable 1995 and 1996 periods was primarily the result of an increase in the number of subscribers and resulting subscription revenues and, to a smaller extent, the increase in the shares used in computing net loss per share subsequent to the issuance of common stock in a follow-on public offering completed in November 1995.</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As of June 30, 1996, the Company had $37.5 million in cash, cash equivalents and marketable securities, compared to $41.0 million as of December 31, 1995.</w:t>
      </w:r>
    </w:p>
    <w:p>
      <w:pPr>
        <w:spacing w:after="0" w:line="209"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Net cash generated by operating activities was $7.7 million for the six months ended June 30, 1996, as compared to net cash used in operating activities of $5.6 million for the six months ended June 30, 1995. The increase in net cash generated by operating activities resulted primarily from increases in accounts payable and deferred revenue as well as a decrease in the Company's net loss, offset in part by an increase in accounts receivable. Net cash generated by operating activities may in the future fluctuate significantly from quarter to quarter due to periodic large prepayments by subscribers. The Company's investing activities, other than purchases and sales of short-term investments, have consisted of capital expenditures, which totaled $11.3 million and $2.8 million for the six months ended June 30, 1996 and 1995, respectively. The increase was due to tenant improvements on the Company's facilities and purchases of sequencing equipment and computer hardware required to support the increase in data content of the Company's LifeSeq(TM) database as well as the generation of information for the Company's new database modules. Net cash provided by financing activities was $0.5 million for the six months ended June 30, 1996, primarily as a result of issuances of common stock through the exercise of stock options. Net cash provided by financing activities was $13,000 for the six months ended June 30, 1995, as a result of proceeds from issuances of common stock through the exercise of stock options offset in part by principal payments on capital lease obligations.</w:t>
      </w:r>
    </w:p>
    <w:p>
      <w:pPr>
        <w:spacing w:after="0" w:line="200" w:lineRule="exact"/>
        <w:rPr>
          <w:sz w:val="20"/>
          <w:szCs w:val="20"/>
          <w:color w:val="auto"/>
        </w:rPr>
      </w:pPr>
    </w:p>
    <w:p>
      <w:pPr>
        <w:spacing w:after="0" w:line="39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Company expects its cash requirements to increase in future periods, particularly in 1996, as the Company completes collaboration agreements, license agreements and/or acquisitions to access new technologies. In addition, the Company expects to expend additional cash in 1996 and beyond for improvements to its facilities and investments in sequencing equipment and computer</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Page 9 of 15</w:t>
      </w:r>
    </w:p>
    <w:p>
      <w:pPr>
        <w:sectPr>
          <w:pgSz w:w="11900" w:h="16838" w:orient="portrait"/>
          <w:cols w:equalWidth="0" w:num="1">
            <w:col w:w="10219"/>
          </w:cols>
          <w:pgMar w:left="240" w:top="312" w:right="1440"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238" w:lineRule="auto"/>
        <w:rPr>
          <w:sz w:val="20"/>
          <w:szCs w:val="20"/>
          <w:color w:val="auto"/>
        </w:rPr>
      </w:pPr>
      <w:r>
        <w:rPr>
          <w:rFonts w:ascii="Courier New" w:cs="Courier New" w:eastAsia="Courier New" w:hAnsi="Courier New"/>
          <w:sz w:val="18"/>
          <w:szCs w:val="18"/>
          <w:color w:val="auto"/>
        </w:rPr>
        <w:t>hardware required in the development and production of new products and</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improvement of existing products. The Company expects to continue to fund future operations with revenues from subscriptions in addition to using its current cash, cash equivalents and investments when necessary. The Company expects these resources will satisfy the Company's projected working capital and capital expenditure requirements at least through 1997. However, the Company can offer no assurance that the Company will be able to obtain additional subscribers to the Company's database or that such database products and services will produce revenues, which together with the Company's cash, cash equivalents and marketable securities, will be adequate to fund the Company's operating expenses. The Company's cash requirements depend on numerous factors, including the ability of the Company to attract subscribers to its database and sequencing products and services; the Company's research and development activities; competing technological and market developments; the cost of filing, prosecuting, defending and enforcing patent claims and other intellectual property rights; the purchase of additional capital equipment, including capital equipment necessary to insure that the Company's sequencing operation remains competitive. There can be no assurance that additional funding, if necessary, will be available on favorable terms, if at all.</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SUBSEQUENT EVENTS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July 1996 the Company issued 204,073 shares of common stock in exchange for all of the capital stock of Genome Systems, Inc., a privately held genomics company in St. Louis, Missouri. Genome Systems provides genomic research products and technical support services to scientists to assist them in the identification and isolation of novel genes. Genome Systems produces large DNA insert libraries and clones and provides contract DNA preparation services and high-throughput genomic screening and mapping services. Genome Systems will maintain its name and operations and continue to operate as a wholly-owned subsidiary of Incyte.</w:t>
      </w:r>
    </w:p>
    <w:p>
      <w:pPr>
        <w:spacing w:after="0" w:line="200" w:lineRule="exact"/>
        <w:rPr>
          <w:sz w:val="20"/>
          <w:szCs w:val="20"/>
          <w:color w:val="auto"/>
        </w:rPr>
      </w:pPr>
    </w:p>
    <w:p>
      <w:pPr>
        <w:spacing w:after="0" w:line="21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 10 of 15</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ind w:left="2740"/>
        <w:spacing w:after="0" w:line="238" w:lineRule="auto"/>
        <w:rPr>
          <w:sz w:val="20"/>
          <w:szCs w:val="20"/>
          <w:color w:val="auto"/>
        </w:rPr>
      </w:pPr>
      <w:r>
        <w:rPr>
          <w:rFonts w:ascii="Courier New" w:cs="Courier New" w:eastAsia="Courier New" w:hAnsi="Courier New"/>
          <w:sz w:val="18"/>
          <w:szCs w:val="18"/>
          <w:color w:val="auto"/>
        </w:rPr>
        <w:t>INCYTE PHARMACEUTICALS,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OTHER INFORMATION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Changes in Securities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Defaults upon Senior Securities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7" w:lineRule="exact"/>
        <w:rPr>
          <w:sz w:val="20"/>
          <w:szCs w:val="20"/>
          <w:color w:val="auto"/>
        </w:rPr>
      </w:pPr>
    </w:p>
    <w:p>
      <w:pPr>
        <w:ind w:left="1700" w:right="2199"/>
        <w:spacing w:after="0" w:line="236" w:lineRule="auto"/>
        <w:rPr>
          <w:sz w:val="20"/>
          <w:szCs w:val="20"/>
          <w:color w:val="auto"/>
        </w:rPr>
      </w:pPr>
      <w:r>
        <w:rPr>
          <w:rFonts w:ascii="Courier New" w:cs="Courier New" w:eastAsia="Courier New" w:hAnsi="Courier New"/>
          <w:sz w:val="18"/>
          <w:szCs w:val="18"/>
          <w:color w:val="auto"/>
        </w:rPr>
        <w:t>On May 21, 1996 the Company held its Annual Meeting of Stockholders. The following actions were taken at the annual meeting.</w:t>
      </w:r>
    </w:p>
    <w:p>
      <w:pPr>
        <w:spacing w:after="0" w:line="203" w:lineRule="exact"/>
        <w:rPr>
          <w:sz w:val="20"/>
          <w:szCs w:val="20"/>
          <w:color w:val="auto"/>
        </w:rPr>
      </w:pPr>
    </w:p>
    <w:p>
      <w:pPr>
        <w:ind w:left="2320" w:hanging="627"/>
        <w:spacing w:after="0"/>
        <w:tabs>
          <w:tab w:leader="none" w:pos="2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Directors were elected:</w:t>
      </w:r>
    </w:p>
    <w:p>
      <w:pPr>
        <w:spacing w:after="0" w:line="206" w:lineRule="exact"/>
        <w:rPr>
          <w:rFonts w:ascii="Courier New" w:cs="Courier New" w:eastAsia="Courier New" w:hAnsi="Courier New"/>
          <w:sz w:val="18"/>
          <w:szCs w:val="18"/>
          <w:color w:val="auto"/>
        </w:rPr>
      </w:pPr>
    </w:p>
    <w:p>
      <w:pPr>
        <w:jc w:val="both"/>
        <w:ind w:left="2640" w:right="2099" w:hanging="525"/>
        <w:spacing w:after="0" w:line="236" w:lineRule="auto"/>
        <w:tabs>
          <w:tab w:leader="none" w:pos="26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Roy A. Whitfield. 7,300,814 shares voted in favor of the nominee, 118,700 shares withheld their vote, and 2,430,019 shares were not voted;</w:t>
      </w:r>
    </w:p>
    <w:p>
      <w:pPr>
        <w:spacing w:after="0" w:line="208" w:lineRule="exact"/>
        <w:rPr>
          <w:rFonts w:ascii="Courier New" w:cs="Courier New" w:eastAsia="Courier New" w:hAnsi="Courier New"/>
          <w:sz w:val="18"/>
          <w:szCs w:val="18"/>
          <w:color w:val="auto"/>
        </w:rPr>
      </w:pPr>
    </w:p>
    <w:p>
      <w:pPr>
        <w:ind w:left="2640" w:right="1779" w:hanging="525"/>
        <w:spacing w:after="0" w:line="236" w:lineRule="auto"/>
        <w:tabs>
          <w:tab w:leader="none" w:pos="26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Randal W. Scott. 7,300,814 shares voted in favor of the nominee, 118,700 shares withheld their vote, and 2,430,019 shares were not voted;</w:t>
      </w:r>
    </w:p>
    <w:p>
      <w:pPr>
        <w:spacing w:after="0" w:line="208" w:lineRule="exact"/>
        <w:rPr>
          <w:rFonts w:ascii="Courier New" w:cs="Courier New" w:eastAsia="Courier New" w:hAnsi="Courier New"/>
          <w:sz w:val="18"/>
          <w:szCs w:val="18"/>
          <w:color w:val="auto"/>
        </w:rPr>
      </w:pPr>
    </w:p>
    <w:p>
      <w:pPr>
        <w:ind w:left="2640" w:right="1879" w:hanging="525"/>
        <w:spacing w:after="0" w:line="236" w:lineRule="auto"/>
        <w:tabs>
          <w:tab w:leader="none" w:pos="26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Barry M. Bloom. 7,300,414 shares voted in favor of the nominee, 119,100 shares withheld their vote, and 2,430,019 shares were not voted;</w:t>
      </w:r>
    </w:p>
    <w:p>
      <w:pPr>
        <w:spacing w:after="0" w:line="208" w:lineRule="exact"/>
        <w:rPr>
          <w:rFonts w:ascii="Courier New" w:cs="Courier New" w:eastAsia="Courier New" w:hAnsi="Courier New"/>
          <w:sz w:val="18"/>
          <w:szCs w:val="18"/>
          <w:color w:val="auto"/>
        </w:rPr>
      </w:pPr>
    </w:p>
    <w:p>
      <w:pPr>
        <w:ind w:left="2640" w:right="1779" w:hanging="525"/>
        <w:spacing w:after="0" w:line="236" w:lineRule="auto"/>
        <w:tabs>
          <w:tab w:leader="none" w:pos="26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Jeffrey J. Collinson. 7,300,814 shares voted in favor of the nominee, 118,700 shares withheld their vote, and 2,430,019 shares were not voted; and</w:t>
      </w:r>
    </w:p>
    <w:p>
      <w:pPr>
        <w:spacing w:after="0" w:line="208" w:lineRule="exact"/>
        <w:rPr>
          <w:rFonts w:ascii="Courier New" w:cs="Courier New" w:eastAsia="Courier New" w:hAnsi="Courier New"/>
          <w:sz w:val="18"/>
          <w:szCs w:val="18"/>
          <w:color w:val="auto"/>
        </w:rPr>
      </w:pPr>
    </w:p>
    <w:p>
      <w:pPr>
        <w:ind w:left="2640" w:right="1779" w:hanging="525"/>
        <w:spacing w:after="0" w:line="236" w:lineRule="auto"/>
        <w:tabs>
          <w:tab w:leader="none" w:pos="26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Frederick B. Craves. 7,300,414 shares voted in favor of the nominee, 119,100 shares withheld their vote, and 2,430,019 shares were not voted;</w:t>
      </w:r>
    </w:p>
    <w:p>
      <w:pPr>
        <w:spacing w:after="0" w:line="208" w:lineRule="exact"/>
        <w:rPr>
          <w:rFonts w:ascii="Courier New" w:cs="Courier New" w:eastAsia="Courier New" w:hAnsi="Courier New"/>
          <w:sz w:val="18"/>
          <w:szCs w:val="18"/>
          <w:color w:val="auto"/>
        </w:rPr>
      </w:pPr>
    </w:p>
    <w:p>
      <w:pPr>
        <w:ind w:left="2640" w:right="2199" w:hanging="525"/>
        <w:spacing w:after="0" w:line="236" w:lineRule="auto"/>
        <w:tabs>
          <w:tab w:leader="none" w:pos="26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Jon S. Saxe. 7,300,414 shares voted in favor of the nominee, 119,100 shares withheld their vote, and 2,430,019 shares were not voted;</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2320" w:right="1999" w:hanging="627"/>
        <w:spacing w:after="0" w:line="237" w:lineRule="auto"/>
        <w:tabs>
          <w:tab w:leader="none" w:pos="2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proposal to amend and restate the Company's 1991 Stock Plan. 5,886,248 shares were voted in favor of the proposal, 1,465,751 shares were voted against the proposal, 6,377 shares abstained, and 2,491,157 shares were not voted (including 61,138 broker non-votes).</w:t>
      </w: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 11 of 15</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ind w:left="2320" w:right="2099" w:hanging="627"/>
        <w:spacing w:after="0" w:line="237" w:lineRule="auto"/>
        <w:tabs>
          <w:tab w:leader="none" w:pos="2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selection of the Company's independent auditors was ratified. 7,415,839 shares were voted in favor of the proposal, 2,075 shares were voted against the proposal, 1,600 shares abstained, and 2,430,019 shares were not voted.</w:t>
      </w:r>
    </w:p>
    <w:p>
      <w:pPr>
        <w:spacing w:after="0" w:line="200" w:lineRule="exact"/>
        <w:rPr>
          <w:sz w:val="20"/>
          <w:szCs w:val="20"/>
          <w:color w:val="auto"/>
        </w:rPr>
      </w:pPr>
    </w:p>
    <w:p>
      <w:pPr>
        <w:spacing w:after="0" w:line="20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2120" w:hanging="427"/>
        <w:spacing w:after="0"/>
        <w:tabs>
          <w:tab w:leader="none" w:pos="21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 Index on Page 14</w:t>
      </w:r>
    </w:p>
    <w:p>
      <w:pPr>
        <w:spacing w:after="0" w:line="206" w:lineRule="exact"/>
        <w:rPr>
          <w:rFonts w:ascii="Courier New" w:cs="Courier New" w:eastAsia="Courier New" w:hAnsi="Courier New"/>
          <w:sz w:val="18"/>
          <w:szCs w:val="18"/>
          <w:color w:val="auto"/>
        </w:rPr>
      </w:pPr>
    </w:p>
    <w:p>
      <w:pPr>
        <w:ind w:left="2120" w:right="6099" w:hanging="427"/>
        <w:spacing w:after="0" w:line="470" w:lineRule="auto"/>
        <w:tabs>
          <w:tab w:leader="none" w:pos="21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None</w:t>
      </w:r>
    </w:p>
    <w:p>
      <w:pPr>
        <w:spacing w:after="0" w:line="20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 12 of 15</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spacing w:after="0" w:line="4"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INCYTE PHARMACEUTICALS, INC.</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13,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Roy A. Whitfield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Roy A. Whitfield</w:t>
      </w:r>
    </w:p>
    <w:p>
      <w:pPr>
        <w:spacing w:after="0" w:line="238" w:lineRule="auto"/>
        <w:rPr>
          <w:sz w:val="20"/>
          <w:szCs w:val="20"/>
          <w:color w:val="auto"/>
        </w:rPr>
      </w:pPr>
      <w:r>
        <w:rPr>
          <w:rFonts w:ascii="Courier New" w:cs="Courier New" w:eastAsia="Courier New" w:hAnsi="Courier New"/>
          <w:sz w:val="18"/>
          <w:szCs w:val="18"/>
          <w:color w:val="auto"/>
        </w:rPr>
        <w:t>President and Chief Executive</w:t>
      </w:r>
    </w:p>
    <w:p>
      <w:pPr>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4">
            <w:col w:w="540" w:space="420"/>
            <w:col w:w="2540" w:space="720"/>
            <w:col w:w="320" w:space="620"/>
            <w:col w:w="5059"/>
          </w:cols>
          <w:pgMar w:left="240" w:top="312" w:right="1440"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13, 1996</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Denise M. Gilbert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Denise M. Gilbert</w:t>
      </w:r>
    </w:p>
    <w:p>
      <w:pPr>
        <w:spacing w:after="0" w:line="238" w:lineRule="auto"/>
        <w:rPr>
          <w:sz w:val="20"/>
          <w:szCs w:val="20"/>
          <w:color w:val="auto"/>
        </w:rPr>
      </w:pPr>
      <w:r>
        <w:rPr>
          <w:rFonts w:ascii="Courier New" w:cs="Courier New" w:eastAsia="Courier New" w:hAnsi="Courier New"/>
          <w:sz w:val="18"/>
          <w:szCs w:val="18"/>
          <w:color w:val="auto"/>
        </w:rPr>
        <w:t>Executive Vice President and</w:t>
      </w:r>
    </w:p>
    <w:p>
      <w:pPr>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ectPr>
          <w:pgSz w:w="11900" w:h="16838" w:orient="portrait"/>
          <w:cols w:equalWidth="0" w:num="4">
            <w:col w:w="540" w:space="420"/>
            <w:col w:w="2540" w:space="720"/>
            <w:col w:w="320" w:space="620"/>
            <w:col w:w="505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Page 13 of 15</w:t>
      </w:r>
    </w:p>
    <w:p>
      <w:pPr>
        <w:sectPr>
          <w:pgSz w:w="11900" w:h="16838" w:orient="portrait"/>
          <w:cols w:equalWidth="0" w:num="1">
            <w:col w:w="10219"/>
          </w:cols>
          <w:pgMar w:left="240" w:top="312" w:right="1440" w:bottom="1440" w:gutter="0" w:footer="0" w:header="0"/>
          <w:type w:val="continuous"/>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14</w:t>
      </w:r>
    </w:p>
    <w:tbl>
      <w:tblPr>
        <w:tblLayout w:type="fixed"/>
        <w:tblInd w:w="1380" w:type="dxa"/>
        <w:tblCellMar>
          <w:top w:w="0" w:type="dxa"/>
          <w:left w:w="0" w:type="dxa"/>
          <w:bottom w:w="0" w:type="dxa"/>
          <w:right w:w="0" w:type="dxa"/>
        </w:tblCellMar>
      </w:tblPr>
      <w:tr>
        <w:trPr>
          <w:trHeight w:val="203"/>
        </w:trPr>
        <w:tc>
          <w:tcPr>
            <w:tcW w:w="520" w:type="dxa"/>
            <w:vAlign w:val="bottom"/>
          </w:tcPr>
          <w:p>
            <w:pPr>
              <w:spacing w:after="0"/>
              <w:rPr>
                <w:sz w:val="17"/>
                <w:szCs w:val="17"/>
                <w:color w:val="auto"/>
              </w:rPr>
            </w:pPr>
          </w:p>
        </w:tc>
        <w:tc>
          <w:tcPr>
            <w:tcW w:w="41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INCYTE PHARMACEUTICALS, INC.</w:t>
            </w:r>
          </w:p>
        </w:tc>
        <w:tc>
          <w:tcPr>
            <w:tcW w:w="1520" w:type="dxa"/>
            <w:vAlign w:val="bottom"/>
          </w:tcPr>
          <w:p>
            <w:pPr>
              <w:spacing w:after="0"/>
              <w:rPr>
                <w:sz w:val="17"/>
                <w:szCs w:val="17"/>
                <w:color w:val="auto"/>
              </w:rPr>
            </w:pPr>
          </w:p>
        </w:tc>
      </w:tr>
      <w:tr>
        <w:trPr>
          <w:trHeight w:val="608"/>
        </w:trPr>
        <w:tc>
          <w:tcPr>
            <w:tcW w:w="520" w:type="dxa"/>
            <w:vAlign w:val="bottom"/>
          </w:tcPr>
          <w:p>
            <w:pPr>
              <w:spacing w:after="0"/>
              <w:rPr>
                <w:sz w:val="24"/>
                <w:szCs w:val="24"/>
                <w:color w:val="auto"/>
              </w:rPr>
            </w:pPr>
          </w:p>
        </w:tc>
        <w:tc>
          <w:tcPr>
            <w:tcW w:w="416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EXHIBIT INDEX</w:t>
            </w:r>
          </w:p>
        </w:tc>
        <w:tc>
          <w:tcPr>
            <w:tcW w:w="1520" w:type="dxa"/>
            <w:vAlign w:val="bottom"/>
          </w:tcPr>
          <w:p>
            <w:pPr>
              <w:spacing w:after="0"/>
              <w:rPr>
                <w:sz w:val="24"/>
                <w:szCs w:val="24"/>
                <w:color w:val="auto"/>
              </w:rPr>
            </w:pPr>
          </w:p>
        </w:tc>
      </w:tr>
      <w:tr>
        <w:trPr>
          <w:trHeight w:val="810"/>
        </w:trPr>
        <w:tc>
          <w:tcPr>
            <w:tcW w:w="5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520" w:type="dxa"/>
            <w:vAlign w:val="bottom"/>
          </w:tcPr>
          <w:p>
            <w:pPr>
              <w:jc w:val="center"/>
              <w:ind w:left="592"/>
              <w:spacing w:after="0"/>
              <w:rPr>
                <w:sz w:val="20"/>
                <w:szCs w:val="20"/>
                <w:color w:val="auto"/>
              </w:rPr>
            </w:pPr>
            <w:r>
              <w:rPr>
                <w:rFonts w:ascii="Courier New" w:cs="Courier New" w:eastAsia="Courier New" w:hAnsi="Courier New"/>
                <w:sz w:val="18"/>
                <w:szCs w:val="18"/>
                <w:color w:val="auto"/>
                <w:w w:val="97"/>
              </w:rPr>
              <w:t>Page No.</w:t>
            </w:r>
          </w:p>
        </w:tc>
      </w:tr>
      <w:tr>
        <w:trPr>
          <w:trHeight w:val="203"/>
        </w:trPr>
        <w:tc>
          <w:tcPr>
            <w:tcW w:w="5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52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83"/>
              </w:rPr>
              <w:t>27</w:t>
            </w:r>
          </w:p>
        </w:tc>
        <w:tc>
          <w:tcPr>
            <w:tcW w:w="416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Financial Data Schedule</w:t>
            </w:r>
          </w:p>
        </w:tc>
        <w:tc>
          <w:tcPr>
            <w:tcW w:w="1520" w:type="dxa"/>
            <w:vAlign w:val="bottom"/>
          </w:tcPr>
          <w:p>
            <w:pPr>
              <w:jc w:val="center"/>
              <w:ind w:left="612"/>
              <w:spacing w:after="0" w:line="203" w:lineRule="exact"/>
              <w:rPr>
                <w:sz w:val="20"/>
                <w:szCs w:val="20"/>
                <w:color w:val="auto"/>
              </w:rPr>
            </w:pPr>
            <w:r>
              <w:rPr>
                <w:rFonts w:ascii="Courier New" w:cs="Courier New" w:eastAsia="Courier New" w:hAnsi="Courier New"/>
                <w:sz w:val="18"/>
                <w:szCs w:val="18"/>
                <w:color w:val="auto"/>
              </w:rPr>
              <w:t>15</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 14 of 15</w:t>
      </w:r>
    </w:p>
    <w:p>
      <w:pPr>
        <w:sectPr>
          <w:pgSz w:w="11900" w:h="16838" w:orient="portrait"/>
          <w:cols w:equalWidth="0" w:num="1">
            <w:col w:w="9899"/>
          </w:cols>
          <w:pgMar w:left="560" w:top="312" w:right="1440" w:bottom="1440" w:gutter="0" w:footer="0" w:header="0"/>
        </w:sectPr>
      </w:pPr>
    </w:p>
    <w:bookmarkStart w:id="14" w:name="page15"/>
    <w:bookmarkEnd w:id="14"/>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jc w:val="both"/>
        <w:ind w:right="2079"/>
        <w:spacing w:after="0" w:line="236" w:lineRule="auto"/>
        <w:rPr>
          <w:sz w:val="20"/>
          <w:szCs w:val="20"/>
          <w:color w:val="auto"/>
        </w:rPr>
      </w:pPr>
      <w:r>
        <w:rPr>
          <w:rFonts w:ascii="Courier New" w:cs="Courier New" w:eastAsia="Courier New" w:hAnsi="Courier New"/>
          <w:sz w:val="18"/>
          <w:szCs w:val="18"/>
          <w:color w:val="auto"/>
        </w:rPr>
        <w:t>THIS SCHEDULE CONTAINS SUMMARY FINANCIAL INFORMATION EXTRACTED FROM ITEM 1 OF FORM 10-Q FOR THE PERIOD ENDED JUNE 30, 1996 AND IS QUALIFIED IN ITS ENTIRETY BY REFERENCE TO SUCH 10-Q.</w:t>
      </w: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ind w:left="80"/>
        <w:spacing w:after="0" w:line="238" w:lineRule="auto"/>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6-MOS</w:t>
      </w:r>
    </w:p>
    <w:p>
      <w:pPr>
        <w:ind w:left="2700"/>
        <w:spacing w:after="0" w:line="238" w:lineRule="auto"/>
        <w:rPr>
          <w:sz w:val="20"/>
          <w:szCs w:val="20"/>
          <w:color w:val="auto"/>
        </w:rPr>
      </w:pPr>
      <w:r>
        <w:rPr>
          <w:rFonts w:ascii="Courier New" w:cs="Courier New" w:eastAsia="Courier New" w:hAnsi="Courier New"/>
          <w:sz w:val="18"/>
          <w:szCs w:val="18"/>
          <w:color w:val="auto"/>
        </w:rPr>
        <w:t>DEC-31-1995</w:t>
      </w:r>
    </w:p>
    <w:p>
      <w:pPr>
        <w:ind w:left="3020"/>
        <w:spacing w:after="0"/>
        <w:rPr>
          <w:sz w:val="20"/>
          <w:szCs w:val="20"/>
          <w:color w:val="auto"/>
        </w:rPr>
      </w:pPr>
      <w:r>
        <w:rPr>
          <w:rFonts w:ascii="Courier New" w:cs="Courier New" w:eastAsia="Courier New" w:hAnsi="Courier New"/>
          <w:sz w:val="18"/>
          <w:szCs w:val="18"/>
          <w:color w:val="auto"/>
        </w:rPr>
        <w:t>JAN-01-1996</w:t>
      </w:r>
    </w:p>
    <w:p>
      <w:pPr>
        <w:ind w:left="3240"/>
        <w:spacing w:after="0" w:line="237" w:lineRule="auto"/>
        <w:rPr>
          <w:sz w:val="20"/>
          <w:szCs w:val="20"/>
          <w:color w:val="auto"/>
        </w:rPr>
      </w:pPr>
      <w:r>
        <w:rPr>
          <w:rFonts w:ascii="Courier New" w:cs="Courier New" w:eastAsia="Courier New" w:hAnsi="Courier New"/>
          <w:sz w:val="18"/>
          <w:szCs w:val="18"/>
          <w:color w:val="auto"/>
        </w:rPr>
        <w:t>JUN-30-1996</w:t>
      </w:r>
    </w:p>
    <w:p>
      <w:pPr>
        <w:ind w:left="3980"/>
        <w:spacing w:after="0" w:line="238" w:lineRule="auto"/>
        <w:rPr>
          <w:sz w:val="20"/>
          <w:szCs w:val="20"/>
          <w:color w:val="auto"/>
        </w:rPr>
      </w:pPr>
      <w:r>
        <w:rPr>
          <w:rFonts w:ascii="Courier New" w:cs="Courier New" w:eastAsia="Courier New" w:hAnsi="Courier New"/>
          <w:sz w:val="18"/>
          <w:szCs w:val="18"/>
          <w:color w:val="auto"/>
        </w:rPr>
        <w:t>1</w:t>
      </w:r>
    </w:p>
    <w:p>
      <w:pPr>
        <w:ind w:left="4500"/>
        <w:spacing w:after="0"/>
        <w:rPr>
          <w:sz w:val="20"/>
          <w:szCs w:val="20"/>
          <w:color w:val="auto"/>
        </w:rPr>
      </w:pPr>
      <w:r>
        <w:rPr>
          <w:rFonts w:ascii="Courier New" w:cs="Courier New" w:eastAsia="Courier New" w:hAnsi="Courier New"/>
          <w:sz w:val="18"/>
          <w:szCs w:val="18"/>
          <w:color w:val="auto"/>
        </w:rPr>
        <w:t>7,172</w:t>
      </w:r>
    </w:p>
    <w:p>
      <w:pPr>
        <w:ind w:left="3760"/>
        <w:spacing w:after="0" w:line="237" w:lineRule="auto"/>
        <w:rPr>
          <w:sz w:val="20"/>
          <w:szCs w:val="20"/>
          <w:color w:val="auto"/>
        </w:rPr>
      </w:pPr>
      <w:r>
        <w:rPr>
          <w:rFonts w:ascii="Courier New" w:cs="Courier New" w:eastAsia="Courier New" w:hAnsi="Courier New"/>
          <w:sz w:val="18"/>
          <w:szCs w:val="18"/>
          <w:color w:val="auto"/>
        </w:rPr>
        <w:t>30,348</w:t>
      </w:r>
    </w:p>
    <w:p>
      <w:pPr>
        <w:ind w:left="3760"/>
        <w:spacing w:after="0"/>
        <w:rPr>
          <w:sz w:val="20"/>
          <w:szCs w:val="20"/>
          <w:color w:val="auto"/>
        </w:rPr>
      </w:pPr>
      <w:r>
        <w:rPr>
          <w:rFonts w:ascii="Courier New" w:cs="Courier New" w:eastAsia="Courier New" w:hAnsi="Courier New"/>
          <w:sz w:val="18"/>
          <w:szCs w:val="18"/>
          <w:color w:val="auto"/>
        </w:rPr>
        <w:t>9,365</w:t>
      </w:r>
    </w:p>
    <w:p>
      <w:pPr>
        <w:ind w:left="428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3340"/>
        <w:spacing w:after="0" w:line="237" w:lineRule="auto"/>
        <w:rPr>
          <w:sz w:val="20"/>
          <w:szCs w:val="20"/>
          <w:color w:val="auto"/>
        </w:rPr>
      </w:pPr>
      <w:r>
        <w:rPr>
          <w:rFonts w:ascii="Courier New" w:cs="Courier New" w:eastAsia="Courier New" w:hAnsi="Courier New"/>
          <w:sz w:val="18"/>
          <w:szCs w:val="18"/>
          <w:color w:val="auto"/>
        </w:rPr>
        <w:t>47,840</w:t>
      </w:r>
    </w:p>
    <w:p>
      <w:pPr>
        <w:ind w:left="4400"/>
        <w:spacing w:after="0" w:line="238" w:lineRule="auto"/>
        <w:rPr>
          <w:sz w:val="20"/>
          <w:szCs w:val="20"/>
          <w:color w:val="auto"/>
        </w:rPr>
      </w:pPr>
      <w:r>
        <w:rPr>
          <w:rFonts w:ascii="Courier New" w:cs="Courier New" w:eastAsia="Courier New" w:hAnsi="Courier New"/>
          <w:sz w:val="18"/>
          <w:szCs w:val="18"/>
          <w:color w:val="auto"/>
        </w:rPr>
        <w:t>17,777</w:t>
      </w:r>
    </w:p>
    <w:p>
      <w:pPr>
        <w:jc w:val="right"/>
        <w:ind w:right="5999"/>
        <w:spacing w:after="0"/>
        <w:rPr>
          <w:sz w:val="20"/>
          <w:szCs w:val="20"/>
          <w:color w:val="auto"/>
        </w:rPr>
      </w:pPr>
      <w:r>
        <w:rPr>
          <w:rFonts w:ascii="Courier New" w:cs="Courier New" w:eastAsia="Courier New" w:hAnsi="Courier New"/>
          <w:sz w:val="18"/>
          <w:szCs w:val="18"/>
          <w:color w:val="auto"/>
        </w:rPr>
        <w:t>0</w:t>
      </w:r>
    </w:p>
    <w:p>
      <w:pPr>
        <w:jc w:val="right"/>
        <w:ind w:right="5999"/>
        <w:spacing w:after="0" w:line="237" w:lineRule="auto"/>
        <w:rPr>
          <w:sz w:val="20"/>
          <w:szCs w:val="20"/>
          <w:color w:val="auto"/>
        </w:rPr>
      </w:pPr>
      <w:r>
        <w:rPr>
          <w:rFonts w:ascii="Courier New" w:cs="Courier New" w:eastAsia="Courier New" w:hAnsi="Courier New"/>
          <w:sz w:val="18"/>
          <w:szCs w:val="18"/>
          <w:color w:val="auto"/>
        </w:rPr>
        <w:t>66,048</w:t>
      </w:r>
    </w:p>
    <w:p>
      <w:pPr>
        <w:ind w:left="2820"/>
        <w:spacing w:after="0"/>
        <w:rPr>
          <w:sz w:val="20"/>
          <w:szCs w:val="20"/>
          <w:color w:val="auto"/>
        </w:rPr>
      </w:pPr>
      <w:r>
        <w:rPr>
          <w:rFonts w:ascii="Courier New" w:cs="Courier New" w:eastAsia="Courier New" w:hAnsi="Courier New"/>
          <w:sz w:val="18"/>
          <w:szCs w:val="18"/>
          <w:color w:val="auto"/>
        </w:rPr>
        <w:t>22,147</w:t>
      </w:r>
    </w:p>
    <w:p>
      <w:pPr>
        <w:jc w:val="center"/>
        <w:ind w:right="459"/>
        <w:spacing w:after="0" w:line="237"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0</w:t>
      </w:r>
    </w:p>
    <w:p>
      <w:pPr>
        <w:ind w:left="440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line="238" w:lineRule="auto"/>
        <w:rPr>
          <w:sz w:val="20"/>
          <w:szCs w:val="20"/>
          <w:color w:val="auto"/>
        </w:rPr>
      </w:pPr>
      <w:r>
        <w:rPr>
          <w:rFonts w:ascii="Courier New" w:cs="Courier New" w:eastAsia="Courier New" w:hAnsi="Courier New"/>
          <w:sz w:val="18"/>
          <w:szCs w:val="18"/>
          <w:color w:val="auto"/>
        </w:rPr>
        <w:t>10</w:t>
      </w:r>
    </w:p>
    <w:p>
      <w:pPr>
        <w:ind w:left="3980"/>
        <w:spacing w:after="0"/>
        <w:rPr>
          <w:sz w:val="20"/>
          <w:szCs w:val="20"/>
          <w:color w:val="auto"/>
        </w:rPr>
      </w:pPr>
      <w:r>
        <w:rPr>
          <w:rFonts w:ascii="Courier New" w:cs="Courier New" w:eastAsia="Courier New" w:hAnsi="Courier New"/>
          <w:sz w:val="18"/>
          <w:szCs w:val="18"/>
          <w:color w:val="auto"/>
        </w:rPr>
        <w:t>43,372</w:t>
      </w:r>
    </w:p>
    <w:p>
      <w:pPr>
        <w:ind w:left="2080"/>
        <w:spacing w:after="0" w:line="237" w:lineRule="auto"/>
        <w:rPr>
          <w:sz w:val="20"/>
          <w:szCs w:val="20"/>
          <w:color w:val="auto"/>
        </w:rPr>
      </w:pPr>
      <w:r>
        <w:rPr>
          <w:rFonts w:ascii="Courier New" w:cs="Courier New" w:eastAsia="Courier New" w:hAnsi="Courier New"/>
          <w:sz w:val="18"/>
          <w:szCs w:val="18"/>
          <w:color w:val="auto"/>
        </w:rPr>
        <w:t>66,048</w:t>
      </w:r>
    </w:p>
    <w:p>
      <w:pPr>
        <w:jc w:val="center"/>
        <w:ind w:right="459"/>
        <w:spacing w:after="0"/>
        <w:rPr>
          <w:sz w:val="20"/>
          <w:szCs w:val="20"/>
          <w:color w:val="auto"/>
        </w:rPr>
      </w:pPr>
      <w:r>
        <w:rPr>
          <w:rFonts w:ascii="Courier New" w:cs="Courier New" w:eastAsia="Courier New" w:hAnsi="Courier New"/>
          <w:sz w:val="18"/>
          <w:szCs w:val="18"/>
          <w:color w:val="auto"/>
        </w:rPr>
        <w:t>0</w:t>
      </w:r>
    </w:p>
    <w:p>
      <w:pPr>
        <w:ind w:left="3340"/>
        <w:spacing w:after="0" w:line="237" w:lineRule="auto"/>
        <w:rPr>
          <w:sz w:val="20"/>
          <w:szCs w:val="20"/>
          <w:color w:val="auto"/>
        </w:rPr>
      </w:pPr>
      <w:r>
        <w:rPr>
          <w:rFonts w:ascii="Courier New" w:cs="Courier New" w:eastAsia="Courier New" w:hAnsi="Courier New"/>
          <w:sz w:val="18"/>
          <w:szCs w:val="18"/>
          <w:color w:val="auto"/>
        </w:rPr>
        <w:t>13,213</w:t>
      </w:r>
    </w:p>
    <w:p>
      <w:pPr>
        <w:jc w:val="center"/>
        <w:ind w:right="39"/>
        <w:spacing w:after="0"/>
        <w:rPr>
          <w:sz w:val="20"/>
          <w:szCs w:val="20"/>
          <w:color w:val="auto"/>
        </w:rPr>
      </w:pPr>
      <w:r>
        <w:rPr>
          <w:rFonts w:ascii="Courier New" w:cs="Courier New" w:eastAsia="Courier New" w:hAnsi="Courier New"/>
          <w:sz w:val="18"/>
          <w:szCs w:val="18"/>
          <w:color w:val="auto"/>
        </w:rPr>
        <w:t>0</w:t>
      </w:r>
    </w:p>
    <w:p>
      <w:pPr>
        <w:ind w:left="4180"/>
        <w:spacing w:after="0" w:line="237" w:lineRule="auto"/>
        <w:rPr>
          <w:sz w:val="20"/>
          <w:szCs w:val="20"/>
          <w:color w:val="auto"/>
        </w:rPr>
      </w:pPr>
      <w:r>
        <w:rPr>
          <w:rFonts w:ascii="Courier New" w:cs="Courier New" w:eastAsia="Courier New" w:hAnsi="Courier New"/>
          <w:sz w:val="18"/>
          <w:szCs w:val="18"/>
          <w:color w:val="auto"/>
        </w:rPr>
        <w:t>0</w:t>
      </w:r>
    </w:p>
    <w:p>
      <w:pPr>
        <w:jc w:val="right"/>
        <w:ind w:right="6199"/>
        <w:spacing w:after="0"/>
        <w:rPr>
          <w:sz w:val="20"/>
          <w:szCs w:val="20"/>
          <w:color w:val="auto"/>
        </w:rPr>
      </w:pPr>
      <w:r>
        <w:rPr>
          <w:rFonts w:ascii="Courier New" w:cs="Courier New" w:eastAsia="Courier New" w:hAnsi="Courier New"/>
          <w:sz w:val="18"/>
          <w:szCs w:val="18"/>
          <w:color w:val="auto"/>
        </w:rPr>
        <w:t>18,151</w:t>
      </w:r>
    </w:p>
    <w:p>
      <w:pPr>
        <w:jc w:val="right"/>
        <w:ind w:right="6199"/>
        <w:spacing w:after="0" w:line="237" w:lineRule="auto"/>
        <w:rPr>
          <w:sz w:val="20"/>
          <w:szCs w:val="20"/>
          <w:color w:val="auto"/>
        </w:rPr>
      </w:pPr>
      <w:r>
        <w:rPr>
          <w:rFonts w:ascii="Courier New" w:cs="Courier New" w:eastAsia="Courier New" w:hAnsi="Courier New"/>
          <w:sz w:val="18"/>
          <w:szCs w:val="18"/>
          <w:color w:val="auto"/>
        </w:rPr>
        <w:t>0</w:t>
      </w:r>
    </w:p>
    <w:p>
      <w:pPr>
        <w:jc w:val="center"/>
        <w:ind w:right="2759"/>
        <w:spacing w:after="0" w:line="238" w:lineRule="auto"/>
        <w:rPr>
          <w:sz w:val="20"/>
          <w:szCs w:val="20"/>
          <w:color w:val="auto"/>
        </w:rPr>
      </w:pPr>
      <w:r>
        <w:rPr>
          <w:rFonts w:ascii="Courier New" w:cs="Courier New" w:eastAsia="Courier New" w:hAnsi="Courier New"/>
          <w:sz w:val="18"/>
          <w:szCs w:val="18"/>
          <w:color w:val="auto"/>
        </w:rPr>
        <w:t>0</w:t>
      </w:r>
    </w:p>
    <w:p>
      <w:pPr>
        <w:jc w:val="center"/>
        <w:ind w:right="2759"/>
        <w:spacing w:after="0"/>
        <w:rPr>
          <w:sz w:val="20"/>
          <w:szCs w:val="20"/>
          <w:color w:val="auto"/>
        </w:rPr>
      </w:pPr>
      <w:r>
        <w:rPr>
          <w:rFonts w:ascii="Courier New" w:cs="Courier New" w:eastAsia="Courier New" w:hAnsi="Courier New"/>
          <w:sz w:val="18"/>
          <w:szCs w:val="18"/>
          <w:color w:val="auto"/>
        </w:rPr>
        <w:t>(3,661)</w:t>
      </w:r>
    </w:p>
    <w:p>
      <w:pPr>
        <w:ind w:left="4280"/>
        <w:spacing w:after="0" w:line="237" w:lineRule="auto"/>
        <w:rPr>
          <w:sz w:val="20"/>
          <w:szCs w:val="20"/>
          <w:color w:val="auto"/>
        </w:rPr>
      </w:pPr>
      <w:r>
        <w:rPr>
          <w:rFonts w:ascii="Courier New" w:cs="Courier New" w:eastAsia="Courier New" w:hAnsi="Courier New"/>
          <w:sz w:val="18"/>
          <w:szCs w:val="18"/>
          <w:color w:val="auto"/>
        </w:rPr>
        <w:t>0</w:t>
      </w:r>
    </w:p>
    <w:p>
      <w:pPr>
        <w:ind w:left="2920"/>
        <w:spacing w:after="0"/>
        <w:rPr>
          <w:sz w:val="20"/>
          <w:szCs w:val="20"/>
          <w:color w:val="auto"/>
        </w:rPr>
      </w:pPr>
      <w:r>
        <w:rPr>
          <w:rFonts w:ascii="Courier New" w:cs="Courier New" w:eastAsia="Courier New" w:hAnsi="Courier New"/>
          <w:sz w:val="18"/>
          <w:szCs w:val="18"/>
          <w:color w:val="auto"/>
        </w:rPr>
        <w:t>(3,661)</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jc w:val="center"/>
        <w:ind w:right="2119"/>
        <w:spacing w:after="0" w:line="238" w:lineRule="auto"/>
        <w:rPr>
          <w:sz w:val="20"/>
          <w:szCs w:val="20"/>
          <w:color w:val="auto"/>
        </w:rPr>
      </w:pPr>
      <w:r>
        <w:rPr>
          <w:rFonts w:ascii="Courier New" w:cs="Courier New" w:eastAsia="Courier New" w:hAnsi="Courier New"/>
          <w:sz w:val="18"/>
          <w:szCs w:val="18"/>
          <w:color w:val="auto"/>
        </w:rPr>
        <w:t>(3,661)</w:t>
      </w:r>
    </w:p>
    <w:p>
      <w:pPr>
        <w:jc w:val="center"/>
        <w:ind w:right="2119"/>
        <w:spacing w:after="0"/>
        <w:rPr>
          <w:sz w:val="20"/>
          <w:szCs w:val="20"/>
          <w:color w:val="auto"/>
        </w:rPr>
      </w:pPr>
      <w:r>
        <w:rPr>
          <w:rFonts w:ascii="Courier New" w:cs="Courier New" w:eastAsia="Courier New" w:hAnsi="Courier New"/>
          <w:sz w:val="18"/>
          <w:szCs w:val="18"/>
          <w:color w:val="auto"/>
        </w:rPr>
        <w:t>(.37)</w:t>
      </w:r>
    </w:p>
    <w:p>
      <w:pPr>
        <w:jc w:val="center"/>
        <w:ind w:right="2119"/>
        <w:spacing w:after="0" w:line="237" w:lineRule="auto"/>
        <w:rPr>
          <w:sz w:val="20"/>
          <w:szCs w:val="20"/>
          <w:color w:val="auto"/>
        </w:rPr>
      </w:pPr>
      <w:r>
        <w:rPr>
          <w:rFonts w:ascii="Courier New" w:cs="Courier New" w:eastAsia="Courier New" w:hAnsi="Courier New"/>
          <w:sz w:val="18"/>
          <w:szCs w:val="18"/>
          <w:color w:val="auto"/>
        </w:rPr>
        <w:t>(.37)</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3"/>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2019-12-13T20:11:08Z</dcterms:created>
  <dcterms:modified xsi:type="dcterms:W3CDTF">2019-12-13T20:11:08Z</dcterms:modified>
</cp:coreProperties>
</file>